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BE27D" w14:textId="7FB0BDB1" w:rsidR="0003640E" w:rsidRPr="00E23CED" w:rsidRDefault="00A132B4" w:rsidP="00B65239">
      <w:pPr>
        <w:pStyle w:val="BodyText"/>
        <w:sectPr w:rsidR="0003640E" w:rsidRPr="00E23CED" w:rsidSect="00B86F2A">
          <w:headerReference w:type="default" r:id="rId12"/>
          <w:footerReference w:type="default" r:id="rId13"/>
          <w:pgSz w:w="11907" w:h="16840" w:code="9"/>
          <w:pgMar w:top="5670" w:right="1701" w:bottom="1701" w:left="1701" w:header="567" w:footer="1134" w:gutter="0"/>
          <w:cols w:space="720"/>
        </w:sectPr>
      </w:pPr>
      <w:r w:rsidRPr="00E23CED">
        <w:rPr>
          <w:noProof/>
        </w:rPr>
        <w:drawing>
          <wp:anchor distT="0" distB="0" distL="114300" distR="114300" simplePos="0" relativeHeight="251658249" behindDoc="0" locked="0" layoutInCell="1" allowOverlap="1" wp14:anchorId="0CFC5E24" wp14:editId="16EABAC0">
            <wp:simplePos x="0" y="0"/>
            <wp:positionH relativeFrom="page">
              <wp:posOffset>-10795</wp:posOffset>
            </wp:positionH>
            <wp:positionV relativeFrom="paragraph">
              <wp:posOffset>-3591891</wp:posOffset>
            </wp:positionV>
            <wp:extent cx="7608860" cy="10762856"/>
            <wp:effectExtent l="0" t="0" r="8255" b="635"/>
            <wp:wrapNone/>
            <wp:docPr id="2139567557" name="Picture 213956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7557" name="Picture 2139567557"/>
                    <pic:cNvPicPr/>
                  </pic:nvPicPr>
                  <pic:blipFill>
                    <a:blip r:embed="rId14"/>
                    <a:stretch>
                      <a:fillRect/>
                    </a:stretch>
                  </pic:blipFill>
                  <pic:spPr>
                    <a:xfrm>
                      <a:off x="0" y="0"/>
                      <a:ext cx="7608860" cy="10762856"/>
                    </a:xfrm>
                    <a:prstGeom prst="rect">
                      <a:avLst/>
                    </a:prstGeom>
                  </pic:spPr>
                </pic:pic>
              </a:graphicData>
            </a:graphic>
            <wp14:sizeRelH relativeFrom="page">
              <wp14:pctWidth>0</wp14:pctWidth>
            </wp14:sizeRelH>
            <wp14:sizeRelV relativeFrom="page">
              <wp14:pctHeight>0</wp14:pctHeight>
            </wp14:sizeRelV>
          </wp:anchor>
        </w:drawing>
      </w:r>
    </w:p>
    <w:p w14:paraId="489CC581" w14:textId="77777777" w:rsidR="00452EC4" w:rsidRPr="00E23CED" w:rsidRDefault="00452EC4" w:rsidP="003A0083">
      <w:pPr>
        <w:pStyle w:val="Imprint"/>
        <w:spacing w:after="0"/>
        <w:rPr>
          <w:b/>
        </w:rPr>
      </w:pPr>
      <w:r w:rsidRPr="00E23CED">
        <w:rPr>
          <w:b/>
        </w:rPr>
        <w:lastRenderedPageBreak/>
        <w:t>Disclaimer</w:t>
      </w:r>
    </w:p>
    <w:p w14:paraId="4D31FF1D" w14:textId="77777777" w:rsidR="00397E6E" w:rsidRPr="00E23CED" w:rsidRDefault="00397E6E" w:rsidP="00CD5333">
      <w:pPr>
        <w:pStyle w:val="Imprint"/>
      </w:pPr>
      <w:r w:rsidRPr="00E23CED">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214D048" w14:textId="0A900ED8" w:rsidR="00397E6E" w:rsidRPr="00E23CED" w:rsidRDefault="00B46A11" w:rsidP="00926375">
      <w:pPr>
        <w:pStyle w:val="Bullet"/>
      </w:pPr>
      <w:r w:rsidRPr="00E23CED">
        <w:t>t</w:t>
      </w:r>
      <w:r w:rsidR="00397E6E" w:rsidRPr="00E23CED">
        <w:t xml:space="preserve">he information provided has no official status and so does not alter the laws of </w:t>
      </w:r>
      <w:r w:rsidR="00B6599D" w:rsidRPr="00E23CED">
        <w:t xml:space="preserve">Aotearoa </w:t>
      </w:r>
      <w:r w:rsidR="00397E6E" w:rsidRPr="00E23CED">
        <w:t xml:space="preserve">New Zealand, other official guidelines or </w:t>
      </w:r>
      <w:proofErr w:type="gramStart"/>
      <w:r w:rsidR="00397E6E" w:rsidRPr="00E23CED">
        <w:t>requirements</w:t>
      </w:r>
      <w:proofErr w:type="gramEnd"/>
      <w:r w:rsidR="00397E6E" w:rsidRPr="00E23CED">
        <w:t xml:space="preserve"> </w:t>
      </w:r>
    </w:p>
    <w:p w14:paraId="43871E57" w14:textId="40E67357" w:rsidR="00397E6E" w:rsidRPr="00E23CED" w:rsidRDefault="00230AFF" w:rsidP="00926375">
      <w:pPr>
        <w:pStyle w:val="Bullet"/>
      </w:pPr>
      <w:r w:rsidRPr="00E23CED">
        <w:t>i</w:t>
      </w:r>
      <w:r w:rsidR="00397E6E" w:rsidRPr="00E23CED">
        <w:t xml:space="preserve">t does not constitute legal advice, and users should take specific advice from qualified professionals before taking any action as a result of information obtained from this </w:t>
      </w:r>
      <w:proofErr w:type="gramStart"/>
      <w:r w:rsidR="00397E6E" w:rsidRPr="00E23CED">
        <w:t>publication</w:t>
      </w:r>
      <w:proofErr w:type="gramEnd"/>
    </w:p>
    <w:p w14:paraId="31A3D4AF" w14:textId="2D8DA5ED" w:rsidR="00397E6E" w:rsidRPr="00E23CED" w:rsidRDefault="00230AFF" w:rsidP="00926375">
      <w:pPr>
        <w:pStyle w:val="Bullet"/>
      </w:pPr>
      <w:r w:rsidRPr="00E23CED">
        <w:t>t</w:t>
      </w:r>
      <w:r w:rsidR="00397E6E" w:rsidRPr="00E23CED">
        <w:t xml:space="preserve">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w:t>
      </w:r>
      <w:proofErr w:type="gramStart"/>
      <w:r w:rsidR="00397E6E" w:rsidRPr="00E23CED">
        <w:t>publication</w:t>
      </w:r>
      <w:proofErr w:type="gramEnd"/>
      <w:r w:rsidR="00397E6E" w:rsidRPr="00E23CED">
        <w:t xml:space="preserve"> </w:t>
      </w:r>
    </w:p>
    <w:p w14:paraId="76AD3FA6" w14:textId="2E234CC4" w:rsidR="00452EC4" w:rsidRPr="00E23CED" w:rsidRDefault="00230AFF" w:rsidP="00926375">
      <w:pPr>
        <w:pStyle w:val="Bullet"/>
      </w:pPr>
      <w:r w:rsidRPr="00E23CED">
        <w:t>a</w:t>
      </w:r>
      <w:r w:rsidR="00397E6E" w:rsidRPr="00E23CED">
        <w:t>ll 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78CB41D8" w14:textId="77777777" w:rsidR="00AB15EA" w:rsidRPr="00E23CED" w:rsidRDefault="00AB15EA" w:rsidP="006A72AB">
      <w:pPr>
        <w:pStyle w:val="Imprint"/>
      </w:pPr>
    </w:p>
    <w:p w14:paraId="6F6FB412" w14:textId="77777777" w:rsidR="00452EC4" w:rsidRPr="00E23CED" w:rsidRDefault="00452EC4" w:rsidP="003A0083">
      <w:pPr>
        <w:pStyle w:val="Imprint"/>
        <w:spacing w:after="0"/>
        <w:rPr>
          <w:b/>
        </w:rPr>
      </w:pPr>
      <w:r w:rsidRPr="00E23CED">
        <w:rPr>
          <w:b/>
        </w:rPr>
        <w:t>Acknowledgements</w:t>
      </w:r>
    </w:p>
    <w:p w14:paraId="64EA3920" w14:textId="22C2AEC8" w:rsidR="00C32DF4" w:rsidRPr="00E23CED" w:rsidRDefault="00C32DF4" w:rsidP="00C32DF4">
      <w:pPr>
        <w:pStyle w:val="Imprint"/>
      </w:pPr>
      <w:r w:rsidRPr="00E23CED">
        <w:t xml:space="preserve">The Ministry acknowledges </w:t>
      </w:r>
      <w:r w:rsidR="00BA321F" w:rsidRPr="00E23CED">
        <w:t xml:space="preserve">Dr </w:t>
      </w:r>
      <w:r w:rsidR="00AF2D61" w:rsidRPr="00E23CED">
        <w:t>Cathy Kilroy (N</w:t>
      </w:r>
      <w:r w:rsidR="00013B14" w:rsidRPr="00E23CED">
        <w:t xml:space="preserve">ational </w:t>
      </w:r>
      <w:r w:rsidR="00AF2D61" w:rsidRPr="00E23CED">
        <w:t>I</w:t>
      </w:r>
      <w:r w:rsidR="00013B14" w:rsidRPr="00E23CED">
        <w:t xml:space="preserve">nstitute of </w:t>
      </w:r>
      <w:r w:rsidR="00AF2D61" w:rsidRPr="00E23CED">
        <w:t>W</w:t>
      </w:r>
      <w:r w:rsidR="00013B14" w:rsidRPr="00E23CED">
        <w:t xml:space="preserve">ater and </w:t>
      </w:r>
      <w:r w:rsidR="00AF2D61" w:rsidRPr="00E23CED">
        <w:t>A</w:t>
      </w:r>
      <w:r w:rsidR="00013B14" w:rsidRPr="00E23CED">
        <w:t>tmospheric</w:t>
      </w:r>
      <w:r w:rsidR="009D70FF" w:rsidRPr="00E23CED">
        <w:t xml:space="preserve"> Research</w:t>
      </w:r>
      <w:r w:rsidR="00AF2D61" w:rsidRPr="00E23CED">
        <w:t xml:space="preserve">) and Ned Norton (Land Water People) </w:t>
      </w:r>
      <w:r w:rsidRPr="00E23CED">
        <w:t>for</w:t>
      </w:r>
      <w:r w:rsidR="00AF2D61" w:rsidRPr="00E23CED">
        <w:t xml:space="preserve"> </w:t>
      </w:r>
      <w:r w:rsidR="00EA1ADA" w:rsidRPr="00E23CED">
        <w:t xml:space="preserve">their </w:t>
      </w:r>
      <w:r w:rsidR="006A3AC0" w:rsidRPr="00E23CED">
        <w:t>review and</w:t>
      </w:r>
      <w:r w:rsidR="00536D87" w:rsidRPr="00E23CED">
        <w:t xml:space="preserve"> drafting </w:t>
      </w:r>
      <w:r w:rsidR="006A3AC0" w:rsidRPr="00E23CED">
        <w:t>support during the update of this</w:t>
      </w:r>
      <w:r w:rsidRPr="00E23CED">
        <w:t xml:space="preserve"> guide</w:t>
      </w:r>
      <w:r w:rsidR="00EA1ADA" w:rsidRPr="00E23CED">
        <w:t>.</w:t>
      </w:r>
      <w:r w:rsidRPr="00E23CED">
        <w:t xml:space="preserve"> </w:t>
      </w:r>
      <w:r w:rsidR="00C55368" w:rsidRPr="00E23CED">
        <w:t xml:space="preserve">The Ministry is grateful </w:t>
      </w:r>
      <w:r w:rsidR="00816B7D" w:rsidRPr="00E23CED">
        <w:t>for</w:t>
      </w:r>
      <w:r w:rsidR="00C55368" w:rsidRPr="00E23CED">
        <w:t xml:space="preserve"> feedback provided by</w:t>
      </w:r>
      <w:r w:rsidR="00BD0004" w:rsidRPr="00E23CED">
        <w:t>:</w:t>
      </w:r>
      <w:r w:rsidR="00C55368" w:rsidRPr="00E23CED">
        <w:t xml:space="preserve"> </w:t>
      </w:r>
      <w:r w:rsidR="0017517E" w:rsidRPr="00E23CED">
        <w:t xml:space="preserve">Coral Grant (Auckland Council); </w:t>
      </w:r>
      <w:r w:rsidR="00070FAD" w:rsidRPr="00E23CED">
        <w:t>Nicola Green (Bay of Plenty</w:t>
      </w:r>
      <w:r w:rsidR="00B26BEE" w:rsidRPr="00E23CED">
        <w:t xml:space="preserve"> Regional Council</w:t>
      </w:r>
      <w:r w:rsidR="00070FAD" w:rsidRPr="00E23CED">
        <w:t>)</w:t>
      </w:r>
      <w:r w:rsidR="00BD0004" w:rsidRPr="00E23CED">
        <w:t>;</w:t>
      </w:r>
      <w:r w:rsidR="00070FAD" w:rsidRPr="00E23CED">
        <w:t xml:space="preserve"> </w:t>
      </w:r>
      <w:r w:rsidR="0017517E" w:rsidRPr="00E23CED">
        <w:t xml:space="preserve">Olivia Cook and Shirley Hayward (Environment Canterbury); </w:t>
      </w:r>
      <w:r w:rsidR="00070FAD" w:rsidRPr="00E23CED">
        <w:t>Karen Wilson</w:t>
      </w:r>
      <w:r w:rsidR="00F6491E" w:rsidRPr="00E23CED">
        <w:t>, Katie Blakemore</w:t>
      </w:r>
      <w:r w:rsidR="00070FAD" w:rsidRPr="00E23CED">
        <w:t xml:space="preserve"> and </w:t>
      </w:r>
      <w:r w:rsidR="00F6491E" w:rsidRPr="00E23CED">
        <w:t xml:space="preserve">Nuwan </w:t>
      </w:r>
      <w:r w:rsidR="00BD0004" w:rsidRPr="00E23CED">
        <w:t>DeSilva (Environment Southland); Michael Patterson (Horizons Regional Council)</w:t>
      </w:r>
      <w:r w:rsidR="007240E8" w:rsidRPr="00E23CED">
        <w:t>;</w:t>
      </w:r>
      <w:r w:rsidR="00944C16" w:rsidRPr="00E23CED">
        <w:t xml:space="preserve"> and Mike Scarsbrook (Waikato Regional Council)</w:t>
      </w:r>
      <w:r w:rsidR="00F0426F" w:rsidRPr="00E23CED">
        <w:t>.</w:t>
      </w:r>
      <w:r w:rsidR="003A5B52" w:rsidRPr="00E23CED">
        <w:t xml:space="preserve"> </w:t>
      </w:r>
    </w:p>
    <w:p w14:paraId="05015B71" w14:textId="0DE1B036" w:rsidR="001703F1" w:rsidRPr="00E23CED" w:rsidRDefault="001703F1" w:rsidP="00C32DF4">
      <w:pPr>
        <w:pStyle w:val="Imprint"/>
        <w:rPr>
          <w:spacing w:val="-4"/>
        </w:rPr>
      </w:pPr>
    </w:p>
    <w:p w14:paraId="3E03BE93" w14:textId="77777777" w:rsidR="00BC5934" w:rsidRPr="00E23CED" w:rsidRDefault="00BC5934" w:rsidP="00C32DF4">
      <w:pPr>
        <w:pStyle w:val="Imprint"/>
        <w:rPr>
          <w:spacing w:val="-4"/>
        </w:rPr>
      </w:pPr>
    </w:p>
    <w:p w14:paraId="0343B26B" w14:textId="7494421B" w:rsidR="00452EC4" w:rsidRPr="00E23CED" w:rsidRDefault="00C32DF4" w:rsidP="00C32DF4">
      <w:pPr>
        <w:pStyle w:val="Imprint"/>
      </w:pPr>
      <w:r w:rsidRPr="00E23CED">
        <w:t>This document may be cited as: Ministry for the Environment. 202</w:t>
      </w:r>
      <w:r w:rsidR="00295E13" w:rsidRPr="00E23CED">
        <w:t>3</w:t>
      </w:r>
      <w:r w:rsidRPr="00E23CED">
        <w:t xml:space="preserve">. </w:t>
      </w:r>
      <w:r w:rsidRPr="00E23CED">
        <w:rPr>
          <w:i/>
          <w:iCs/>
        </w:rPr>
        <w:t xml:space="preserve">A guide to </w:t>
      </w:r>
      <w:r w:rsidR="00EF207F" w:rsidRPr="00E23CED">
        <w:rPr>
          <w:i/>
          <w:iCs/>
        </w:rPr>
        <w:t>implementing</w:t>
      </w:r>
      <w:r w:rsidRPr="00E23CED">
        <w:rPr>
          <w:i/>
          <w:iCs/>
        </w:rPr>
        <w:t xml:space="preserve"> </w:t>
      </w:r>
      <w:r w:rsidR="00B6599D" w:rsidRPr="00E23CED">
        <w:rPr>
          <w:i/>
          <w:iCs/>
        </w:rPr>
        <w:t>c</w:t>
      </w:r>
      <w:r w:rsidR="00096648" w:rsidRPr="00E23CED">
        <w:rPr>
          <w:i/>
          <w:iCs/>
        </w:rPr>
        <w:t>lause</w:t>
      </w:r>
      <w:r w:rsidRPr="00E23CED">
        <w:rPr>
          <w:i/>
          <w:iCs/>
        </w:rPr>
        <w:t xml:space="preserve"> 3.13 of the </w:t>
      </w:r>
      <w:r w:rsidR="00AB15EA" w:rsidRPr="00E23CED">
        <w:rPr>
          <w:i/>
          <w:iCs/>
        </w:rPr>
        <w:t>NPS-FM</w:t>
      </w:r>
      <w:r w:rsidRPr="00E23CED">
        <w:rPr>
          <w:i/>
          <w:iCs/>
        </w:rPr>
        <w:t xml:space="preserve"> 2020</w:t>
      </w:r>
      <w:r w:rsidRPr="00E23CED">
        <w:t>. Wellington: Ministry for the Environment.</w:t>
      </w:r>
    </w:p>
    <w:p w14:paraId="023E1D6C" w14:textId="77777777" w:rsidR="00D96DFF" w:rsidRPr="00E23CED" w:rsidRDefault="00D96DFF" w:rsidP="006A72AB">
      <w:pPr>
        <w:pStyle w:val="Imprint"/>
      </w:pPr>
    </w:p>
    <w:p w14:paraId="2B6ADE01" w14:textId="786FCA04" w:rsidR="0080531E" w:rsidRPr="00E23CED" w:rsidRDefault="0080531E" w:rsidP="00601A85">
      <w:pPr>
        <w:pStyle w:val="Imprint"/>
        <w:rPr>
          <w:rFonts w:cstheme="minorHAnsi"/>
        </w:rPr>
      </w:pPr>
      <w:r w:rsidRPr="00E23CED">
        <w:t xml:space="preserve">Published in </w:t>
      </w:r>
      <w:r w:rsidR="005875FA" w:rsidRPr="00E23CED">
        <w:t>August 202</w:t>
      </w:r>
      <w:r w:rsidR="00AE0A5D" w:rsidRPr="00E23CED">
        <w:t>3</w:t>
      </w:r>
      <w:r w:rsidRPr="00E23CED">
        <w:t xml:space="preserve"> by the</w:t>
      </w:r>
      <w:r w:rsidRPr="00E23CED">
        <w:br/>
        <w:t xml:space="preserve">Ministry for the Environment </w:t>
      </w:r>
      <w:r w:rsidRPr="00E23CED">
        <w:br/>
        <w:t>Manatū Mō Te Taiao</w:t>
      </w:r>
      <w:r w:rsidRPr="00E23CED">
        <w:br/>
      </w:r>
      <w:r w:rsidRPr="00E23CED">
        <w:rPr>
          <w:rFonts w:cstheme="minorHAnsi"/>
        </w:rPr>
        <w:t>PO Box 10362, Wellington 6143, New Zealand</w:t>
      </w:r>
      <w:r w:rsidR="003A0083" w:rsidRPr="00E23CED">
        <w:rPr>
          <w:rFonts w:cstheme="minorHAnsi"/>
        </w:rPr>
        <w:br/>
      </w:r>
      <w:hyperlink r:id="rId15" w:history="1">
        <w:r w:rsidR="003A0083" w:rsidRPr="00E23CED">
          <w:rPr>
            <w:rStyle w:val="Hyperlink"/>
          </w:rPr>
          <w:t>environment.govt.nz</w:t>
        </w:r>
      </w:hyperlink>
    </w:p>
    <w:p w14:paraId="3DD396FE" w14:textId="15FD16AE" w:rsidR="0080531E" w:rsidRPr="00E23CED" w:rsidRDefault="0080531E" w:rsidP="0080531E">
      <w:pPr>
        <w:pStyle w:val="Imprint"/>
        <w:tabs>
          <w:tab w:val="left" w:pos="720"/>
        </w:tabs>
        <w:ind w:left="720" w:hanging="720"/>
        <w:rPr>
          <w:rFonts w:cstheme="minorHAnsi"/>
        </w:rPr>
      </w:pPr>
      <w:r w:rsidRPr="00E23CED">
        <w:rPr>
          <w:rFonts w:cstheme="minorHAnsi"/>
        </w:rPr>
        <w:t xml:space="preserve">ISBN: </w:t>
      </w:r>
      <w:r w:rsidRPr="00E23CED">
        <w:rPr>
          <w:rFonts w:cstheme="minorHAnsi"/>
        </w:rPr>
        <w:tab/>
        <w:t xml:space="preserve"> </w:t>
      </w:r>
      <w:r w:rsidR="00115DA6" w:rsidRPr="00E23CED">
        <w:rPr>
          <w:rFonts w:cstheme="minorHAnsi"/>
          <w:color w:val="000000"/>
          <w:shd w:val="clear" w:color="auto" w:fill="FFFFFF"/>
        </w:rPr>
        <w:t>978-1-</w:t>
      </w:r>
      <w:r w:rsidR="00AF028E" w:rsidRPr="00E23CED">
        <w:rPr>
          <w:rFonts w:cstheme="minorHAnsi"/>
          <w:color w:val="000000"/>
          <w:shd w:val="clear" w:color="auto" w:fill="FFFFFF"/>
        </w:rPr>
        <w:t>991077-57-8</w:t>
      </w:r>
      <w:r w:rsidR="003A5B52" w:rsidRPr="00E23CED">
        <w:rPr>
          <w:rFonts w:cstheme="minorHAnsi"/>
          <w:color w:val="000000"/>
          <w:shd w:val="clear" w:color="auto" w:fill="FFFFFF"/>
        </w:rPr>
        <w:t xml:space="preserve"> </w:t>
      </w:r>
      <w:r w:rsidRPr="00E23CED">
        <w:rPr>
          <w:rFonts w:cstheme="minorHAnsi"/>
        </w:rPr>
        <w:t>(</w:t>
      </w:r>
      <w:r w:rsidR="00775F57" w:rsidRPr="00E23CED">
        <w:rPr>
          <w:rFonts w:cstheme="minorHAnsi"/>
        </w:rPr>
        <w:t>online</w:t>
      </w:r>
      <w:r w:rsidRPr="00E23CED">
        <w:rPr>
          <w:rFonts w:cstheme="minorHAnsi"/>
        </w:rPr>
        <w:t>)</w:t>
      </w:r>
    </w:p>
    <w:p w14:paraId="795464D0" w14:textId="614D001A" w:rsidR="0080531E" w:rsidRPr="00E23CED" w:rsidRDefault="0080531E" w:rsidP="0080531E">
      <w:pPr>
        <w:pStyle w:val="Imprint"/>
        <w:ind w:left="720" w:hanging="720"/>
        <w:rPr>
          <w:rFonts w:cstheme="minorHAnsi"/>
        </w:rPr>
      </w:pPr>
      <w:r w:rsidRPr="00E23CED">
        <w:rPr>
          <w:rFonts w:cstheme="minorHAnsi"/>
        </w:rPr>
        <w:t xml:space="preserve">Publication number: ME </w:t>
      </w:r>
      <w:r w:rsidR="00A54E2F" w:rsidRPr="00E23CED">
        <w:rPr>
          <w:rFonts w:cstheme="minorHAnsi"/>
        </w:rPr>
        <w:t>1768</w:t>
      </w:r>
    </w:p>
    <w:p w14:paraId="782431F6" w14:textId="77777777" w:rsidR="0068454E" w:rsidRPr="00E23CED" w:rsidRDefault="0080531E" w:rsidP="003A0083">
      <w:pPr>
        <w:pStyle w:val="Imprint"/>
        <w:spacing w:after="80"/>
        <w:sectPr w:rsidR="0068454E" w:rsidRPr="00E23CED" w:rsidSect="008A7498">
          <w:footerReference w:type="even" r:id="rId16"/>
          <w:footerReference w:type="default" r:id="rId17"/>
          <w:pgSz w:w="11907" w:h="16840" w:code="9"/>
          <w:pgMar w:top="1134" w:right="1701" w:bottom="1134" w:left="1701" w:header="567" w:footer="567" w:gutter="0"/>
          <w:cols w:space="720"/>
          <w:docGrid w:linePitch="299"/>
        </w:sectPr>
      </w:pPr>
      <w:r w:rsidRPr="00E23CED">
        <w:t xml:space="preserve">© Crown copyright New Zealand </w:t>
      </w:r>
      <w:r w:rsidR="00115DA6" w:rsidRPr="00E23CED">
        <w:t>202</w:t>
      </w:r>
      <w:r w:rsidR="00AE0A5D" w:rsidRPr="00E23CED">
        <w:t>3</w:t>
      </w:r>
    </w:p>
    <w:p w14:paraId="2A570E91" w14:textId="77777777" w:rsidR="00A8482D" w:rsidRPr="00E23CED" w:rsidRDefault="00A8482D" w:rsidP="00A8482D">
      <w:pPr>
        <w:pStyle w:val="Heading"/>
      </w:pPr>
      <w:r w:rsidRPr="00E23CED">
        <w:lastRenderedPageBreak/>
        <w:t>Contents</w:t>
      </w:r>
    </w:p>
    <w:p w14:paraId="33704547" w14:textId="41249020" w:rsidR="00891D57" w:rsidRDefault="007502F0">
      <w:pPr>
        <w:pStyle w:val="TOC1"/>
        <w:rPr>
          <w:rFonts w:asciiTheme="minorHAnsi" w:hAnsiTheme="minorHAnsi"/>
          <w:noProof/>
          <w:kern w:val="2"/>
          <w14:ligatures w14:val="standardContextual"/>
        </w:rPr>
      </w:pPr>
      <w:r w:rsidRPr="00E23CED">
        <w:rPr>
          <w:color w:val="0092CF"/>
        </w:rPr>
        <w:fldChar w:fldCharType="begin"/>
      </w:r>
      <w:r w:rsidRPr="00E23CED">
        <w:rPr>
          <w:color w:val="0092CF"/>
        </w:rPr>
        <w:instrText xml:space="preserve"> TOC \o "2-2" \h \z \t "Heading 1,1" </w:instrText>
      </w:r>
      <w:r w:rsidRPr="00E23CED">
        <w:rPr>
          <w:color w:val="0092CF"/>
        </w:rPr>
        <w:fldChar w:fldCharType="separate"/>
      </w:r>
      <w:hyperlink w:anchor="_Toc143077499" w:history="1">
        <w:r w:rsidR="00891D57" w:rsidRPr="00FC00F4">
          <w:rPr>
            <w:rStyle w:val="Hyperlink"/>
            <w:noProof/>
          </w:rPr>
          <w:t>Glossary</w:t>
        </w:r>
        <w:r w:rsidR="00891D57">
          <w:rPr>
            <w:noProof/>
            <w:webHidden/>
          </w:rPr>
          <w:tab/>
        </w:r>
        <w:r w:rsidR="00891D57">
          <w:rPr>
            <w:noProof/>
            <w:webHidden/>
          </w:rPr>
          <w:fldChar w:fldCharType="begin"/>
        </w:r>
        <w:r w:rsidR="00891D57">
          <w:rPr>
            <w:noProof/>
            <w:webHidden/>
          </w:rPr>
          <w:instrText xml:space="preserve"> PAGEREF _Toc143077499 \h </w:instrText>
        </w:r>
        <w:r w:rsidR="00891D57">
          <w:rPr>
            <w:noProof/>
            <w:webHidden/>
          </w:rPr>
        </w:r>
        <w:r w:rsidR="00891D57">
          <w:rPr>
            <w:noProof/>
            <w:webHidden/>
          </w:rPr>
          <w:fldChar w:fldCharType="separate"/>
        </w:r>
        <w:r w:rsidR="00FA0487">
          <w:rPr>
            <w:noProof/>
            <w:webHidden/>
          </w:rPr>
          <w:t>5</w:t>
        </w:r>
        <w:r w:rsidR="00891D57">
          <w:rPr>
            <w:noProof/>
            <w:webHidden/>
          </w:rPr>
          <w:fldChar w:fldCharType="end"/>
        </w:r>
      </w:hyperlink>
    </w:p>
    <w:p w14:paraId="751E8DBB" w14:textId="4FA54B20" w:rsidR="00891D57" w:rsidRDefault="00E8131B">
      <w:pPr>
        <w:pStyle w:val="TOC1"/>
        <w:rPr>
          <w:rFonts w:asciiTheme="minorHAnsi" w:hAnsiTheme="minorHAnsi"/>
          <w:noProof/>
          <w:kern w:val="2"/>
          <w14:ligatures w14:val="standardContextual"/>
        </w:rPr>
      </w:pPr>
      <w:hyperlink w:anchor="_Toc143077500" w:history="1">
        <w:r w:rsidR="00891D57" w:rsidRPr="00FC00F4">
          <w:rPr>
            <w:rStyle w:val="Hyperlink"/>
            <w:noProof/>
          </w:rPr>
          <w:t>Executive summary</w:t>
        </w:r>
        <w:r w:rsidR="00891D57">
          <w:rPr>
            <w:noProof/>
            <w:webHidden/>
          </w:rPr>
          <w:tab/>
        </w:r>
        <w:r w:rsidR="00891D57">
          <w:rPr>
            <w:noProof/>
            <w:webHidden/>
          </w:rPr>
          <w:fldChar w:fldCharType="begin"/>
        </w:r>
        <w:r w:rsidR="00891D57">
          <w:rPr>
            <w:noProof/>
            <w:webHidden/>
          </w:rPr>
          <w:instrText xml:space="preserve"> PAGEREF _Toc143077500 \h </w:instrText>
        </w:r>
        <w:r w:rsidR="00891D57">
          <w:rPr>
            <w:noProof/>
            <w:webHidden/>
          </w:rPr>
        </w:r>
        <w:r w:rsidR="00891D57">
          <w:rPr>
            <w:noProof/>
            <w:webHidden/>
          </w:rPr>
          <w:fldChar w:fldCharType="separate"/>
        </w:r>
        <w:r w:rsidR="00FA0487">
          <w:rPr>
            <w:noProof/>
            <w:webHidden/>
          </w:rPr>
          <w:t>7</w:t>
        </w:r>
        <w:r w:rsidR="00891D57">
          <w:rPr>
            <w:noProof/>
            <w:webHidden/>
          </w:rPr>
          <w:fldChar w:fldCharType="end"/>
        </w:r>
      </w:hyperlink>
    </w:p>
    <w:p w14:paraId="30303014" w14:textId="18BE91C8" w:rsidR="00891D57" w:rsidRDefault="00E8131B">
      <w:pPr>
        <w:pStyle w:val="TOC1"/>
        <w:rPr>
          <w:rFonts w:asciiTheme="minorHAnsi" w:hAnsiTheme="minorHAnsi"/>
          <w:noProof/>
          <w:kern w:val="2"/>
          <w14:ligatures w14:val="standardContextual"/>
        </w:rPr>
      </w:pPr>
      <w:hyperlink w:anchor="_Toc143077501" w:history="1">
        <w:r w:rsidR="00891D57" w:rsidRPr="00FC00F4">
          <w:rPr>
            <w:rStyle w:val="Hyperlink"/>
            <w:noProof/>
          </w:rPr>
          <w:t>Guidance rationale</w:t>
        </w:r>
        <w:r w:rsidR="00891D57">
          <w:rPr>
            <w:noProof/>
            <w:webHidden/>
          </w:rPr>
          <w:tab/>
        </w:r>
        <w:r w:rsidR="00891D57">
          <w:rPr>
            <w:noProof/>
            <w:webHidden/>
          </w:rPr>
          <w:fldChar w:fldCharType="begin"/>
        </w:r>
        <w:r w:rsidR="00891D57">
          <w:rPr>
            <w:noProof/>
            <w:webHidden/>
          </w:rPr>
          <w:instrText xml:space="preserve"> PAGEREF _Toc143077501 \h </w:instrText>
        </w:r>
        <w:r w:rsidR="00891D57">
          <w:rPr>
            <w:noProof/>
            <w:webHidden/>
          </w:rPr>
        </w:r>
        <w:r w:rsidR="00891D57">
          <w:rPr>
            <w:noProof/>
            <w:webHidden/>
          </w:rPr>
          <w:fldChar w:fldCharType="separate"/>
        </w:r>
        <w:r w:rsidR="00FA0487">
          <w:rPr>
            <w:noProof/>
            <w:webHidden/>
          </w:rPr>
          <w:t>9</w:t>
        </w:r>
        <w:r w:rsidR="00891D57">
          <w:rPr>
            <w:noProof/>
            <w:webHidden/>
          </w:rPr>
          <w:fldChar w:fldCharType="end"/>
        </w:r>
      </w:hyperlink>
    </w:p>
    <w:p w14:paraId="43B12D88" w14:textId="1BCA4A68" w:rsidR="00891D57" w:rsidRDefault="00E8131B">
      <w:pPr>
        <w:pStyle w:val="TOC1"/>
        <w:rPr>
          <w:rFonts w:asciiTheme="minorHAnsi" w:hAnsiTheme="minorHAnsi"/>
          <w:noProof/>
          <w:kern w:val="2"/>
          <w14:ligatures w14:val="standardContextual"/>
        </w:rPr>
      </w:pPr>
      <w:hyperlink w:anchor="_Toc143077502" w:history="1">
        <w:r w:rsidR="00891D57" w:rsidRPr="00FC00F4">
          <w:rPr>
            <w:rStyle w:val="Hyperlink"/>
            <w:noProof/>
          </w:rPr>
          <w:t>1</w:t>
        </w:r>
        <w:r w:rsidR="00891D57">
          <w:rPr>
            <w:rFonts w:asciiTheme="minorHAnsi" w:hAnsiTheme="minorHAnsi"/>
            <w:noProof/>
            <w:kern w:val="2"/>
            <w14:ligatures w14:val="standardContextual"/>
          </w:rPr>
          <w:tab/>
        </w:r>
        <w:r w:rsidR="00891D57" w:rsidRPr="00FC00F4">
          <w:rPr>
            <w:rStyle w:val="Hyperlink"/>
            <w:noProof/>
          </w:rPr>
          <w:t>Introduction</w:t>
        </w:r>
        <w:r w:rsidR="00891D57">
          <w:rPr>
            <w:noProof/>
            <w:webHidden/>
          </w:rPr>
          <w:tab/>
        </w:r>
        <w:r w:rsidR="00891D57">
          <w:rPr>
            <w:noProof/>
            <w:webHidden/>
          </w:rPr>
          <w:fldChar w:fldCharType="begin"/>
        </w:r>
        <w:r w:rsidR="00891D57">
          <w:rPr>
            <w:noProof/>
            <w:webHidden/>
          </w:rPr>
          <w:instrText xml:space="preserve"> PAGEREF _Toc143077502 \h </w:instrText>
        </w:r>
        <w:r w:rsidR="00891D57">
          <w:rPr>
            <w:noProof/>
            <w:webHidden/>
          </w:rPr>
        </w:r>
        <w:r w:rsidR="00891D57">
          <w:rPr>
            <w:noProof/>
            <w:webHidden/>
          </w:rPr>
          <w:fldChar w:fldCharType="separate"/>
        </w:r>
        <w:r w:rsidR="00FA0487">
          <w:rPr>
            <w:noProof/>
            <w:webHidden/>
          </w:rPr>
          <w:t>10</w:t>
        </w:r>
        <w:r w:rsidR="00891D57">
          <w:rPr>
            <w:noProof/>
            <w:webHidden/>
          </w:rPr>
          <w:fldChar w:fldCharType="end"/>
        </w:r>
      </w:hyperlink>
    </w:p>
    <w:p w14:paraId="7F2C9212" w14:textId="0A32F76D" w:rsidR="00891D57" w:rsidRDefault="00E8131B">
      <w:pPr>
        <w:pStyle w:val="TOC2"/>
        <w:tabs>
          <w:tab w:val="left" w:pos="1134"/>
        </w:tabs>
        <w:rPr>
          <w:rFonts w:asciiTheme="minorHAnsi" w:hAnsiTheme="minorHAnsi"/>
          <w:noProof/>
          <w:kern w:val="2"/>
          <w14:ligatures w14:val="standardContextual"/>
        </w:rPr>
      </w:pPr>
      <w:hyperlink w:anchor="_Toc143077503" w:history="1">
        <w:r w:rsidR="00891D57" w:rsidRPr="00FC00F4">
          <w:rPr>
            <w:rStyle w:val="Hyperlink"/>
            <w:noProof/>
          </w:rPr>
          <w:t>1.1</w:t>
        </w:r>
        <w:r w:rsidR="00891D57">
          <w:rPr>
            <w:rFonts w:asciiTheme="minorHAnsi" w:hAnsiTheme="minorHAnsi"/>
            <w:noProof/>
            <w:kern w:val="2"/>
            <w14:ligatures w14:val="standardContextual"/>
          </w:rPr>
          <w:tab/>
        </w:r>
        <w:r w:rsidR="00891D57" w:rsidRPr="00FC00F4">
          <w:rPr>
            <w:rStyle w:val="Hyperlink"/>
            <w:noProof/>
          </w:rPr>
          <w:t>About this document</w:t>
        </w:r>
        <w:r w:rsidR="00891D57">
          <w:rPr>
            <w:noProof/>
            <w:webHidden/>
          </w:rPr>
          <w:tab/>
        </w:r>
        <w:r w:rsidR="00891D57">
          <w:rPr>
            <w:noProof/>
            <w:webHidden/>
          </w:rPr>
          <w:fldChar w:fldCharType="begin"/>
        </w:r>
        <w:r w:rsidR="00891D57">
          <w:rPr>
            <w:noProof/>
            <w:webHidden/>
          </w:rPr>
          <w:instrText xml:space="preserve"> PAGEREF _Toc143077503 \h </w:instrText>
        </w:r>
        <w:r w:rsidR="00891D57">
          <w:rPr>
            <w:noProof/>
            <w:webHidden/>
          </w:rPr>
        </w:r>
        <w:r w:rsidR="00891D57">
          <w:rPr>
            <w:noProof/>
            <w:webHidden/>
          </w:rPr>
          <w:fldChar w:fldCharType="separate"/>
        </w:r>
        <w:r w:rsidR="00FA0487">
          <w:rPr>
            <w:noProof/>
            <w:webHidden/>
          </w:rPr>
          <w:t>10</w:t>
        </w:r>
        <w:r w:rsidR="00891D57">
          <w:rPr>
            <w:noProof/>
            <w:webHidden/>
          </w:rPr>
          <w:fldChar w:fldCharType="end"/>
        </w:r>
      </w:hyperlink>
    </w:p>
    <w:p w14:paraId="6BECAA4F" w14:textId="2DA771B7" w:rsidR="00891D57" w:rsidRDefault="00E8131B">
      <w:pPr>
        <w:pStyle w:val="TOC2"/>
        <w:tabs>
          <w:tab w:val="left" w:pos="1134"/>
        </w:tabs>
        <w:rPr>
          <w:rFonts w:asciiTheme="minorHAnsi" w:hAnsiTheme="minorHAnsi"/>
          <w:noProof/>
          <w:kern w:val="2"/>
          <w14:ligatures w14:val="standardContextual"/>
        </w:rPr>
      </w:pPr>
      <w:hyperlink w:anchor="_Toc143077504" w:history="1">
        <w:r w:rsidR="00891D57" w:rsidRPr="00FC00F4">
          <w:rPr>
            <w:rStyle w:val="Hyperlink"/>
            <w:noProof/>
          </w:rPr>
          <w:t>1.2</w:t>
        </w:r>
        <w:r w:rsidR="00891D57">
          <w:rPr>
            <w:rFonts w:asciiTheme="minorHAnsi" w:hAnsiTheme="minorHAnsi"/>
            <w:noProof/>
            <w:kern w:val="2"/>
            <w14:ligatures w14:val="standardContextual"/>
          </w:rPr>
          <w:tab/>
        </w:r>
        <w:r w:rsidR="00891D57" w:rsidRPr="00FC00F4">
          <w:rPr>
            <w:rStyle w:val="Hyperlink"/>
            <w:noProof/>
          </w:rPr>
          <w:t>Document structure</w:t>
        </w:r>
        <w:r w:rsidR="00891D57">
          <w:rPr>
            <w:noProof/>
            <w:webHidden/>
          </w:rPr>
          <w:tab/>
        </w:r>
        <w:r w:rsidR="00891D57">
          <w:rPr>
            <w:noProof/>
            <w:webHidden/>
          </w:rPr>
          <w:fldChar w:fldCharType="begin"/>
        </w:r>
        <w:r w:rsidR="00891D57">
          <w:rPr>
            <w:noProof/>
            <w:webHidden/>
          </w:rPr>
          <w:instrText xml:space="preserve"> PAGEREF _Toc143077504 \h </w:instrText>
        </w:r>
        <w:r w:rsidR="00891D57">
          <w:rPr>
            <w:noProof/>
            <w:webHidden/>
          </w:rPr>
        </w:r>
        <w:r w:rsidR="00891D57">
          <w:rPr>
            <w:noProof/>
            <w:webHidden/>
          </w:rPr>
          <w:fldChar w:fldCharType="separate"/>
        </w:r>
        <w:r w:rsidR="00FA0487">
          <w:rPr>
            <w:noProof/>
            <w:webHidden/>
          </w:rPr>
          <w:t>12</w:t>
        </w:r>
        <w:r w:rsidR="00891D57">
          <w:rPr>
            <w:noProof/>
            <w:webHidden/>
          </w:rPr>
          <w:fldChar w:fldCharType="end"/>
        </w:r>
      </w:hyperlink>
    </w:p>
    <w:p w14:paraId="714E7695" w14:textId="385C89F6" w:rsidR="00891D57" w:rsidRDefault="00E8131B">
      <w:pPr>
        <w:pStyle w:val="TOC2"/>
        <w:tabs>
          <w:tab w:val="left" w:pos="1134"/>
        </w:tabs>
        <w:rPr>
          <w:rFonts w:asciiTheme="minorHAnsi" w:hAnsiTheme="minorHAnsi"/>
          <w:noProof/>
          <w:kern w:val="2"/>
          <w14:ligatures w14:val="standardContextual"/>
        </w:rPr>
      </w:pPr>
      <w:hyperlink w:anchor="_Toc143077505" w:history="1">
        <w:r w:rsidR="00891D57" w:rsidRPr="00FC00F4">
          <w:rPr>
            <w:rStyle w:val="Hyperlink"/>
            <w:noProof/>
          </w:rPr>
          <w:t xml:space="preserve">1.3 </w:t>
        </w:r>
        <w:r w:rsidR="00891D57">
          <w:rPr>
            <w:rFonts w:asciiTheme="minorHAnsi" w:hAnsiTheme="minorHAnsi"/>
            <w:noProof/>
            <w:kern w:val="2"/>
            <w14:ligatures w14:val="standardContextual"/>
          </w:rPr>
          <w:tab/>
        </w:r>
        <w:r w:rsidR="00891D57" w:rsidRPr="00FC00F4">
          <w:rPr>
            <w:rStyle w:val="Hyperlink"/>
            <w:noProof/>
          </w:rPr>
          <w:t>Document scope</w:t>
        </w:r>
        <w:r w:rsidR="00891D57">
          <w:rPr>
            <w:noProof/>
            <w:webHidden/>
          </w:rPr>
          <w:tab/>
        </w:r>
        <w:r w:rsidR="00891D57">
          <w:rPr>
            <w:noProof/>
            <w:webHidden/>
          </w:rPr>
          <w:fldChar w:fldCharType="begin"/>
        </w:r>
        <w:r w:rsidR="00891D57">
          <w:rPr>
            <w:noProof/>
            <w:webHidden/>
          </w:rPr>
          <w:instrText xml:space="preserve"> PAGEREF _Toc143077505 \h </w:instrText>
        </w:r>
        <w:r w:rsidR="00891D57">
          <w:rPr>
            <w:noProof/>
            <w:webHidden/>
          </w:rPr>
        </w:r>
        <w:r w:rsidR="00891D57">
          <w:rPr>
            <w:noProof/>
            <w:webHidden/>
          </w:rPr>
          <w:fldChar w:fldCharType="separate"/>
        </w:r>
        <w:r w:rsidR="00FA0487">
          <w:rPr>
            <w:noProof/>
            <w:webHidden/>
          </w:rPr>
          <w:t>12</w:t>
        </w:r>
        <w:r w:rsidR="00891D57">
          <w:rPr>
            <w:noProof/>
            <w:webHidden/>
          </w:rPr>
          <w:fldChar w:fldCharType="end"/>
        </w:r>
      </w:hyperlink>
    </w:p>
    <w:p w14:paraId="6A2822E5" w14:textId="275CC071" w:rsidR="00891D57" w:rsidRDefault="00E8131B">
      <w:pPr>
        <w:pStyle w:val="TOC2"/>
        <w:tabs>
          <w:tab w:val="left" w:pos="1134"/>
        </w:tabs>
        <w:rPr>
          <w:rFonts w:asciiTheme="minorHAnsi" w:hAnsiTheme="minorHAnsi"/>
          <w:noProof/>
          <w:kern w:val="2"/>
          <w14:ligatures w14:val="standardContextual"/>
        </w:rPr>
      </w:pPr>
      <w:hyperlink w:anchor="_Toc143077506" w:history="1">
        <w:r w:rsidR="00891D57" w:rsidRPr="00FC00F4">
          <w:rPr>
            <w:rStyle w:val="Hyperlink"/>
            <w:noProof/>
          </w:rPr>
          <w:t>1.4</w:t>
        </w:r>
        <w:r w:rsidR="00891D57">
          <w:rPr>
            <w:rFonts w:asciiTheme="minorHAnsi" w:hAnsiTheme="minorHAnsi"/>
            <w:noProof/>
            <w:kern w:val="2"/>
            <w14:ligatures w14:val="standardContextual"/>
          </w:rPr>
          <w:tab/>
        </w:r>
        <w:r w:rsidR="00891D57" w:rsidRPr="00FC00F4">
          <w:rPr>
            <w:rStyle w:val="Hyperlink"/>
            <w:noProof/>
          </w:rPr>
          <w:t>Other guidance for the National Policy Statement for Freshwater Management</w:t>
        </w:r>
        <w:r w:rsidR="00891D57">
          <w:rPr>
            <w:noProof/>
            <w:webHidden/>
          </w:rPr>
          <w:tab/>
        </w:r>
        <w:r w:rsidR="00891D57">
          <w:rPr>
            <w:noProof/>
            <w:webHidden/>
          </w:rPr>
          <w:fldChar w:fldCharType="begin"/>
        </w:r>
        <w:r w:rsidR="00891D57">
          <w:rPr>
            <w:noProof/>
            <w:webHidden/>
          </w:rPr>
          <w:instrText xml:space="preserve"> PAGEREF _Toc143077506 \h </w:instrText>
        </w:r>
        <w:r w:rsidR="00891D57">
          <w:rPr>
            <w:noProof/>
            <w:webHidden/>
          </w:rPr>
        </w:r>
        <w:r w:rsidR="00891D57">
          <w:rPr>
            <w:noProof/>
            <w:webHidden/>
          </w:rPr>
          <w:fldChar w:fldCharType="separate"/>
        </w:r>
        <w:r w:rsidR="00FA0487">
          <w:rPr>
            <w:noProof/>
            <w:webHidden/>
          </w:rPr>
          <w:t>12</w:t>
        </w:r>
        <w:r w:rsidR="00891D57">
          <w:rPr>
            <w:noProof/>
            <w:webHidden/>
          </w:rPr>
          <w:fldChar w:fldCharType="end"/>
        </w:r>
      </w:hyperlink>
    </w:p>
    <w:p w14:paraId="20CF9345" w14:textId="02042759" w:rsidR="00891D57" w:rsidRDefault="00E8131B">
      <w:pPr>
        <w:pStyle w:val="TOC1"/>
        <w:rPr>
          <w:rFonts w:asciiTheme="minorHAnsi" w:hAnsiTheme="minorHAnsi"/>
          <w:noProof/>
          <w:kern w:val="2"/>
          <w14:ligatures w14:val="standardContextual"/>
        </w:rPr>
      </w:pPr>
      <w:hyperlink w:anchor="_Toc143077507" w:history="1">
        <w:r w:rsidR="00891D57" w:rsidRPr="00FC00F4">
          <w:rPr>
            <w:rStyle w:val="Hyperlink"/>
            <w:noProof/>
          </w:rPr>
          <w:t>2</w:t>
        </w:r>
        <w:r w:rsidR="00891D57">
          <w:rPr>
            <w:rFonts w:asciiTheme="minorHAnsi" w:hAnsiTheme="minorHAnsi"/>
            <w:noProof/>
            <w:kern w:val="2"/>
            <w14:ligatures w14:val="standardContextual"/>
          </w:rPr>
          <w:tab/>
        </w:r>
        <w:r w:rsidR="00891D57" w:rsidRPr="00FC00F4">
          <w:rPr>
            <w:rStyle w:val="Hyperlink"/>
            <w:noProof/>
          </w:rPr>
          <w:t>About clause 3.13: Special provisions for attributes affected by nutrients</w:t>
        </w:r>
        <w:r w:rsidR="00891D57">
          <w:rPr>
            <w:noProof/>
            <w:webHidden/>
          </w:rPr>
          <w:tab/>
        </w:r>
        <w:r w:rsidR="00891D57">
          <w:rPr>
            <w:noProof/>
            <w:webHidden/>
          </w:rPr>
          <w:fldChar w:fldCharType="begin"/>
        </w:r>
        <w:r w:rsidR="00891D57">
          <w:rPr>
            <w:noProof/>
            <w:webHidden/>
          </w:rPr>
          <w:instrText xml:space="preserve"> PAGEREF _Toc143077507 \h </w:instrText>
        </w:r>
        <w:r w:rsidR="00891D57">
          <w:rPr>
            <w:noProof/>
            <w:webHidden/>
          </w:rPr>
        </w:r>
        <w:r w:rsidR="00891D57">
          <w:rPr>
            <w:noProof/>
            <w:webHidden/>
          </w:rPr>
          <w:fldChar w:fldCharType="separate"/>
        </w:r>
        <w:r w:rsidR="00FA0487">
          <w:rPr>
            <w:noProof/>
            <w:webHidden/>
          </w:rPr>
          <w:t>13</w:t>
        </w:r>
        <w:r w:rsidR="00891D57">
          <w:rPr>
            <w:noProof/>
            <w:webHidden/>
          </w:rPr>
          <w:fldChar w:fldCharType="end"/>
        </w:r>
      </w:hyperlink>
    </w:p>
    <w:p w14:paraId="56517D01" w14:textId="120A2399" w:rsidR="00891D57" w:rsidRDefault="00E8131B">
      <w:pPr>
        <w:pStyle w:val="TOC2"/>
        <w:tabs>
          <w:tab w:val="left" w:pos="1134"/>
        </w:tabs>
        <w:rPr>
          <w:rFonts w:asciiTheme="minorHAnsi" w:hAnsiTheme="minorHAnsi"/>
          <w:noProof/>
          <w:kern w:val="2"/>
          <w14:ligatures w14:val="standardContextual"/>
        </w:rPr>
      </w:pPr>
      <w:hyperlink w:anchor="_Toc143077508" w:history="1">
        <w:r w:rsidR="00891D57" w:rsidRPr="00FC00F4">
          <w:rPr>
            <w:rStyle w:val="Hyperlink"/>
            <w:rFonts w:eastAsia="Calibri"/>
            <w:noProof/>
          </w:rPr>
          <w:t>2.1</w:t>
        </w:r>
        <w:r w:rsidR="00891D57">
          <w:rPr>
            <w:rFonts w:asciiTheme="minorHAnsi" w:hAnsiTheme="minorHAnsi"/>
            <w:noProof/>
            <w:kern w:val="2"/>
            <w14:ligatures w14:val="standardContextual"/>
          </w:rPr>
          <w:tab/>
        </w:r>
        <w:r w:rsidR="00891D57" w:rsidRPr="00FC00F4">
          <w:rPr>
            <w:rStyle w:val="Hyperlink"/>
            <w:rFonts w:eastAsia="Calibri"/>
            <w:noProof/>
          </w:rPr>
          <w:t>Policy intent</w:t>
        </w:r>
        <w:r w:rsidR="00891D57">
          <w:rPr>
            <w:noProof/>
            <w:webHidden/>
          </w:rPr>
          <w:tab/>
        </w:r>
        <w:r w:rsidR="00891D57">
          <w:rPr>
            <w:noProof/>
            <w:webHidden/>
          </w:rPr>
          <w:fldChar w:fldCharType="begin"/>
        </w:r>
        <w:r w:rsidR="00891D57">
          <w:rPr>
            <w:noProof/>
            <w:webHidden/>
          </w:rPr>
          <w:instrText xml:space="preserve"> PAGEREF _Toc143077508 \h </w:instrText>
        </w:r>
        <w:r w:rsidR="00891D57">
          <w:rPr>
            <w:noProof/>
            <w:webHidden/>
          </w:rPr>
        </w:r>
        <w:r w:rsidR="00891D57">
          <w:rPr>
            <w:noProof/>
            <w:webHidden/>
          </w:rPr>
          <w:fldChar w:fldCharType="separate"/>
        </w:r>
        <w:r w:rsidR="00FA0487">
          <w:rPr>
            <w:noProof/>
            <w:webHidden/>
          </w:rPr>
          <w:t>13</w:t>
        </w:r>
        <w:r w:rsidR="00891D57">
          <w:rPr>
            <w:noProof/>
            <w:webHidden/>
          </w:rPr>
          <w:fldChar w:fldCharType="end"/>
        </w:r>
      </w:hyperlink>
    </w:p>
    <w:p w14:paraId="0F357F62" w14:textId="0528B850" w:rsidR="00891D57" w:rsidRDefault="00E8131B">
      <w:pPr>
        <w:pStyle w:val="TOC1"/>
        <w:rPr>
          <w:rFonts w:asciiTheme="minorHAnsi" w:hAnsiTheme="minorHAnsi"/>
          <w:noProof/>
          <w:kern w:val="2"/>
          <w14:ligatures w14:val="standardContextual"/>
        </w:rPr>
      </w:pPr>
      <w:hyperlink w:anchor="_Toc143077509" w:history="1">
        <w:r w:rsidR="00891D57" w:rsidRPr="00FC00F4">
          <w:rPr>
            <w:rStyle w:val="Hyperlink"/>
            <w:noProof/>
          </w:rPr>
          <w:t>3</w:t>
        </w:r>
        <w:r w:rsidR="00891D57">
          <w:rPr>
            <w:rFonts w:asciiTheme="minorHAnsi" w:hAnsiTheme="minorHAnsi"/>
            <w:noProof/>
            <w:kern w:val="2"/>
            <w14:ligatures w14:val="standardContextual"/>
          </w:rPr>
          <w:tab/>
        </w:r>
        <w:r w:rsidR="00891D57" w:rsidRPr="00FC00F4">
          <w:rPr>
            <w:rStyle w:val="Hyperlink"/>
            <w:noProof/>
          </w:rPr>
          <w:t>Implementing clause 3.13</w:t>
        </w:r>
        <w:r w:rsidR="00891D57">
          <w:rPr>
            <w:noProof/>
            <w:webHidden/>
          </w:rPr>
          <w:tab/>
        </w:r>
        <w:r w:rsidR="00891D57">
          <w:rPr>
            <w:noProof/>
            <w:webHidden/>
          </w:rPr>
          <w:fldChar w:fldCharType="begin"/>
        </w:r>
        <w:r w:rsidR="00891D57">
          <w:rPr>
            <w:noProof/>
            <w:webHidden/>
          </w:rPr>
          <w:instrText xml:space="preserve"> PAGEREF _Toc143077509 \h </w:instrText>
        </w:r>
        <w:r w:rsidR="00891D57">
          <w:rPr>
            <w:noProof/>
            <w:webHidden/>
          </w:rPr>
        </w:r>
        <w:r w:rsidR="00891D57">
          <w:rPr>
            <w:noProof/>
            <w:webHidden/>
          </w:rPr>
          <w:fldChar w:fldCharType="separate"/>
        </w:r>
        <w:r w:rsidR="00FA0487">
          <w:rPr>
            <w:noProof/>
            <w:webHidden/>
          </w:rPr>
          <w:t>21</w:t>
        </w:r>
        <w:r w:rsidR="00891D57">
          <w:rPr>
            <w:noProof/>
            <w:webHidden/>
          </w:rPr>
          <w:fldChar w:fldCharType="end"/>
        </w:r>
      </w:hyperlink>
    </w:p>
    <w:p w14:paraId="12649B49" w14:textId="022C6642" w:rsidR="00891D57" w:rsidRDefault="00E8131B">
      <w:pPr>
        <w:pStyle w:val="TOC2"/>
        <w:tabs>
          <w:tab w:val="left" w:pos="1134"/>
        </w:tabs>
        <w:rPr>
          <w:rFonts w:asciiTheme="minorHAnsi" w:hAnsiTheme="minorHAnsi"/>
          <w:noProof/>
          <w:kern w:val="2"/>
          <w14:ligatures w14:val="standardContextual"/>
        </w:rPr>
      </w:pPr>
      <w:hyperlink w:anchor="_Toc143077510" w:history="1">
        <w:r w:rsidR="00891D57" w:rsidRPr="00FC00F4">
          <w:rPr>
            <w:rStyle w:val="Hyperlink"/>
            <w:noProof/>
          </w:rPr>
          <w:t xml:space="preserve">3.1 </w:t>
        </w:r>
        <w:r w:rsidR="00891D57">
          <w:rPr>
            <w:rFonts w:asciiTheme="minorHAnsi" w:hAnsiTheme="minorHAnsi"/>
            <w:noProof/>
            <w:kern w:val="2"/>
            <w14:ligatures w14:val="standardContextual"/>
          </w:rPr>
          <w:tab/>
        </w:r>
        <w:r w:rsidR="00891D57" w:rsidRPr="00FC00F4">
          <w:rPr>
            <w:rStyle w:val="Hyperlink"/>
            <w:noProof/>
          </w:rPr>
          <w:t>General approach for setting nutrient criteria under clause 3.13</w:t>
        </w:r>
        <w:r w:rsidR="00891D57">
          <w:rPr>
            <w:noProof/>
            <w:webHidden/>
          </w:rPr>
          <w:tab/>
        </w:r>
        <w:r w:rsidR="00891D57">
          <w:rPr>
            <w:noProof/>
            <w:webHidden/>
          </w:rPr>
          <w:fldChar w:fldCharType="begin"/>
        </w:r>
        <w:r w:rsidR="00891D57">
          <w:rPr>
            <w:noProof/>
            <w:webHidden/>
          </w:rPr>
          <w:instrText xml:space="preserve"> PAGEREF _Toc143077510 \h </w:instrText>
        </w:r>
        <w:r w:rsidR="00891D57">
          <w:rPr>
            <w:noProof/>
            <w:webHidden/>
          </w:rPr>
        </w:r>
        <w:r w:rsidR="00891D57">
          <w:rPr>
            <w:noProof/>
            <w:webHidden/>
          </w:rPr>
          <w:fldChar w:fldCharType="separate"/>
        </w:r>
        <w:r w:rsidR="00FA0487">
          <w:rPr>
            <w:noProof/>
            <w:webHidden/>
          </w:rPr>
          <w:t>21</w:t>
        </w:r>
        <w:r w:rsidR="00891D57">
          <w:rPr>
            <w:noProof/>
            <w:webHidden/>
          </w:rPr>
          <w:fldChar w:fldCharType="end"/>
        </w:r>
      </w:hyperlink>
    </w:p>
    <w:p w14:paraId="38A5FA57" w14:textId="612C78BB" w:rsidR="00891D57" w:rsidRDefault="00E8131B">
      <w:pPr>
        <w:pStyle w:val="TOC2"/>
        <w:tabs>
          <w:tab w:val="left" w:pos="1134"/>
        </w:tabs>
        <w:rPr>
          <w:rFonts w:asciiTheme="minorHAnsi" w:hAnsiTheme="minorHAnsi"/>
          <w:noProof/>
          <w:kern w:val="2"/>
          <w14:ligatures w14:val="standardContextual"/>
        </w:rPr>
      </w:pPr>
      <w:hyperlink w:anchor="_Toc143077511" w:history="1">
        <w:r w:rsidR="00891D57" w:rsidRPr="00FC00F4">
          <w:rPr>
            <w:rStyle w:val="Hyperlink"/>
            <w:noProof/>
          </w:rPr>
          <w:t xml:space="preserve">3.2 </w:t>
        </w:r>
        <w:r w:rsidR="00891D57">
          <w:rPr>
            <w:rFonts w:asciiTheme="minorHAnsi" w:hAnsiTheme="minorHAnsi"/>
            <w:noProof/>
            <w:kern w:val="2"/>
            <w14:ligatures w14:val="standardContextual"/>
          </w:rPr>
          <w:tab/>
        </w:r>
        <w:r w:rsidR="00891D57" w:rsidRPr="00FC00F4">
          <w:rPr>
            <w:rStyle w:val="Hyperlink"/>
            <w:noProof/>
          </w:rPr>
          <w:t>Relationship of clause 3.13 to limits and action plans</w:t>
        </w:r>
        <w:r w:rsidR="00891D57">
          <w:rPr>
            <w:noProof/>
            <w:webHidden/>
          </w:rPr>
          <w:tab/>
        </w:r>
        <w:r w:rsidR="00891D57">
          <w:rPr>
            <w:noProof/>
            <w:webHidden/>
          </w:rPr>
          <w:fldChar w:fldCharType="begin"/>
        </w:r>
        <w:r w:rsidR="00891D57">
          <w:rPr>
            <w:noProof/>
            <w:webHidden/>
          </w:rPr>
          <w:instrText xml:space="preserve"> PAGEREF _Toc143077511 \h </w:instrText>
        </w:r>
        <w:r w:rsidR="00891D57">
          <w:rPr>
            <w:noProof/>
            <w:webHidden/>
          </w:rPr>
        </w:r>
        <w:r w:rsidR="00891D57">
          <w:rPr>
            <w:noProof/>
            <w:webHidden/>
          </w:rPr>
          <w:fldChar w:fldCharType="separate"/>
        </w:r>
        <w:r w:rsidR="00FA0487">
          <w:rPr>
            <w:noProof/>
            <w:webHidden/>
          </w:rPr>
          <w:t>24</w:t>
        </w:r>
        <w:r w:rsidR="00891D57">
          <w:rPr>
            <w:noProof/>
            <w:webHidden/>
          </w:rPr>
          <w:fldChar w:fldCharType="end"/>
        </w:r>
      </w:hyperlink>
    </w:p>
    <w:p w14:paraId="5281A5A2" w14:textId="33632FCF" w:rsidR="00891D57" w:rsidRDefault="00E8131B">
      <w:pPr>
        <w:pStyle w:val="TOC2"/>
        <w:tabs>
          <w:tab w:val="left" w:pos="1134"/>
        </w:tabs>
        <w:rPr>
          <w:rFonts w:asciiTheme="minorHAnsi" w:hAnsiTheme="minorHAnsi"/>
          <w:noProof/>
          <w:kern w:val="2"/>
          <w14:ligatures w14:val="standardContextual"/>
        </w:rPr>
      </w:pPr>
      <w:hyperlink w:anchor="_Toc143077512" w:history="1">
        <w:r w:rsidR="00891D57" w:rsidRPr="00FC00F4">
          <w:rPr>
            <w:rStyle w:val="Hyperlink"/>
            <w:noProof/>
          </w:rPr>
          <w:t xml:space="preserve">3.3 </w:t>
        </w:r>
        <w:r w:rsidR="00891D57">
          <w:rPr>
            <w:rFonts w:asciiTheme="minorHAnsi" w:hAnsiTheme="minorHAnsi"/>
            <w:noProof/>
            <w:kern w:val="2"/>
            <w14:ligatures w14:val="standardContextual"/>
          </w:rPr>
          <w:tab/>
        </w:r>
        <w:r w:rsidR="00891D57" w:rsidRPr="00FC00F4">
          <w:rPr>
            <w:rStyle w:val="Hyperlink"/>
            <w:noProof/>
          </w:rPr>
          <w:t>Deriving nutrient criteria for rivers</w:t>
        </w:r>
        <w:r w:rsidR="00891D57">
          <w:rPr>
            <w:noProof/>
            <w:webHidden/>
          </w:rPr>
          <w:tab/>
        </w:r>
        <w:r w:rsidR="00891D57">
          <w:rPr>
            <w:noProof/>
            <w:webHidden/>
          </w:rPr>
          <w:fldChar w:fldCharType="begin"/>
        </w:r>
        <w:r w:rsidR="00891D57">
          <w:rPr>
            <w:noProof/>
            <w:webHidden/>
          </w:rPr>
          <w:instrText xml:space="preserve"> PAGEREF _Toc143077512 \h </w:instrText>
        </w:r>
        <w:r w:rsidR="00891D57">
          <w:rPr>
            <w:noProof/>
            <w:webHidden/>
          </w:rPr>
        </w:r>
        <w:r w:rsidR="00891D57">
          <w:rPr>
            <w:noProof/>
            <w:webHidden/>
          </w:rPr>
          <w:fldChar w:fldCharType="separate"/>
        </w:r>
        <w:r w:rsidR="00FA0487">
          <w:rPr>
            <w:noProof/>
            <w:webHidden/>
          </w:rPr>
          <w:t>25</w:t>
        </w:r>
        <w:r w:rsidR="00891D57">
          <w:rPr>
            <w:noProof/>
            <w:webHidden/>
          </w:rPr>
          <w:fldChar w:fldCharType="end"/>
        </w:r>
      </w:hyperlink>
    </w:p>
    <w:p w14:paraId="52BC235F" w14:textId="1ED9A743" w:rsidR="00891D57" w:rsidRDefault="00E8131B">
      <w:pPr>
        <w:pStyle w:val="TOC2"/>
        <w:tabs>
          <w:tab w:val="left" w:pos="1134"/>
        </w:tabs>
        <w:rPr>
          <w:rFonts w:asciiTheme="minorHAnsi" w:hAnsiTheme="minorHAnsi"/>
          <w:noProof/>
          <w:kern w:val="2"/>
          <w14:ligatures w14:val="standardContextual"/>
        </w:rPr>
      </w:pPr>
      <w:hyperlink w:anchor="_Toc143077513" w:history="1">
        <w:r w:rsidR="00891D57" w:rsidRPr="00FC00F4">
          <w:rPr>
            <w:rStyle w:val="Hyperlink"/>
            <w:noProof/>
          </w:rPr>
          <w:t xml:space="preserve">3.4 </w:t>
        </w:r>
        <w:r w:rsidR="00891D57">
          <w:rPr>
            <w:rFonts w:asciiTheme="minorHAnsi" w:hAnsiTheme="minorHAnsi"/>
            <w:noProof/>
            <w:kern w:val="2"/>
            <w14:ligatures w14:val="standardContextual"/>
          </w:rPr>
          <w:tab/>
        </w:r>
        <w:r w:rsidR="00891D57" w:rsidRPr="00FC00F4">
          <w:rPr>
            <w:rStyle w:val="Hyperlink"/>
            <w:noProof/>
          </w:rPr>
          <w:t>Deriving nutrient criteria for nutrient</w:t>
        </w:r>
        <w:r w:rsidR="00891D57" w:rsidRPr="00FC00F4">
          <w:rPr>
            <w:rStyle w:val="Hyperlink"/>
            <w:noProof/>
          </w:rPr>
          <w:noBreakHyphen/>
          <w:t>sensitive downstream receiving environments</w:t>
        </w:r>
        <w:r w:rsidR="00891D57">
          <w:rPr>
            <w:noProof/>
            <w:webHidden/>
          </w:rPr>
          <w:tab/>
        </w:r>
        <w:r w:rsidR="00891D57">
          <w:rPr>
            <w:noProof/>
            <w:webHidden/>
          </w:rPr>
          <w:fldChar w:fldCharType="begin"/>
        </w:r>
        <w:r w:rsidR="00891D57">
          <w:rPr>
            <w:noProof/>
            <w:webHidden/>
          </w:rPr>
          <w:instrText xml:space="preserve"> PAGEREF _Toc143077513 \h </w:instrText>
        </w:r>
        <w:r w:rsidR="00891D57">
          <w:rPr>
            <w:noProof/>
            <w:webHidden/>
          </w:rPr>
        </w:r>
        <w:r w:rsidR="00891D57">
          <w:rPr>
            <w:noProof/>
            <w:webHidden/>
          </w:rPr>
          <w:fldChar w:fldCharType="separate"/>
        </w:r>
        <w:r w:rsidR="00FA0487">
          <w:rPr>
            <w:noProof/>
            <w:webHidden/>
          </w:rPr>
          <w:t>35</w:t>
        </w:r>
        <w:r w:rsidR="00891D57">
          <w:rPr>
            <w:noProof/>
            <w:webHidden/>
          </w:rPr>
          <w:fldChar w:fldCharType="end"/>
        </w:r>
      </w:hyperlink>
    </w:p>
    <w:p w14:paraId="16A5E674" w14:textId="5591E140" w:rsidR="00891D57" w:rsidRDefault="00E8131B">
      <w:pPr>
        <w:pStyle w:val="TOC2"/>
        <w:tabs>
          <w:tab w:val="left" w:pos="1134"/>
        </w:tabs>
        <w:rPr>
          <w:rFonts w:asciiTheme="minorHAnsi" w:hAnsiTheme="minorHAnsi"/>
          <w:noProof/>
          <w:kern w:val="2"/>
          <w14:ligatures w14:val="standardContextual"/>
        </w:rPr>
      </w:pPr>
      <w:hyperlink w:anchor="_Toc143077514" w:history="1">
        <w:r w:rsidR="00891D57" w:rsidRPr="00FC00F4">
          <w:rPr>
            <w:rStyle w:val="Hyperlink"/>
            <w:noProof/>
          </w:rPr>
          <w:t xml:space="preserve">3.5 </w:t>
        </w:r>
        <w:r w:rsidR="00891D57">
          <w:rPr>
            <w:rFonts w:asciiTheme="minorHAnsi" w:hAnsiTheme="minorHAnsi"/>
            <w:noProof/>
            <w:kern w:val="2"/>
            <w14:ligatures w14:val="standardContextual"/>
          </w:rPr>
          <w:tab/>
        </w:r>
        <w:r w:rsidR="00891D57" w:rsidRPr="00FC00F4">
          <w:rPr>
            <w:rStyle w:val="Hyperlink"/>
            <w:noProof/>
          </w:rPr>
          <w:t>Reconciling nutrient criteria across the freshwater management unit and downstream receiving environments</w:t>
        </w:r>
        <w:r w:rsidR="00891D57">
          <w:rPr>
            <w:noProof/>
            <w:webHidden/>
          </w:rPr>
          <w:tab/>
        </w:r>
        <w:r w:rsidR="00891D57">
          <w:rPr>
            <w:noProof/>
            <w:webHidden/>
          </w:rPr>
          <w:fldChar w:fldCharType="begin"/>
        </w:r>
        <w:r w:rsidR="00891D57">
          <w:rPr>
            <w:noProof/>
            <w:webHidden/>
          </w:rPr>
          <w:instrText xml:space="preserve"> PAGEREF _Toc143077514 \h </w:instrText>
        </w:r>
        <w:r w:rsidR="00891D57">
          <w:rPr>
            <w:noProof/>
            <w:webHidden/>
          </w:rPr>
        </w:r>
        <w:r w:rsidR="00891D57">
          <w:rPr>
            <w:noProof/>
            <w:webHidden/>
          </w:rPr>
          <w:fldChar w:fldCharType="separate"/>
        </w:r>
        <w:r w:rsidR="00FA0487">
          <w:rPr>
            <w:noProof/>
            <w:webHidden/>
          </w:rPr>
          <w:t>40</w:t>
        </w:r>
        <w:r w:rsidR="00891D57">
          <w:rPr>
            <w:noProof/>
            <w:webHidden/>
          </w:rPr>
          <w:fldChar w:fldCharType="end"/>
        </w:r>
      </w:hyperlink>
    </w:p>
    <w:p w14:paraId="7586BC0A" w14:textId="0AE89FE8" w:rsidR="00891D57" w:rsidRDefault="00E8131B">
      <w:pPr>
        <w:pStyle w:val="TOC1"/>
        <w:rPr>
          <w:rFonts w:asciiTheme="minorHAnsi" w:hAnsiTheme="minorHAnsi"/>
          <w:noProof/>
          <w:kern w:val="2"/>
          <w14:ligatures w14:val="standardContextual"/>
        </w:rPr>
      </w:pPr>
      <w:hyperlink w:anchor="_Toc143077515" w:history="1">
        <w:r w:rsidR="00891D57" w:rsidRPr="00FC00F4">
          <w:rPr>
            <w:rStyle w:val="Hyperlink"/>
            <w:noProof/>
          </w:rPr>
          <w:t>References</w:t>
        </w:r>
        <w:r w:rsidR="00891D57">
          <w:rPr>
            <w:noProof/>
            <w:webHidden/>
          </w:rPr>
          <w:tab/>
        </w:r>
        <w:r w:rsidR="00891D57">
          <w:rPr>
            <w:noProof/>
            <w:webHidden/>
          </w:rPr>
          <w:fldChar w:fldCharType="begin"/>
        </w:r>
        <w:r w:rsidR="00891D57">
          <w:rPr>
            <w:noProof/>
            <w:webHidden/>
          </w:rPr>
          <w:instrText xml:space="preserve"> PAGEREF _Toc143077515 \h </w:instrText>
        </w:r>
        <w:r w:rsidR="00891D57">
          <w:rPr>
            <w:noProof/>
            <w:webHidden/>
          </w:rPr>
        </w:r>
        <w:r w:rsidR="00891D57">
          <w:rPr>
            <w:noProof/>
            <w:webHidden/>
          </w:rPr>
          <w:fldChar w:fldCharType="separate"/>
        </w:r>
        <w:r w:rsidR="00FA0487">
          <w:rPr>
            <w:noProof/>
            <w:webHidden/>
          </w:rPr>
          <w:t>41</w:t>
        </w:r>
        <w:r w:rsidR="00891D57">
          <w:rPr>
            <w:noProof/>
            <w:webHidden/>
          </w:rPr>
          <w:fldChar w:fldCharType="end"/>
        </w:r>
      </w:hyperlink>
    </w:p>
    <w:p w14:paraId="0E001078" w14:textId="43B886A7" w:rsidR="00B6599D" w:rsidRPr="00E23CED" w:rsidRDefault="007502F0" w:rsidP="007C76E0">
      <w:pPr>
        <w:pStyle w:val="BodyText"/>
        <w:rPr>
          <w:rFonts w:ascii="Georgia" w:eastAsiaTheme="majorEastAsia" w:hAnsi="Georgia" w:cstheme="majorBidi"/>
          <w:b/>
          <w:bCs/>
          <w:color w:val="1B556B"/>
          <w:sz w:val="48"/>
          <w:szCs w:val="28"/>
        </w:rPr>
      </w:pPr>
      <w:r w:rsidRPr="00E23CED">
        <w:rPr>
          <w:color w:val="0092CF"/>
        </w:rPr>
        <w:fldChar w:fldCharType="end"/>
      </w:r>
      <w:r w:rsidR="00B6599D" w:rsidRPr="00E23CED">
        <w:br w:type="page"/>
      </w:r>
    </w:p>
    <w:p w14:paraId="2009A831" w14:textId="706C8390" w:rsidR="00A8482D" w:rsidRPr="00E23CED" w:rsidRDefault="00A8482D" w:rsidP="00B6599D">
      <w:pPr>
        <w:pStyle w:val="Heading"/>
      </w:pPr>
      <w:r w:rsidRPr="00E23CED">
        <w:lastRenderedPageBreak/>
        <w:t>Tables</w:t>
      </w:r>
    </w:p>
    <w:p w14:paraId="162D1640" w14:textId="0268EAA7" w:rsidR="001248AE" w:rsidRDefault="00786D8B">
      <w:pPr>
        <w:pStyle w:val="TableofFigures"/>
        <w:rPr>
          <w:rFonts w:eastAsiaTheme="minorEastAsia" w:cstheme="minorBidi"/>
          <w:iCs w:val="0"/>
          <w:kern w:val="2"/>
          <w:lang w:eastAsia="en-NZ"/>
          <w14:ligatures w14:val="standardContextual"/>
        </w:rPr>
      </w:pPr>
      <w:r w:rsidRPr="00E23CED">
        <w:rPr>
          <w:rFonts w:eastAsia="Times New Roman"/>
          <w:noProof w:val="0"/>
        </w:rPr>
        <w:fldChar w:fldCharType="begin"/>
      </w:r>
      <w:r w:rsidRPr="00E23CED">
        <w:rPr>
          <w:rFonts w:eastAsia="Times New Roman"/>
          <w:noProof w:val="0"/>
        </w:rPr>
        <w:instrText xml:space="preserve"> TOC \h \z \t "Table heading" \c </w:instrText>
      </w:r>
      <w:r w:rsidRPr="00E23CED">
        <w:rPr>
          <w:rFonts w:eastAsia="Times New Roman"/>
          <w:noProof w:val="0"/>
        </w:rPr>
        <w:fldChar w:fldCharType="separate"/>
      </w:r>
      <w:hyperlink w:anchor="_Toc142661793" w:history="1">
        <w:r w:rsidR="001248AE" w:rsidRPr="00826EA5">
          <w:rPr>
            <w:rStyle w:val="Hyperlink"/>
          </w:rPr>
          <w:t xml:space="preserve">Table 1: </w:t>
        </w:r>
        <w:r w:rsidR="001248AE">
          <w:rPr>
            <w:rFonts w:eastAsiaTheme="minorEastAsia" w:cstheme="minorBidi"/>
            <w:iCs w:val="0"/>
            <w:kern w:val="2"/>
            <w:lang w:eastAsia="en-NZ"/>
            <w14:ligatures w14:val="standardContextual"/>
          </w:rPr>
          <w:tab/>
        </w:r>
        <w:r w:rsidR="001248AE" w:rsidRPr="00826EA5">
          <w:rPr>
            <w:rStyle w:val="Hyperlink"/>
          </w:rPr>
          <w:t>Nutrient-affected attributes, including those introduced in the National Policy Statement for Freshwater Management 2020</w:t>
        </w:r>
        <w:r w:rsidR="001248AE">
          <w:rPr>
            <w:webHidden/>
          </w:rPr>
          <w:tab/>
        </w:r>
        <w:r w:rsidR="001248AE">
          <w:rPr>
            <w:webHidden/>
          </w:rPr>
          <w:fldChar w:fldCharType="begin"/>
        </w:r>
        <w:r w:rsidR="001248AE">
          <w:rPr>
            <w:webHidden/>
          </w:rPr>
          <w:instrText xml:space="preserve"> PAGEREF _Toc142661793 \h </w:instrText>
        </w:r>
        <w:r w:rsidR="001248AE">
          <w:rPr>
            <w:webHidden/>
          </w:rPr>
        </w:r>
        <w:r w:rsidR="001248AE">
          <w:rPr>
            <w:webHidden/>
          </w:rPr>
          <w:fldChar w:fldCharType="separate"/>
        </w:r>
        <w:r w:rsidR="00FA0487">
          <w:rPr>
            <w:webHidden/>
          </w:rPr>
          <w:t>27</w:t>
        </w:r>
        <w:r w:rsidR="001248AE">
          <w:rPr>
            <w:webHidden/>
          </w:rPr>
          <w:fldChar w:fldCharType="end"/>
        </w:r>
      </w:hyperlink>
    </w:p>
    <w:p w14:paraId="5ABB443B" w14:textId="02EEAD51" w:rsidR="001248AE" w:rsidRDefault="00E8131B">
      <w:pPr>
        <w:pStyle w:val="TableofFigures"/>
        <w:rPr>
          <w:rFonts w:eastAsiaTheme="minorEastAsia" w:cstheme="minorBidi"/>
          <w:iCs w:val="0"/>
          <w:kern w:val="2"/>
          <w:lang w:eastAsia="en-NZ"/>
          <w14:ligatures w14:val="standardContextual"/>
        </w:rPr>
      </w:pPr>
      <w:hyperlink w:anchor="_Toc142661794" w:history="1">
        <w:r w:rsidR="001248AE" w:rsidRPr="00826EA5">
          <w:rPr>
            <w:rStyle w:val="Hyperlink"/>
          </w:rPr>
          <w:t xml:space="preserve">Table 2: </w:t>
        </w:r>
        <w:r w:rsidR="001248AE">
          <w:rPr>
            <w:rFonts w:eastAsiaTheme="minorEastAsia" w:cstheme="minorBidi"/>
            <w:iCs w:val="0"/>
            <w:kern w:val="2"/>
            <w:lang w:eastAsia="en-NZ"/>
            <w14:ligatures w14:val="standardContextual"/>
          </w:rPr>
          <w:tab/>
        </w:r>
        <w:r w:rsidR="001248AE" w:rsidRPr="00826EA5">
          <w:rPr>
            <w:rStyle w:val="Hyperlink"/>
          </w:rPr>
          <w:t>Nutrient criteria for each trophic group and the overall average</w:t>
        </w:r>
        <w:r w:rsidR="001248AE">
          <w:rPr>
            <w:webHidden/>
          </w:rPr>
          <w:tab/>
        </w:r>
        <w:r w:rsidR="001248AE">
          <w:rPr>
            <w:webHidden/>
          </w:rPr>
          <w:fldChar w:fldCharType="begin"/>
        </w:r>
        <w:r w:rsidR="001248AE">
          <w:rPr>
            <w:webHidden/>
          </w:rPr>
          <w:instrText xml:space="preserve"> PAGEREF _Toc142661794 \h </w:instrText>
        </w:r>
        <w:r w:rsidR="001248AE">
          <w:rPr>
            <w:webHidden/>
          </w:rPr>
        </w:r>
        <w:r w:rsidR="001248AE">
          <w:rPr>
            <w:webHidden/>
          </w:rPr>
          <w:fldChar w:fldCharType="separate"/>
        </w:r>
        <w:r w:rsidR="00FA0487">
          <w:rPr>
            <w:webHidden/>
          </w:rPr>
          <w:t>30</w:t>
        </w:r>
        <w:r w:rsidR="001248AE">
          <w:rPr>
            <w:webHidden/>
          </w:rPr>
          <w:fldChar w:fldCharType="end"/>
        </w:r>
      </w:hyperlink>
    </w:p>
    <w:p w14:paraId="5D356100" w14:textId="362CA438" w:rsidR="001248AE" w:rsidRDefault="00E8131B">
      <w:pPr>
        <w:pStyle w:val="TableofFigures"/>
        <w:rPr>
          <w:rFonts w:eastAsiaTheme="minorEastAsia" w:cstheme="minorBidi"/>
          <w:iCs w:val="0"/>
          <w:kern w:val="2"/>
          <w:lang w:eastAsia="en-NZ"/>
          <w14:ligatures w14:val="standardContextual"/>
        </w:rPr>
      </w:pPr>
      <w:hyperlink w:anchor="_Toc142661795" w:history="1">
        <w:r w:rsidR="001248AE" w:rsidRPr="00826EA5">
          <w:rPr>
            <w:rStyle w:val="Hyperlink"/>
          </w:rPr>
          <w:t xml:space="preserve">Table 3: </w:t>
        </w:r>
        <w:r w:rsidR="001248AE">
          <w:rPr>
            <w:rFonts w:eastAsiaTheme="minorEastAsia" w:cstheme="minorBidi"/>
            <w:iCs w:val="0"/>
            <w:kern w:val="2"/>
            <w:lang w:eastAsia="en-NZ"/>
            <w14:ligatures w14:val="standardContextual"/>
          </w:rPr>
          <w:tab/>
        </w:r>
        <w:r w:rsidR="001248AE" w:rsidRPr="00826EA5">
          <w:rPr>
            <w:rStyle w:val="Hyperlink"/>
          </w:rPr>
          <w:t>Indicative potential</w:t>
        </w:r>
        <w:r w:rsidR="001248AE" w:rsidRPr="00826EA5">
          <w:rPr>
            <w:rStyle w:val="Hyperlink"/>
            <w:i/>
          </w:rPr>
          <w:t xml:space="preserve"> </w:t>
        </w:r>
        <w:r w:rsidR="001248AE" w:rsidRPr="00826EA5">
          <w:rPr>
            <w:rStyle w:val="Hyperlink"/>
          </w:rPr>
          <w:t>total nitrogen threshold concentrations (milligrams per cubic metre) for macroalgal and phytoplankton trophic states in Aotearoa estuaries</w:t>
        </w:r>
        <w:r w:rsidR="001248AE">
          <w:rPr>
            <w:webHidden/>
          </w:rPr>
          <w:tab/>
        </w:r>
        <w:r w:rsidR="001248AE">
          <w:rPr>
            <w:webHidden/>
          </w:rPr>
          <w:fldChar w:fldCharType="begin"/>
        </w:r>
        <w:r w:rsidR="001248AE">
          <w:rPr>
            <w:webHidden/>
          </w:rPr>
          <w:instrText xml:space="preserve"> PAGEREF _Toc142661795 \h </w:instrText>
        </w:r>
        <w:r w:rsidR="001248AE">
          <w:rPr>
            <w:webHidden/>
          </w:rPr>
        </w:r>
        <w:r w:rsidR="001248AE">
          <w:rPr>
            <w:webHidden/>
          </w:rPr>
          <w:fldChar w:fldCharType="separate"/>
        </w:r>
        <w:r w:rsidR="00FA0487">
          <w:rPr>
            <w:webHidden/>
          </w:rPr>
          <w:t>39</w:t>
        </w:r>
        <w:r w:rsidR="001248AE">
          <w:rPr>
            <w:webHidden/>
          </w:rPr>
          <w:fldChar w:fldCharType="end"/>
        </w:r>
      </w:hyperlink>
    </w:p>
    <w:p w14:paraId="58FCC5A4" w14:textId="63D72779" w:rsidR="00A8482D" w:rsidRPr="00E23CED" w:rsidRDefault="00786D8B" w:rsidP="008E29E7">
      <w:pPr>
        <w:pStyle w:val="BodyText"/>
      </w:pPr>
      <w:r w:rsidRPr="00E23CED">
        <w:rPr>
          <w:rFonts w:asciiTheme="minorHAnsi" w:hAnsiTheme="minorHAnsi" w:cs="Times New Roman"/>
          <w:lang w:eastAsia="en-US"/>
        </w:rPr>
        <w:fldChar w:fldCharType="end"/>
      </w:r>
    </w:p>
    <w:p w14:paraId="7436FFC3" w14:textId="77777777" w:rsidR="00A8482D" w:rsidRPr="00E23CED" w:rsidRDefault="00A8482D" w:rsidP="00B6599D">
      <w:pPr>
        <w:pStyle w:val="Heading"/>
      </w:pPr>
      <w:r w:rsidRPr="00E23CED">
        <w:t>Figures</w:t>
      </w:r>
    </w:p>
    <w:p w14:paraId="576D215E" w14:textId="705A26B0" w:rsidR="001248AE" w:rsidRDefault="00DE1894">
      <w:pPr>
        <w:pStyle w:val="TableofFigures"/>
        <w:rPr>
          <w:rFonts w:eastAsiaTheme="minorEastAsia" w:cstheme="minorBidi"/>
          <w:iCs w:val="0"/>
          <w:kern w:val="2"/>
          <w:lang w:eastAsia="en-NZ"/>
          <w14:ligatures w14:val="standardContextual"/>
        </w:rPr>
      </w:pPr>
      <w:r w:rsidRPr="00E23CED">
        <w:rPr>
          <w:noProof w:val="0"/>
        </w:rPr>
        <w:fldChar w:fldCharType="begin"/>
      </w:r>
      <w:r w:rsidRPr="00E23CED">
        <w:rPr>
          <w:noProof w:val="0"/>
        </w:rPr>
        <w:instrText xml:space="preserve"> TOC \h \z \t "Figure heading" \c </w:instrText>
      </w:r>
      <w:r w:rsidRPr="00E23CED">
        <w:rPr>
          <w:noProof w:val="0"/>
        </w:rPr>
        <w:fldChar w:fldCharType="separate"/>
      </w:r>
      <w:hyperlink w:anchor="_Toc142661803" w:history="1">
        <w:r w:rsidR="001248AE" w:rsidRPr="00EA413B">
          <w:rPr>
            <w:rStyle w:val="Hyperlink"/>
          </w:rPr>
          <w:t xml:space="preserve">Figure 1: </w:t>
        </w:r>
        <w:r w:rsidR="001248AE">
          <w:rPr>
            <w:rFonts w:eastAsiaTheme="minorEastAsia" w:cstheme="minorBidi"/>
            <w:iCs w:val="0"/>
            <w:kern w:val="2"/>
            <w:lang w:eastAsia="en-NZ"/>
            <w14:ligatures w14:val="standardContextual"/>
          </w:rPr>
          <w:tab/>
        </w:r>
        <w:r w:rsidR="001248AE" w:rsidRPr="00EA413B">
          <w:rPr>
            <w:rStyle w:val="Hyperlink"/>
          </w:rPr>
          <w:t>Overview of recent updates to the National Policy Statement for Freshwater Management 2020 (NPS-FM)</w:t>
        </w:r>
        <w:r w:rsidR="001248AE">
          <w:rPr>
            <w:webHidden/>
          </w:rPr>
          <w:tab/>
        </w:r>
        <w:r w:rsidR="001248AE">
          <w:rPr>
            <w:webHidden/>
          </w:rPr>
          <w:fldChar w:fldCharType="begin"/>
        </w:r>
        <w:r w:rsidR="001248AE">
          <w:rPr>
            <w:webHidden/>
          </w:rPr>
          <w:instrText xml:space="preserve"> PAGEREF _Toc142661803 \h </w:instrText>
        </w:r>
        <w:r w:rsidR="001248AE">
          <w:rPr>
            <w:webHidden/>
          </w:rPr>
        </w:r>
        <w:r w:rsidR="001248AE">
          <w:rPr>
            <w:webHidden/>
          </w:rPr>
          <w:fldChar w:fldCharType="separate"/>
        </w:r>
        <w:r w:rsidR="00FA0487">
          <w:rPr>
            <w:webHidden/>
          </w:rPr>
          <w:t>9</w:t>
        </w:r>
        <w:r w:rsidR="001248AE">
          <w:rPr>
            <w:webHidden/>
          </w:rPr>
          <w:fldChar w:fldCharType="end"/>
        </w:r>
      </w:hyperlink>
    </w:p>
    <w:p w14:paraId="10A5F42F" w14:textId="6CB5AC95" w:rsidR="001248AE" w:rsidRDefault="00E8131B">
      <w:pPr>
        <w:pStyle w:val="TableofFigures"/>
        <w:rPr>
          <w:rFonts w:eastAsiaTheme="minorEastAsia" w:cstheme="minorBidi"/>
          <w:iCs w:val="0"/>
          <w:kern w:val="2"/>
          <w:lang w:eastAsia="en-NZ"/>
          <w14:ligatures w14:val="standardContextual"/>
        </w:rPr>
      </w:pPr>
      <w:hyperlink w:anchor="_Toc142661804" w:history="1">
        <w:r w:rsidR="001248AE" w:rsidRPr="00EA413B">
          <w:rPr>
            <w:rStyle w:val="Hyperlink"/>
          </w:rPr>
          <w:t xml:space="preserve">Figure 2: </w:t>
        </w:r>
        <w:r w:rsidR="001248AE">
          <w:rPr>
            <w:rFonts w:eastAsiaTheme="minorEastAsia" w:cstheme="minorBidi"/>
            <w:iCs w:val="0"/>
            <w:kern w:val="2"/>
            <w:lang w:eastAsia="en-NZ"/>
            <w14:ligatures w14:val="standardContextual"/>
          </w:rPr>
          <w:tab/>
        </w:r>
        <w:r w:rsidR="001248AE" w:rsidRPr="00EA413B">
          <w:rPr>
            <w:rStyle w:val="Hyperlink"/>
          </w:rPr>
          <w:t>Timeline of guidance on nutrient or nutrient-affected attributes (document titles link to guidance)</w:t>
        </w:r>
        <w:r w:rsidR="001248AE">
          <w:rPr>
            <w:webHidden/>
          </w:rPr>
          <w:tab/>
        </w:r>
        <w:r w:rsidR="001248AE">
          <w:rPr>
            <w:webHidden/>
          </w:rPr>
          <w:fldChar w:fldCharType="begin"/>
        </w:r>
        <w:r w:rsidR="001248AE">
          <w:rPr>
            <w:webHidden/>
          </w:rPr>
          <w:instrText xml:space="preserve"> PAGEREF _Toc142661804 \h </w:instrText>
        </w:r>
        <w:r w:rsidR="001248AE">
          <w:rPr>
            <w:webHidden/>
          </w:rPr>
        </w:r>
        <w:r w:rsidR="001248AE">
          <w:rPr>
            <w:webHidden/>
          </w:rPr>
          <w:fldChar w:fldCharType="separate"/>
        </w:r>
        <w:r w:rsidR="00FA0487">
          <w:rPr>
            <w:webHidden/>
          </w:rPr>
          <w:t>11</w:t>
        </w:r>
        <w:r w:rsidR="001248AE">
          <w:rPr>
            <w:webHidden/>
          </w:rPr>
          <w:fldChar w:fldCharType="end"/>
        </w:r>
      </w:hyperlink>
    </w:p>
    <w:p w14:paraId="49956B2B" w14:textId="02215490" w:rsidR="001248AE" w:rsidRDefault="00E8131B">
      <w:pPr>
        <w:pStyle w:val="TableofFigures"/>
        <w:rPr>
          <w:rFonts w:eastAsiaTheme="minorEastAsia" w:cstheme="minorBidi"/>
          <w:iCs w:val="0"/>
          <w:kern w:val="2"/>
          <w:lang w:eastAsia="en-NZ"/>
          <w14:ligatures w14:val="standardContextual"/>
        </w:rPr>
      </w:pPr>
      <w:hyperlink w:anchor="_Toc142661805" w:history="1">
        <w:r w:rsidR="001248AE" w:rsidRPr="00EA413B">
          <w:rPr>
            <w:rStyle w:val="Hyperlink"/>
          </w:rPr>
          <w:t xml:space="preserve">Figure 3: </w:t>
        </w:r>
        <w:r w:rsidR="001248AE">
          <w:rPr>
            <w:rFonts w:eastAsiaTheme="minorEastAsia" w:cstheme="minorBidi"/>
            <w:iCs w:val="0"/>
            <w:kern w:val="2"/>
            <w:lang w:eastAsia="en-NZ"/>
            <w14:ligatures w14:val="standardContextual"/>
          </w:rPr>
          <w:tab/>
        </w:r>
        <w:r w:rsidR="001248AE" w:rsidRPr="00EA413B">
          <w:rPr>
            <w:rStyle w:val="Hyperlink"/>
          </w:rPr>
          <w:t>General approach to implementing clause 3.13</w:t>
        </w:r>
        <w:r w:rsidR="001248AE">
          <w:rPr>
            <w:webHidden/>
          </w:rPr>
          <w:tab/>
        </w:r>
        <w:r w:rsidR="001248AE">
          <w:rPr>
            <w:webHidden/>
          </w:rPr>
          <w:fldChar w:fldCharType="begin"/>
        </w:r>
        <w:r w:rsidR="001248AE">
          <w:rPr>
            <w:webHidden/>
          </w:rPr>
          <w:instrText xml:space="preserve"> PAGEREF _Toc142661805 \h </w:instrText>
        </w:r>
        <w:r w:rsidR="001248AE">
          <w:rPr>
            <w:webHidden/>
          </w:rPr>
        </w:r>
        <w:r w:rsidR="001248AE">
          <w:rPr>
            <w:webHidden/>
          </w:rPr>
          <w:fldChar w:fldCharType="separate"/>
        </w:r>
        <w:r w:rsidR="00FA0487">
          <w:rPr>
            <w:webHidden/>
          </w:rPr>
          <w:t>23</w:t>
        </w:r>
        <w:r w:rsidR="001248AE">
          <w:rPr>
            <w:webHidden/>
          </w:rPr>
          <w:fldChar w:fldCharType="end"/>
        </w:r>
      </w:hyperlink>
    </w:p>
    <w:p w14:paraId="043D1E07" w14:textId="7D8096C6" w:rsidR="001248AE" w:rsidRDefault="00E8131B">
      <w:pPr>
        <w:pStyle w:val="TableofFigures"/>
        <w:rPr>
          <w:rFonts w:eastAsiaTheme="minorEastAsia" w:cstheme="minorBidi"/>
          <w:iCs w:val="0"/>
          <w:kern w:val="2"/>
          <w:lang w:eastAsia="en-NZ"/>
          <w14:ligatures w14:val="standardContextual"/>
        </w:rPr>
      </w:pPr>
      <w:hyperlink w:anchor="_Toc142661806" w:history="1">
        <w:r w:rsidR="001248AE" w:rsidRPr="00EA413B">
          <w:rPr>
            <w:rStyle w:val="Hyperlink"/>
          </w:rPr>
          <w:t xml:space="preserve">Figure 4: </w:t>
        </w:r>
        <w:r w:rsidR="001248AE">
          <w:rPr>
            <w:rFonts w:eastAsiaTheme="minorEastAsia" w:cstheme="minorBidi"/>
            <w:iCs w:val="0"/>
            <w:kern w:val="2"/>
            <w:lang w:eastAsia="en-NZ"/>
            <w14:ligatures w14:val="standardContextual"/>
          </w:rPr>
          <w:tab/>
        </w:r>
        <w:r w:rsidR="001248AE" w:rsidRPr="00EA413B">
          <w:rPr>
            <w:rStyle w:val="Hyperlink"/>
          </w:rPr>
          <w:t>Simple conceptual model of the linkages between nutrients and constituents of river ecosystems</w:t>
        </w:r>
        <w:r w:rsidR="001248AE">
          <w:rPr>
            <w:webHidden/>
          </w:rPr>
          <w:tab/>
        </w:r>
        <w:r w:rsidR="001248AE">
          <w:rPr>
            <w:webHidden/>
          </w:rPr>
          <w:fldChar w:fldCharType="begin"/>
        </w:r>
        <w:r w:rsidR="001248AE">
          <w:rPr>
            <w:webHidden/>
          </w:rPr>
          <w:instrText xml:space="preserve"> PAGEREF _Toc142661806 \h </w:instrText>
        </w:r>
        <w:r w:rsidR="001248AE">
          <w:rPr>
            <w:webHidden/>
          </w:rPr>
        </w:r>
        <w:r w:rsidR="001248AE">
          <w:rPr>
            <w:webHidden/>
          </w:rPr>
          <w:fldChar w:fldCharType="separate"/>
        </w:r>
        <w:r w:rsidR="00FA0487">
          <w:rPr>
            <w:webHidden/>
          </w:rPr>
          <w:t>26</w:t>
        </w:r>
        <w:r w:rsidR="001248AE">
          <w:rPr>
            <w:webHidden/>
          </w:rPr>
          <w:fldChar w:fldCharType="end"/>
        </w:r>
      </w:hyperlink>
    </w:p>
    <w:p w14:paraId="37B59802" w14:textId="30753B9E" w:rsidR="001248AE" w:rsidRDefault="00E8131B">
      <w:pPr>
        <w:pStyle w:val="TableofFigures"/>
        <w:rPr>
          <w:rFonts w:eastAsiaTheme="minorEastAsia" w:cstheme="minorBidi"/>
          <w:iCs w:val="0"/>
          <w:kern w:val="2"/>
          <w:lang w:eastAsia="en-NZ"/>
          <w14:ligatures w14:val="standardContextual"/>
        </w:rPr>
      </w:pPr>
      <w:hyperlink w:anchor="_Toc142661807" w:history="1">
        <w:r w:rsidR="001248AE" w:rsidRPr="00EA413B">
          <w:rPr>
            <w:rStyle w:val="Hyperlink"/>
          </w:rPr>
          <w:t xml:space="preserve">Figure 5: </w:t>
        </w:r>
        <w:r w:rsidR="001248AE">
          <w:rPr>
            <w:rFonts w:eastAsiaTheme="minorEastAsia" w:cstheme="minorBidi"/>
            <w:iCs w:val="0"/>
            <w:kern w:val="2"/>
            <w:lang w:eastAsia="en-NZ"/>
            <w14:ligatures w14:val="standardContextual"/>
          </w:rPr>
          <w:tab/>
        </w:r>
        <w:r w:rsidR="001248AE" w:rsidRPr="00EA413B">
          <w:rPr>
            <w:rStyle w:val="Hyperlink"/>
          </w:rPr>
          <w:t>Factors that mediate the relationship between periphyton and nutrients (in this case represented as the nutrient forms dissolved inorganic nitrogen and dissolved reactive phosphorus)</w:t>
        </w:r>
        <w:r w:rsidR="001248AE">
          <w:rPr>
            <w:webHidden/>
          </w:rPr>
          <w:tab/>
        </w:r>
        <w:r w:rsidR="001248AE">
          <w:rPr>
            <w:webHidden/>
          </w:rPr>
          <w:fldChar w:fldCharType="begin"/>
        </w:r>
        <w:r w:rsidR="001248AE">
          <w:rPr>
            <w:webHidden/>
          </w:rPr>
          <w:instrText xml:space="preserve"> PAGEREF _Toc142661807 \h </w:instrText>
        </w:r>
        <w:r w:rsidR="001248AE">
          <w:rPr>
            <w:webHidden/>
          </w:rPr>
        </w:r>
        <w:r w:rsidR="001248AE">
          <w:rPr>
            <w:webHidden/>
          </w:rPr>
          <w:fldChar w:fldCharType="separate"/>
        </w:r>
        <w:r w:rsidR="00FA0487">
          <w:rPr>
            <w:webHidden/>
          </w:rPr>
          <w:t>33</w:t>
        </w:r>
        <w:r w:rsidR="001248AE">
          <w:rPr>
            <w:webHidden/>
          </w:rPr>
          <w:fldChar w:fldCharType="end"/>
        </w:r>
      </w:hyperlink>
    </w:p>
    <w:p w14:paraId="4C9557AC" w14:textId="01586FD4" w:rsidR="001248AE" w:rsidRDefault="00E8131B">
      <w:pPr>
        <w:pStyle w:val="TableofFigures"/>
        <w:rPr>
          <w:rFonts w:eastAsiaTheme="minorEastAsia" w:cstheme="minorBidi"/>
          <w:iCs w:val="0"/>
          <w:kern w:val="2"/>
          <w:lang w:eastAsia="en-NZ"/>
          <w14:ligatures w14:val="standardContextual"/>
        </w:rPr>
      </w:pPr>
      <w:hyperlink w:anchor="_Toc142661808" w:history="1">
        <w:r w:rsidR="001248AE" w:rsidRPr="00EA413B">
          <w:rPr>
            <w:rStyle w:val="Hyperlink"/>
          </w:rPr>
          <w:t xml:space="preserve">Figure 6: </w:t>
        </w:r>
        <w:r w:rsidR="001248AE">
          <w:rPr>
            <w:rFonts w:eastAsiaTheme="minorEastAsia" w:cstheme="minorBidi"/>
            <w:iCs w:val="0"/>
            <w:kern w:val="2"/>
            <w:lang w:eastAsia="en-NZ"/>
            <w14:ligatures w14:val="standardContextual"/>
          </w:rPr>
          <w:tab/>
        </w:r>
        <w:r w:rsidR="001248AE" w:rsidRPr="00EA413B">
          <w:rPr>
            <w:rStyle w:val="Hyperlink"/>
          </w:rPr>
          <w:t>Water source and wetland type</w:t>
        </w:r>
        <w:r w:rsidR="001248AE">
          <w:rPr>
            <w:webHidden/>
          </w:rPr>
          <w:tab/>
        </w:r>
        <w:r w:rsidR="001248AE">
          <w:rPr>
            <w:webHidden/>
          </w:rPr>
          <w:fldChar w:fldCharType="begin"/>
        </w:r>
        <w:r w:rsidR="001248AE">
          <w:rPr>
            <w:webHidden/>
          </w:rPr>
          <w:instrText xml:space="preserve"> PAGEREF _Toc142661808 \h </w:instrText>
        </w:r>
        <w:r w:rsidR="001248AE">
          <w:rPr>
            <w:webHidden/>
          </w:rPr>
        </w:r>
        <w:r w:rsidR="001248AE">
          <w:rPr>
            <w:webHidden/>
          </w:rPr>
          <w:fldChar w:fldCharType="separate"/>
        </w:r>
        <w:r w:rsidR="00FA0487">
          <w:rPr>
            <w:webHidden/>
          </w:rPr>
          <w:t>36</w:t>
        </w:r>
        <w:r w:rsidR="001248AE">
          <w:rPr>
            <w:webHidden/>
          </w:rPr>
          <w:fldChar w:fldCharType="end"/>
        </w:r>
      </w:hyperlink>
    </w:p>
    <w:p w14:paraId="230CF69F" w14:textId="18513E40" w:rsidR="00A8482D" w:rsidRPr="00E23CED" w:rsidRDefault="00DE1894" w:rsidP="008E29E7">
      <w:pPr>
        <w:pStyle w:val="TableofFigures"/>
        <w:rPr>
          <w:noProof w:val="0"/>
        </w:rPr>
      </w:pPr>
      <w:r w:rsidRPr="00E23CED">
        <w:rPr>
          <w:noProof w:val="0"/>
        </w:rPr>
        <w:fldChar w:fldCharType="end"/>
      </w:r>
    </w:p>
    <w:p w14:paraId="54EADBEC" w14:textId="77777777" w:rsidR="00A8482D" w:rsidRPr="00E23CED" w:rsidRDefault="00A8482D">
      <w:pPr>
        <w:spacing w:before="0" w:after="200" w:line="276" w:lineRule="auto"/>
        <w:jc w:val="left"/>
      </w:pPr>
      <w:r w:rsidRPr="00E23CED">
        <w:br w:type="page"/>
      </w:r>
    </w:p>
    <w:p w14:paraId="7F1BCBE9" w14:textId="77777777" w:rsidR="00C2510E" w:rsidRPr="00E23CED" w:rsidRDefault="00C2510E" w:rsidP="00C2510E">
      <w:pPr>
        <w:pStyle w:val="Heading1"/>
        <w:rPr>
          <w:rStyle w:val="Heading1Char"/>
          <w:b/>
          <w:bCs/>
        </w:rPr>
      </w:pPr>
      <w:bookmarkStart w:id="0" w:name="_Toc143077499"/>
      <w:r w:rsidRPr="00E23CED">
        <w:rPr>
          <w:rStyle w:val="Heading1Char"/>
          <w:b/>
          <w:bCs/>
        </w:rPr>
        <w:lastRenderedPageBreak/>
        <w:t>Glossary</w:t>
      </w:r>
      <w:bookmarkEnd w:id="0"/>
    </w:p>
    <w:tbl>
      <w:tblPr>
        <w:tblStyle w:val="MinistryfortheEnvironment"/>
        <w:tblW w:w="8505" w:type="dxa"/>
        <w:tblCellMar>
          <w:bottom w:w="0" w:type="dxa"/>
        </w:tblCellMar>
        <w:tblLook w:val="04A0" w:firstRow="1" w:lastRow="0" w:firstColumn="1" w:lastColumn="0" w:noHBand="0" w:noVBand="1"/>
      </w:tblPr>
      <w:tblGrid>
        <w:gridCol w:w="2552"/>
        <w:gridCol w:w="5953"/>
      </w:tblGrid>
      <w:tr w:rsidR="00C2510E" w:rsidRPr="00E23CED" w14:paraId="62056144" w14:textId="77777777" w:rsidTr="00DF09F5">
        <w:trPr>
          <w:cnfStyle w:val="100000000000" w:firstRow="1" w:lastRow="0" w:firstColumn="0" w:lastColumn="0" w:oddVBand="0" w:evenVBand="0" w:oddHBand="0" w:evenHBand="0" w:firstRowFirstColumn="0" w:firstRowLastColumn="0" w:lastRowFirstColumn="0" w:lastRowLastColumn="0"/>
          <w:tblHeader/>
        </w:trPr>
        <w:tc>
          <w:tcPr>
            <w:tcW w:w="2552" w:type="dxa"/>
          </w:tcPr>
          <w:p w14:paraId="686A93D1" w14:textId="77777777" w:rsidR="00C2510E" w:rsidRPr="00E23CED" w:rsidRDefault="00C2510E" w:rsidP="00DF09F5">
            <w:pPr>
              <w:pStyle w:val="TableTextbold"/>
              <w:rPr>
                <w:b/>
                <w:bCs/>
              </w:rPr>
            </w:pPr>
            <w:r w:rsidRPr="00E23CED">
              <w:rPr>
                <w:b/>
                <w:bCs/>
              </w:rPr>
              <w:t>Term</w:t>
            </w:r>
          </w:p>
        </w:tc>
        <w:tc>
          <w:tcPr>
            <w:tcW w:w="5953" w:type="dxa"/>
          </w:tcPr>
          <w:p w14:paraId="5BB5A199" w14:textId="77777777" w:rsidR="00C2510E" w:rsidRPr="00E23CED" w:rsidRDefault="00C2510E" w:rsidP="00DF09F5">
            <w:pPr>
              <w:pStyle w:val="TableTextbold"/>
              <w:rPr>
                <w:b/>
                <w:bCs/>
              </w:rPr>
            </w:pPr>
            <w:r w:rsidRPr="00E23CED">
              <w:rPr>
                <w:b/>
                <w:bCs/>
              </w:rPr>
              <w:t>Definition</w:t>
            </w:r>
          </w:p>
        </w:tc>
      </w:tr>
      <w:tr w:rsidR="00C2510E" w:rsidRPr="00E23CED" w14:paraId="48848FC6" w14:textId="77777777" w:rsidTr="00DF09F5">
        <w:tc>
          <w:tcPr>
            <w:tcW w:w="2552" w:type="dxa"/>
          </w:tcPr>
          <w:p w14:paraId="0371631F" w14:textId="77777777" w:rsidR="00C2510E" w:rsidRPr="00E23CED" w:rsidRDefault="00C2510E" w:rsidP="00DF09F5">
            <w:pPr>
              <w:pStyle w:val="TableText"/>
            </w:pPr>
            <w:r w:rsidRPr="00E23CED">
              <w:t>Chl-a</w:t>
            </w:r>
          </w:p>
        </w:tc>
        <w:tc>
          <w:tcPr>
            <w:tcW w:w="5953" w:type="dxa"/>
          </w:tcPr>
          <w:p w14:paraId="2FF44194" w14:textId="77777777" w:rsidR="00C2510E" w:rsidRPr="00E23CED" w:rsidRDefault="00C2510E" w:rsidP="00DF09F5">
            <w:pPr>
              <w:pStyle w:val="TableText"/>
            </w:pPr>
            <w:r w:rsidRPr="00E23CED">
              <w:t xml:space="preserve">Chlorophyll a, the photosynthetic pigment present in plants. In fresh waters used as a surrogate measure to quantify the biomass of phytoplankton (lakes) and the algae in periphyton (streams) </w:t>
            </w:r>
          </w:p>
        </w:tc>
      </w:tr>
      <w:tr w:rsidR="00C2510E" w:rsidRPr="00E23CED" w14:paraId="3C3F7242" w14:textId="77777777" w:rsidTr="00DF09F5">
        <w:tc>
          <w:tcPr>
            <w:tcW w:w="2552" w:type="dxa"/>
          </w:tcPr>
          <w:p w14:paraId="208C83EF" w14:textId="77777777" w:rsidR="00C2510E" w:rsidRPr="00E23CED" w:rsidRDefault="00C2510E" w:rsidP="00DF09F5">
            <w:pPr>
              <w:pStyle w:val="TableText"/>
            </w:pPr>
            <w:r w:rsidRPr="00E23CED">
              <w:t>DIN</w:t>
            </w:r>
          </w:p>
        </w:tc>
        <w:tc>
          <w:tcPr>
            <w:tcW w:w="5953" w:type="dxa"/>
          </w:tcPr>
          <w:p w14:paraId="49AE3BF8" w14:textId="77777777" w:rsidR="00C2510E" w:rsidRPr="00E23CED" w:rsidRDefault="00C2510E" w:rsidP="00DF09F5">
            <w:pPr>
              <w:pStyle w:val="TableText"/>
            </w:pPr>
            <w:r w:rsidRPr="00E23CED">
              <w:t>Dissolved inorganic nitrogen</w:t>
            </w:r>
          </w:p>
        </w:tc>
      </w:tr>
      <w:tr w:rsidR="00C2510E" w:rsidRPr="00E23CED" w14:paraId="66836071" w14:textId="77777777" w:rsidTr="00DF09F5">
        <w:tc>
          <w:tcPr>
            <w:tcW w:w="2552" w:type="dxa"/>
          </w:tcPr>
          <w:p w14:paraId="690F2DA8" w14:textId="77777777" w:rsidR="00C2510E" w:rsidRPr="00E23CED" w:rsidRDefault="00C2510E" w:rsidP="00DF09F5">
            <w:pPr>
              <w:pStyle w:val="TableText"/>
            </w:pPr>
            <w:r w:rsidRPr="00E23CED">
              <w:t>DRP</w:t>
            </w:r>
          </w:p>
        </w:tc>
        <w:tc>
          <w:tcPr>
            <w:tcW w:w="5953" w:type="dxa"/>
          </w:tcPr>
          <w:p w14:paraId="06578484" w14:textId="77777777" w:rsidR="00C2510E" w:rsidRPr="00E23CED" w:rsidRDefault="00C2510E" w:rsidP="00DF09F5">
            <w:pPr>
              <w:pStyle w:val="TableText"/>
            </w:pPr>
            <w:r w:rsidRPr="00E23CED">
              <w:t>Dissolved reactive phosphorus</w:t>
            </w:r>
          </w:p>
        </w:tc>
      </w:tr>
      <w:tr w:rsidR="00C2510E" w:rsidRPr="00E23CED" w14:paraId="71D7B031" w14:textId="77777777" w:rsidTr="00DF09F5">
        <w:tc>
          <w:tcPr>
            <w:tcW w:w="2552" w:type="dxa"/>
          </w:tcPr>
          <w:p w14:paraId="5917BA7F" w14:textId="77777777" w:rsidR="00C2510E" w:rsidRPr="00E23CED" w:rsidRDefault="00C2510E" w:rsidP="00DF09F5">
            <w:pPr>
              <w:pStyle w:val="TableText"/>
            </w:pPr>
            <w:r w:rsidRPr="00E23CED">
              <w:t>DSDE</w:t>
            </w:r>
          </w:p>
        </w:tc>
        <w:tc>
          <w:tcPr>
            <w:tcW w:w="5953" w:type="dxa"/>
          </w:tcPr>
          <w:p w14:paraId="7E5A861B" w14:textId="77777777" w:rsidR="00C2510E" w:rsidRPr="00E23CED" w:rsidRDefault="00C2510E" w:rsidP="00DF09F5">
            <w:pPr>
              <w:pStyle w:val="TableText"/>
            </w:pPr>
            <w:r w:rsidRPr="00E23CED">
              <w:t>Deeper subtidal dominated, longer residence time estuaries</w:t>
            </w:r>
          </w:p>
        </w:tc>
      </w:tr>
      <w:tr w:rsidR="00C2510E" w:rsidRPr="00E23CED" w14:paraId="5D250B0A" w14:textId="77777777" w:rsidTr="00DF09F5">
        <w:tc>
          <w:tcPr>
            <w:tcW w:w="2552" w:type="dxa"/>
          </w:tcPr>
          <w:p w14:paraId="7A8F47B3" w14:textId="77777777" w:rsidR="00C2510E" w:rsidRPr="00E23CED" w:rsidRDefault="00C2510E" w:rsidP="00DF09F5">
            <w:pPr>
              <w:pStyle w:val="TableText"/>
            </w:pPr>
            <w:r w:rsidRPr="00E23CED">
              <w:t>Ecosystem constituent</w:t>
            </w:r>
          </w:p>
        </w:tc>
        <w:tc>
          <w:tcPr>
            <w:tcW w:w="5953" w:type="dxa"/>
          </w:tcPr>
          <w:p w14:paraId="65BEA0A0" w14:textId="77777777" w:rsidR="00C2510E" w:rsidRPr="00E23CED" w:rsidRDefault="00C2510E" w:rsidP="00DF09F5">
            <w:pPr>
              <w:pStyle w:val="TableText"/>
              <w:rPr>
                <w:highlight w:val="cyan"/>
              </w:rPr>
            </w:pPr>
            <w:r w:rsidRPr="00E23CED">
              <w:t>Biotic and abiotic factors (fish, plants, microbes, water chemistry) in an ecosystem that are responsible for or involved with the functioning of that ecosystem. Ecosystem constituents may or may not be represented by NPS</w:t>
            </w:r>
            <w:r w:rsidRPr="00E23CED">
              <w:noBreakHyphen/>
              <w:t>FM attributes</w:t>
            </w:r>
          </w:p>
        </w:tc>
      </w:tr>
      <w:tr w:rsidR="00C2510E" w:rsidRPr="00E23CED" w14:paraId="26E475F4" w14:textId="77777777" w:rsidTr="00DF09F5">
        <w:tc>
          <w:tcPr>
            <w:tcW w:w="2552" w:type="dxa"/>
          </w:tcPr>
          <w:p w14:paraId="71257491" w14:textId="77777777" w:rsidR="00C2510E" w:rsidRPr="00E23CED" w:rsidRDefault="00C2510E" w:rsidP="00DF09F5">
            <w:pPr>
              <w:pStyle w:val="TableText"/>
            </w:pPr>
            <w:r w:rsidRPr="00E23CED">
              <w:t>Epistemic uncertainty</w:t>
            </w:r>
          </w:p>
        </w:tc>
        <w:tc>
          <w:tcPr>
            <w:tcW w:w="5953" w:type="dxa"/>
          </w:tcPr>
          <w:p w14:paraId="44F5DB22" w14:textId="77777777" w:rsidR="00C2510E" w:rsidRPr="00E23CED" w:rsidRDefault="00C2510E" w:rsidP="00DF09F5">
            <w:pPr>
              <w:pStyle w:val="TableText"/>
            </w:pPr>
            <w:r w:rsidRPr="00E23CED">
              <w:t>Uncertainty arising from lack of knowledge about the basic causal mechanisms by which – in this case – nutrients affect river ecology</w:t>
            </w:r>
          </w:p>
        </w:tc>
      </w:tr>
      <w:tr w:rsidR="00C2510E" w:rsidRPr="00E23CED" w14:paraId="763E0B24" w14:textId="77777777" w:rsidTr="00DF09F5">
        <w:tc>
          <w:tcPr>
            <w:tcW w:w="2552" w:type="dxa"/>
          </w:tcPr>
          <w:p w14:paraId="258DD9E0" w14:textId="77777777" w:rsidR="00C2510E" w:rsidRPr="00E23CED" w:rsidRDefault="00C2510E" w:rsidP="00DF09F5">
            <w:pPr>
              <w:pStyle w:val="TableText"/>
            </w:pPr>
            <w:r w:rsidRPr="00E23CED">
              <w:t>EQR</w:t>
            </w:r>
          </w:p>
        </w:tc>
        <w:tc>
          <w:tcPr>
            <w:tcW w:w="5953" w:type="dxa"/>
          </w:tcPr>
          <w:p w14:paraId="4DEC1DBF" w14:textId="77777777" w:rsidR="00C2510E" w:rsidRPr="00E23CED" w:rsidRDefault="00C2510E" w:rsidP="00DF09F5">
            <w:pPr>
              <w:pStyle w:val="TableText"/>
            </w:pPr>
            <w:r w:rsidRPr="00E23CED">
              <w:t>Ecological quality rating</w:t>
            </w:r>
          </w:p>
        </w:tc>
      </w:tr>
      <w:tr w:rsidR="00C2510E" w:rsidRPr="00E23CED" w14:paraId="2D6ABEBC" w14:textId="77777777" w:rsidTr="00DF09F5">
        <w:tc>
          <w:tcPr>
            <w:tcW w:w="2552" w:type="dxa"/>
          </w:tcPr>
          <w:p w14:paraId="453E4D5A" w14:textId="77777777" w:rsidR="00C2510E" w:rsidRPr="00E23CED" w:rsidRDefault="00C2510E" w:rsidP="00DF09F5">
            <w:pPr>
              <w:pStyle w:val="TableText"/>
            </w:pPr>
            <w:r w:rsidRPr="00E23CED">
              <w:t>ETI</w:t>
            </w:r>
          </w:p>
        </w:tc>
        <w:tc>
          <w:tcPr>
            <w:tcW w:w="5953" w:type="dxa"/>
          </w:tcPr>
          <w:p w14:paraId="022A577B" w14:textId="77777777" w:rsidR="00C2510E" w:rsidRPr="00E23CED" w:rsidRDefault="00C2510E" w:rsidP="00DF09F5">
            <w:pPr>
              <w:pStyle w:val="TableText"/>
            </w:pPr>
            <w:r w:rsidRPr="00E23CED">
              <w:t>Estuary trophic index</w:t>
            </w:r>
          </w:p>
        </w:tc>
      </w:tr>
      <w:tr w:rsidR="00C2510E" w:rsidRPr="00E23CED" w14:paraId="3A8B0208" w14:textId="77777777" w:rsidTr="00DF09F5">
        <w:tc>
          <w:tcPr>
            <w:tcW w:w="2552" w:type="dxa"/>
          </w:tcPr>
          <w:p w14:paraId="7323FCDA" w14:textId="77777777" w:rsidR="00C2510E" w:rsidRPr="00E23CED" w:rsidRDefault="00C2510E" w:rsidP="00DF09F5">
            <w:pPr>
              <w:pStyle w:val="TableText"/>
            </w:pPr>
            <w:r w:rsidRPr="00E23CED">
              <w:t>Exceedance criterion (</w:t>
            </w:r>
            <w:r w:rsidRPr="00E23CED">
              <w:rPr>
                <w:i/>
              </w:rPr>
              <w:t>plural:</w:t>
            </w:r>
            <w:r w:rsidRPr="00E23CED">
              <w:t xml:space="preserve"> criteria)</w:t>
            </w:r>
          </w:p>
        </w:tc>
        <w:tc>
          <w:tcPr>
            <w:tcW w:w="5953" w:type="dxa"/>
          </w:tcPr>
          <w:p w14:paraId="46A81DC6" w14:textId="77777777" w:rsidR="00C2510E" w:rsidRPr="00E23CED" w:rsidRDefault="00C2510E" w:rsidP="00DF09F5">
            <w:pPr>
              <w:pStyle w:val="TableText"/>
              <w:rPr>
                <w:highlight w:val="cyan"/>
              </w:rPr>
            </w:pPr>
            <w:r w:rsidRPr="00E23CED">
              <w:t>The number of times individual observations of a nutrient concentration are allowed to exceed a defined instream concentration threshold over a defined period. An exceedance criterion is specified by the statistic (eg, median) used to summarise a time series and defines tolerance to temporal variation in nutrient concentration</w:t>
            </w:r>
            <w:r w:rsidRPr="00E23CED" w:rsidDel="005D1188">
              <w:rPr>
                <w:highlight w:val="cyan"/>
              </w:rPr>
              <w:t xml:space="preserve"> </w:t>
            </w:r>
          </w:p>
        </w:tc>
      </w:tr>
      <w:tr w:rsidR="00C2510E" w:rsidRPr="00E23CED" w14:paraId="56202AFB" w14:textId="77777777" w:rsidTr="00DF09F5">
        <w:tc>
          <w:tcPr>
            <w:tcW w:w="2552" w:type="dxa"/>
          </w:tcPr>
          <w:p w14:paraId="01D9C33A" w14:textId="77777777" w:rsidR="00C2510E" w:rsidRPr="00E23CED" w:rsidRDefault="00C2510E" w:rsidP="00DF09F5">
            <w:pPr>
              <w:pStyle w:val="TableText"/>
            </w:pPr>
            <w:r w:rsidRPr="00E23CED">
              <w:t>FMU</w:t>
            </w:r>
          </w:p>
        </w:tc>
        <w:tc>
          <w:tcPr>
            <w:tcW w:w="5953" w:type="dxa"/>
          </w:tcPr>
          <w:p w14:paraId="1A234524" w14:textId="77777777" w:rsidR="00C2510E" w:rsidRPr="00E23CED" w:rsidRDefault="00C2510E" w:rsidP="00DF09F5">
            <w:pPr>
              <w:pStyle w:val="TableText"/>
            </w:pPr>
            <w:r w:rsidRPr="00E23CED">
              <w:t>Freshwater management unit</w:t>
            </w:r>
          </w:p>
        </w:tc>
      </w:tr>
      <w:tr w:rsidR="00C2510E" w:rsidRPr="00E23CED" w14:paraId="0A69EBAA" w14:textId="77777777" w:rsidTr="00DF09F5">
        <w:tc>
          <w:tcPr>
            <w:tcW w:w="2552" w:type="dxa"/>
          </w:tcPr>
          <w:p w14:paraId="2B1DB2CE" w14:textId="77777777" w:rsidR="00C2510E" w:rsidRPr="00E23CED" w:rsidRDefault="00C2510E" w:rsidP="00DF09F5">
            <w:pPr>
              <w:pStyle w:val="TableText"/>
            </w:pPr>
            <w:r w:rsidRPr="00E23CED">
              <w:t>ICT</w:t>
            </w:r>
          </w:p>
        </w:tc>
        <w:tc>
          <w:tcPr>
            <w:tcW w:w="5953" w:type="dxa"/>
          </w:tcPr>
          <w:p w14:paraId="2D615796" w14:textId="77777777" w:rsidR="00C2510E" w:rsidRPr="00E23CED" w:rsidRDefault="00C2510E" w:rsidP="00DF09F5">
            <w:pPr>
              <w:pStyle w:val="TableText"/>
            </w:pPr>
            <w:r w:rsidRPr="00E23CED">
              <w:t>Instream concentration threshold (ie, the concentration part of “instream concentrations and exceedance criteria” in clause 3.13)</w:t>
            </w:r>
          </w:p>
        </w:tc>
      </w:tr>
      <w:tr w:rsidR="00C2510E" w:rsidRPr="00E23CED" w14:paraId="6AACF653" w14:textId="77777777" w:rsidTr="00DF09F5">
        <w:tc>
          <w:tcPr>
            <w:tcW w:w="2552" w:type="dxa"/>
          </w:tcPr>
          <w:p w14:paraId="1C8287E4" w14:textId="77777777" w:rsidR="00C2510E" w:rsidRPr="00E23CED" w:rsidRDefault="00C2510E" w:rsidP="00DF09F5">
            <w:pPr>
              <w:pStyle w:val="TableText"/>
            </w:pPr>
            <w:r w:rsidRPr="00E23CED">
              <w:t>MCI</w:t>
            </w:r>
          </w:p>
        </w:tc>
        <w:tc>
          <w:tcPr>
            <w:tcW w:w="5953" w:type="dxa"/>
          </w:tcPr>
          <w:p w14:paraId="56A3F2F8" w14:textId="77777777" w:rsidR="00C2510E" w:rsidRPr="00E23CED" w:rsidRDefault="00C2510E" w:rsidP="00DF09F5">
            <w:pPr>
              <w:pStyle w:val="TableText"/>
            </w:pPr>
            <w:r w:rsidRPr="00E23CED">
              <w:t>Macroinvertebrate community index</w:t>
            </w:r>
          </w:p>
        </w:tc>
      </w:tr>
      <w:tr w:rsidR="00C2510E" w:rsidRPr="00E23CED" w14:paraId="46D0AFFA" w14:textId="77777777" w:rsidTr="00DF09F5">
        <w:tc>
          <w:tcPr>
            <w:tcW w:w="2552" w:type="dxa"/>
          </w:tcPr>
          <w:p w14:paraId="0872AD04" w14:textId="77777777" w:rsidR="00C2510E" w:rsidRPr="00E23CED" w:rsidRDefault="00C2510E" w:rsidP="00DF09F5">
            <w:pPr>
              <w:pStyle w:val="TableText"/>
            </w:pPr>
            <w:r w:rsidRPr="00E23CED">
              <w:t>mg/L</w:t>
            </w:r>
          </w:p>
        </w:tc>
        <w:tc>
          <w:tcPr>
            <w:tcW w:w="5953" w:type="dxa"/>
          </w:tcPr>
          <w:p w14:paraId="32642448" w14:textId="77777777" w:rsidR="00C2510E" w:rsidRPr="00E23CED" w:rsidRDefault="00C2510E" w:rsidP="00DF09F5">
            <w:pPr>
              <w:pStyle w:val="TableText"/>
            </w:pPr>
            <w:r w:rsidRPr="00E23CED">
              <w:t>Milligrams per litre</w:t>
            </w:r>
          </w:p>
        </w:tc>
      </w:tr>
      <w:tr w:rsidR="00C2510E" w:rsidRPr="00E23CED" w14:paraId="024785E4" w14:textId="77777777" w:rsidTr="00DF09F5">
        <w:tc>
          <w:tcPr>
            <w:tcW w:w="2552" w:type="dxa"/>
          </w:tcPr>
          <w:p w14:paraId="4EFBF125" w14:textId="77777777" w:rsidR="00C2510E" w:rsidRPr="00E23CED" w:rsidRDefault="00C2510E" w:rsidP="00DF09F5">
            <w:pPr>
              <w:pStyle w:val="TableText"/>
            </w:pPr>
            <w:r w:rsidRPr="00E23CED">
              <w:t>mg/m</w:t>
            </w:r>
            <w:r w:rsidRPr="00E23CED">
              <w:rPr>
                <w:vertAlign w:val="superscript"/>
              </w:rPr>
              <w:t>3</w:t>
            </w:r>
          </w:p>
        </w:tc>
        <w:tc>
          <w:tcPr>
            <w:tcW w:w="5953" w:type="dxa"/>
          </w:tcPr>
          <w:p w14:paraId="325F04CA" w14:textId="77777777" w:rsidR="00C2510E" w:rsidRPr="00E23CED" w:rsidRDefault="00C2510E" w:rsidP="00DF09F5">
            <w:pPr>
              <w:pStyle w:val="TableText"/>
            </w:pPr>
            <w:r w:rsidRPr="00E23CED">
              <w:t>Milligrams per cubic metre</w:t>
            </w:r>
          </w:p>
        </w:tc>
      </w:tr>
      <w:tr w:rsidR="00C2510E" w:rsidRPr="00E23CED" w14:paraId="0582F69E" w14:textId="77777777" w:rsidTr="00DF09F5">
        <w:tc>
          <w:tcPr>
            <w:tcW w:w="2552" w:type="dxa"/>
          </w:tcPr>
          <w:p w14:paraId="0CE81A67" w14:textId="77777777" w:rsidR="00C2510E" w:rsidRPr="00E23CED" w:rsidRDefault="00C2510E" w:rsidP="00DF09F5">
            <w:pPr>
              <w:pStyle w:val="TableText"/>
            </w:pPr>
            <w:r w:rsidRPr="00E23CED">
              <w:t>Ministry</w:t>
            </w:r>
          </w:p>
        </w:tc>
        <w:tc>
          <w:tcPr>
            <w:tcW w:w="5953" w:type="dxa"/>
          </w:tcPr>
          <w:p w14:paraId="3F499918" w14:textId="77777777" w:rsidR="00C2510E" w:rsidRPr="00E23CED" w:rsidRDefault="00C2510E" w:rsidP="00DF09F5">
            <w:pPr>
              <w:pStyle w:val="TableText"/>
            </w:pPr>
            <w:r w:rsidRPr="00E23CED">
              <w:t>Ministry for the Environment</w:t>
            </w:r>
          </w:p>
        </w:tc>
      </w:tr>
      <w:tr w:rsidR="00C2510E" w:rsidRPr="00E23CED" w14:paraId="5B5E59D5" w14:textId="77777777" w:rsidTr="00DF09F5">
        <w:tc>
          <w:tcPr>
            <w:tcW w:w="2552" w:type="dxa"/>
          </w:tcPr>
          <w:p w14:paraId="0C3BCBD7" w14:textId="77777777" w:rsidR="00C2510E" w:rsidRPr="00E23CED" w:rsidRDefault="00C2510E" w:rsidP="00DF09F5">
            <w:pPr>
              <w:pStyle w:val="TableText"/>
            </w:pPr>
            <w:r w:rsidRPr="00E23CED">
              <w:t>N</w:t>
            </w:r>
          </w:p>
        </w:tc>
        <w:tc>
          <w:tcPr>
            <w:tcW w:w="5953" w:type="dxa"/>
          </w:tcPr>
          <w:p w14:paraId="6D07B2AC" w14:textId="77777777" w:rsidR="00C2510E" w:rsidRPr="00E23CED" w:rsidRDefault="00C2510E" w:rsidP="00DF09F5">
            <w:pPr>
              <w:pStyle w:val="TableText"/>
            </w:pPr>
            <w:r w:rsidRPr="00E23CED">
              <w:t>Nitrogen</w:t>
            </w:r>
          </w:p>
        </w:tc>
      </w:tr>
      <w:tr w:rsidR="00C2510E" w:rsidRPr="00E23CED" w14:paraId="76C034F9" w14:textId="77777777" w:rsidTr="00DF09F5">
        <w:tc>
          <w:tcPr>
            <w:tcW w:w="2552" w:type="dxa"/>
          </w:tcPr>
          <w:p w14:paraId="4DA92934" w14:textId="77777777" w:rsidR="00C2510E" w:rsidRPr="00E23CED" w:rsidRDefault="00C2510E" w:rsidP="00DF09F5">
            <w:pPr>
              <w:pStyle w:val="TableText"/>
            </w:pPr>
            <w:r w:rsidRPr="00E23CED">
              <w:t>NOF</w:t>
            </w:r>
          </w:p>
        </w:tc>
        <w:tc>
          <w:tcPr>
            <w:tcW w:w="5953" w:type="dxa"/>
          </w:tcPr>
          <w:p w14:paraId="6D9E8E26" w14:textId="77777777" w:rsidR="00C2510E" w:rsidRPr="00E23CED" w:rsidRDefault="00C2510E" w:rsidP="00DF09F5">
            <w:pPr>
              <w:pStyle w:val="TableText"/>
            </w:pPr>
            <w:r w:rsidRPr="00E23CED">
              <w:t>National Objectives Framework</w:t>
            </w:r>
          </w:p>
        </w:tc>
      </w:tr>
      <w:tr w:rsidR="00C2510E" w:rsidRPr="00E23CED" w14:paraId="7A67E9E5" w14:textId="77777777" w:rsidTr="00DF09F5">
        <w:tc>
          <w:tcPr>
            <w:tcW w:w="2552" w:type="dxa"/>
          </w:tcPr>
          <w:p w14:paraId="46BD2752" w14:textId="77777777" w:rsidR="00C2510E" w:rsidRPr="00E23CED" w:rsidRDefault="00C2510E" w:rsidP="00DF09F5">
            <w:pPr>
              <w:pStyle w:val="TableText"/>
            </w:pPr>
            <w:r w:rsidRPr="00E23CED">
              <w:t xml:space="preserve">NPS-FM </w:t>
            </w:r>
          </w:p>
        </w:tc>
        <w:tc>
          <w:tcPr>
            <w:tcW w:w="5953" w:type="dxa"/>
          </w:tcPr>
          <w:p w14:paraId="619A6029" w14:textId="77777777" w:rsidR="00C2510E" w:rsidRPr="00E23CED" w:rsidRDefault="00C2510E" w:rsidP="00DF09F5">
            <w:pPr>
              <w:pStyle w:val="TableText"/>
            </w:pPr>
            <w:r w:rsidRPr="00E23CED">
              <w:t>National Policy Statement for Freshwater Management 2020</w:t>
            </w:r>
          </w:p>
        </w:tc>
      </w:tr>
      <w:tr w:rsidR="00C2510E" w:rsidRPr="00E23CED" w14:paraId="79256DEC" w14:textId="77777777" w:rsidTr="00DF09F5">
        <w:tc>
          <w:tcPr>
            <w:tcW w:w="2552" w:type="dxa"/>
          </w:tcPr>
          <w:p w14:paraId="7F84F0B2" w14:textId="77777777" w:rsidR="00C2510E" w:rsidRPr="00E23CED" w:rsidRDefault="00C2510E" w:rsidP="00DF09F5">
            <w:pPr>
              <w:pStyle w:val="TableText"/>
            </w:pPr>
            <w:r w:rsidRPr="00E23CED">
              <w:t>Nutrient criteria</w:t>
            </w:r>
          </w:p>
        </w:tc>
        <w:tc>
          <w:tcPr>
            <w:tcW w:w="5953" w:type="dxa"/>
          </w:tcPr>
          <w:p w14:paraId="2A12DC45" w14:textId="77777777" w:rsidR="00C2510E" w:rsidRPr="00E23CED" w:rsidRDefault="00C2510E" w:rsidP="00DF09F5">
            <w:pPr>
              <w:pStyle w:val="TableText"/>
            </w:pPr>
            <w:r w:rsidRPr="00E23CED">
              <w:t xml:space="preserve">Instream concentrations and exceedance criteria, or instream loads, for nitrogen and phosphorus (that are required to achieve specific environmental outcomes such as target attribute states) </w:t>
            </w:r>
          </w:p>
          <w:p w14:paraId="3099036E" w14:textId="77777777" w:rsidR="00C2510E" w:rsidRPr="00E23CED" w:rsidRDefault="00C2510E" w:rsidP="00DF09F5">
            <w:pPr>
              <w:pStyle w:val="TableText"/>
            </w:pPr>
            <w:r w:rsidRPr="00E23CED">
              <w:t>(Note: Used in this guidance as the abbreviation for the full clause 3.13 wording, for brevity.)</w:t>
            </w:r>
          </w:p>
        </w:tc>
      </w:tr>
      <w:tr w:rsidR="00C2510E" w:rsidRPr="00E23CED" w14:paraId="6B5B1684" w14:textId="77777777" w:rsidTr="00DF09F5">
        <w:tc>
          <w:tcPr>
            <w:tcW w:w="2552" w:type="dxa"/>
          </w:tcPr>
          <w:p w14:paraId="2BF6E435" w14:textId="77777777" w:rsidR="00C2510E" w:rsidRPr="00E23CED" w:rsidRDefault="00C2510E" w:rsidP="00DF09F5">
            <w:pPr>
              <w:pStyle w:val="TableText"/>
            </w:pPr>
            <w:r w:rsidRPr="00E23CED">
              <w:t>Nutrient outcomes needed to achieve target attribute states</w:t>
            </w:r>
          </w:p>
        </w:tc>
        <w:tc>
          <w:tcPr>
            <w:tcW w:w="5953" w:type="dxa"/>
          </w:tcPr>
          <w:p w14:paraId="399D8744" w14:textId="77777777" w:rsidR="00C2510E" w:rsidRPr="00E23CED" w:rsidRDefault="00C2510E" w:rsidP="00DF09F5">
            <w:pPr>
              <w:pStyle w:val="TableText"/>
            </w:pPr>
            <w:r w:rsidRPr="00E23CED">
              <w:t>The instream concentrations and exceedance criteria, or instream loads, for nitrogen and phosphorus, adopted under clause 3.13(4)</w:t>
            </w:r>
          </w:p>
        </w:tc>
      </w:tr>
      <w:tr w:rsidR="00C2510E" w:rsidRPr="00E23CED" w14:paraId="083D31D3" w14:textId="77777777" w:rsidTr="00DF09F5">
        <w:tc>
          <w:tcPr>
            <w:tcW w:w="2552" w:type="dxa"/>
          </w:tcPr>
          <w:p w14:paraId="207BA57D" w14:textId="77777777" w:rsidR="00C2510E" w:rsidRPr="00E23CED" w:rsidRDefault="00C2510E" w:rsidP="00DF09F5">
            <w:pPr>
              <w:pStyle w:val="TableText"/>
            </w:pPr>
            <w:r w:rsidRPr="00E23CED">
              <w:t>Nutrient-affected attributes</w:t>
            </w:r>
          </w:p>
        </w:tc>
        <w:tc>
          <w:tcPr>
            <w:tcW w:w="5953" w:type="dxa"/>
          </w:tcPr>
          <w:p w14:paraId="428876AA" w14:textId="77777777" w:rsidR="00C2510E" w:rsidRPr="00E23CED" w:rsidRDefault="00C2510E" w:rsidP="00DF09F5">
            <w:pPr>
              <w:pStyle w:val="TableText"/>
            </w:pPr>
            <w:r w:rsidRPr="00E23CED">
              <w:t xml:space="preserve">The ecosystem health attributes affected by nutrients. They are associated with ecological functioning in water bodies </w:t>
            </w:r>
          </w:p>
        </w:tc>
      </w:tr>
      <w:tr w:rsidR="00C2510E" w:rsidRPr="00E23CED" w14:paraId="651EAC32" w14:textId="77777777" w:rsidTr="00DF09F5">
        <w:tc>
          <w:tcPr>
            <w:tcW w:w="2552" w:type="dxa"/>
          </w:tcPr>
          <w:p w14:paraId="2EAD2BDE" w14:textId="77777777" w:rsidR="00C2510E" w:rsidRPr="00E23CED" w:rsidRDefault="00C2510E" w:rsidP="00DF09F5">
            <w:pPr>
              <w:pStyle w:val="TableText"/>
            </w:pPr>
            <w:r w:rsidRPr="00E23CED">
              <w:t>P</w:t>
            </w:r>
          </w:p>
        </w:tc>
        <w:tc>
          <w:tcPr>
            <w:tcW w:w="5953" w:type="dxa"/>
          </w:tcPr>
          <w:p w14:paraId="4478B0AD" w14:textId="77777777" w:rsidR="00C2510E" w:rsidRPr="00E23CED" w:rsidRDefault="00C2510E" w:rsidP="00DF09F5">
            <w:pPr>
              <w:pStyle w:val="TableText"/>
            </w:pPr>
            <w:r w:rsidRPr="00E23CED">
              <w:t>Phosphorus</w:t>
            </w:r>
          </w:p>
        </w:tc>
      </w:tr>
      <w:tr w:rsidR="00C2510E" w:rsidRPr="00E23CED" w14:paraId="53D470A6" w14:textId="77777777" w:rsidTr="00DF09F5">
        <w:tc>
          <w:tcPr>
            <w:tcW w:w="2552" w:type="dxa"/>
          </w:tcPr>
          <w:p w14:paraId="64C0E1B7" w14:textId="77777777" w:rsidR="00C2510E" w:rsidRPr="00E23CED" w:rsidRDefault="00C2510E" w:rsidP="00DF09F5">
            <w:pPr>
              <w:pStyle w:val="TableText"/>
            </w:pPr>
            <w:r w:rsidRPr="00E23CED">
              <w:t>REC</w:t>
            </w:r>
          </w:p>
        </w:tc>
        <w:tc>
          <w:tcPr>
            <w:tcW w:w="5953" w:type="dxa"/>
          </w:tcPr>
          <w:p w14:paraId="56A0045E" w14:textId="77777777" w:rsidR="00C2510E" w:rsidRPr="00E23CED" w:rsidRDefault="00C2510E" w:rsidP="00DF09F5">
            <w:pPr>
              <w:pStyle w:val="TableText"/>
            </w:pPr>
            <w:r w:rsidRPr="00E23CED">
              <w:t>River environment classification</w:t>
            </w:r>
          </w:p>
        </w:tc>
      </w:tr>
      <w:tr w:rsidR="00C2510E" w:rsidRPr="00E23CED" w14:paraId="5A58C9CF" w14:textId="77777777" w:rsidTr="00DF09F5">
        <w:tc>
          <w:tcPr>
            <w:tcW w:w="2552" w:type="dxa"/>
          </w:tcPr>
          <w:p w14:paraId="17F27CBB" w14:textId="77777777" w:rsidR="00C2510E" w:rsidRPr="00E23CED" w:rsidRDefault="00C2510E" w:rsidP="00DF09F5">
            <w:pPr>
              <w:pStyle w:val="TableText"/>
            </w:pPr>
            <w:r w:rsidRPr="00E23CED">
              <w:t>STAG</w:t>
            </w:r>
          </w:p>
        </w:tc>
        <w:tc>
          <w:tcPr>
            <w:tcW w:w="5953" w:type="dxa"/>
          </w:tcPr>
          <w:p w14:paraId="4CA7BF0A" w14:textId="77777777" w:rsidR="00C2510E" w:rsidRPr="00E23CED" w:rsidRDefault="00C2510E" w:rsidP="00DF09F5">
            <w:pPr>
              <w:pStyle w:val="TableText"/>
            </w:pPr>
            <w:r w:rsidRPr="00E23CED">
              <w:t>Science and Technical Advisory Group</w:t>
            </w:r>
          </w:p>
        </w:tc>
      </w:tr>
      <w:tr w:rsidR="00C2510E" w:rsidRPr="00E23CED" w14:paraId="3BF2360E" w14:textId="77777777" w:rsidTr="00DF09F5">
        <w:tc>
          <w:tcPr>
            <w:tcW w:w="2552" w:type="dxa"/>
          </w:tcPr>
          <w:p w14:paraId="1B42E89D" w14:textId="77777777" w:rsidR="00C2510E" w:rsidRPr="00E23CED" w:rsidRDefault="00C2510E" w:rsidP="00DF09F5">
            <w:pPr>
              <w:pStyle w:val="TableText"/>
            </w:pPr>
            <w:r w:rsidRPr="00E23CED">
              <w:lastRenderedPageBreak/>
              <w:t>TAS</w:t>
            </w:r>
          </w:p>
        </w:tc>
        <w:tc>
          <w:tcPr>
            <w:tcW w:w="5953" w:type="dxa"/>
          </w:tcPr>
          <w:p w14:paraId="70E27D6A" w14:textId="77777777" w:rsidR="00C2510E" w:rsidRPr="00E23CED" w:rsidRDefault="00C2510E" w:rsidP="00DF09F5">
            <w:pPr>
              <w:pStyle w:val="TableText"/>
            </w:pPr>
            <w:r w:rsidRPr="00E23CED">
              <w:t>Target attribute state</w:t>
            </w:r>
          </w:p>
        </w:tc>
      </w:tr>
      <w:tr w:rsidR="00C2510E" w:rsidRPr="00E23CED" w14:paraId="5F772F56" w14:textId="77777777" w:rsidTr="00DF09F5">
        <w:tc>
          <w:tcPr>
            <w:tcW w:w="2552" w:type="dxa"/>
          </w:tcPr>
          <w:p w14:paraId="56109C50" w14:textId="77777777" w:rsidR="00C2510E" w:rsidRPr="00E23CED" w:rsidRDefault="00C2510E" w:rsidP="00DF09F5">
            <w:pPr>
              <w:pStyle w:val="TableText"/>
            </w:pPr>
            <w:r w:rsidRPr="00E23CED">
              <w:t>TLI</w:t>
            </w:r>
          </w:p>
        </w:tc>
        <w:tc>
          <w:tcPr>
            <w:tcW w:w="5953" w:type="dxa"/>
          </w:tcPr>
          <w:p w14:paraId="5649921C" w14:textId="77777777" w:rsidR="00C2510E" w:rsidRPr="00E23CED" w:rsidRDefault="00C2510E" w:rsidP="00DF09F5">
            <w:pPr>
              <w:pStyle w:val="TableText"/>
            </w:pPr>
            <w:r w:rsidRPr="00E23CED">
              <w:t>Trophic level index</w:t>
            </w:r>
          </w:p>
        </w:tc>
      </w:tr>
      <w:tr w:rsidR="00C2510E" w:rsidRPr="00E23CED" w14:paraId="5FEDE644" w14:textId="77777777" w:rsidTr="00DF09F5">
        <w:tc>
          <w:tcPr>
            <w:tcW w:w="2552" w:type="dxa"/>
          </w:tcPr>
          <w:p w14:paraId="7A5FD70C" w14:textId="77777777" w:rsidR="00C2510E" w:rsidRPr="00E23CED" w:rsidRDefault="00C2510E" w:rsidP="00DF09F5">
            <w:pPr>
              <w:pStyle w:val="TableText"/>
            </w:pPr>
            <w:r w:rsidRPr="00E23CED">
              <w:t>TN</w:t>
            </w:r>
          </w:p>
        </w:tc>
        <w:tc>
          <w:tcPr>
            <w:tcW w:w="5953" w:type="dxa"/>
          </w:tcPr>
          <w:p w14:paraId="49C9DB46" w14:textId="77777777" w:rsidR="00C2510E" w:rsidRPr="00E23CED" w:rsidRDefault="00C2510E" w:rsidP="00DF09F5">
            <w:pPr>
              <w:pStyle w:val="TableText"/>
            </w:pPr>
            <w:r w:rsidRPr="00E23CED">
              <w:t>Total nitrogen</w:t>
            </w:r>
          </w:p>
        </w:tc>
      </w:tr>
      <w:tr w:rsidR="00C2510E" w:rsidRPr="00E23CED" w14:paraId="1897A2F3" w14:textId="77777777" w:rsidTr="00DF09F5">
        <w:tc>
          <w:tcPr>
            <w:tcW w:w="2552" w:type="dxa"/>
          </w:tcPr>
          <w:p w14:paraId="44A7B6BD" w14:textId="77777777" w:rsidR="00C2510E" w:rsidRPr="00E23CED" w:rsidRDefault="00C2510E" w:rsidP="00DF09F5">
            <w:pPr>
              <w:pStyle w:val="TableText"/>
            </w:pPr>
            <w:r w:rsidRPr="00E23CED">
              <w:t>TP</w:t>
            </w:r>
          </w:p>
        </w:tc>
        <w:tc>
          <w:tcPr>
            <w:tcW w:w="5953" w:type="dxa"/>
          </w:tcPr>
          <w:p w14:paraId="711A4A0C" w14:textId="77777777" w:rsidR="00C2510E" w:rsidRPr="00E23CED" w:rsidRDefault="00C2510E" w:rsidP="00DF09F5">
            <w:pPr>
              <w:pStyle w:val="TableText"/>
            </w:pPr>
            <w:r w:rsidRPr="00E23CED">
              <w:t>Total phosphorus</w:t>
            </w:r>
          </w:p>
        </w:tc>
      </w:tr>
      <w:tr w:rsidR="00C2510E" w:rsidRPr="00E23CED" w14:paraId="72FF94FB" w14:textId="77777777" w:rsidTr="00DF09F5">
        <w:tc>
          <w:tcPr>
            <w:tcW w:w="2552" w:type="dxa"/>
          </w:tcPr>
          <w:p w14:paraId="0C531009" w14:textId="77777777" w:rsidR="00C2510E" w:rsidRPr="00E23CED" w:rsidRDefault="00C2510E" w:rsidP="00DF09F5">
            <w:pPr>
              <w:pStyle w:val="TableText"/>
              <w:keepNext/>
            </w:pPr>
            <w:r w:rsidRPr="00E23CED">
              <w:t>Trophic state</w:t>
            </w:r>
          </w:p>
        </w:tc>
        <w:tc>
          <w:tcPr>
            <w:tcW w:w="5953" w:type="dxa"/>
          </w:tcPr>
          <w:p w14:paraId="699ACEE2" w14:textId="122C56A0" w:rsidR="00C2510E" w:rsidRPr="00E23CED" w:rsidRDefault="00C2510E" w:rsidP="00DF09F5">
            <w:pPr>
              <w:pStyle w:val="TableText"/>
            </w:pPr>
            <w:r w:rsidRPr="00E23CED">
              <w:t>The</w:t>
            </w:r>
            <w:r w:rsidR="00C34155" w:rsidRPr="00E23CED">
              <w:t xml:space="preserve"> potential and actual biological productivity of a waterbody. </w:t>
            </w:r>
            <w:r w:rsidRPr="00E23CED">
              <w:t xml:space="preserve">Trophic state </w:t>
            </w:r>
            <w:r w:rsidR="00276541" w:rsidRPr="00E23CED">
              <w:t>can be</w:t>
            </w:r>
            <w:r w:rsidRPr="00E23CED">
              <w:t xml:space="preserve"> used as a measure of lake health as in the NPS-FM</w:t>
            </w:r>
            <w:r w:rsidR="001C6D90" w:rsidRPr="00E23CED">
              <w:t>.</w:t>
            </w:r>
          </w:p>
        </w:tc>
      </w:tr>
    </w:tbl>
    <w:p w14:paraId="52035C11" w14:textId="77777777" w:rsidR="00C2510E" w:rsidRPr="00E23CED" w:rsidRDefault="00C2510E" w:rsidP="00C2510E">
      <w:pPr>
        <w:pStyle w:val="BodyText"/>
      </w:pPr>
    </w:p>
    <w:p w14:paraId="65EFCDD1" w14:textId="77777777" w:rsidR="00C2510E" w:rsidRPr="00E23CED" w:rsidRDefault="00C2510E" w:rsidP="00C2510E">
      <w:pPr>
        <w:pStyle w:val="BodyText"/>
      </w:pPr>
      <w:r w:rsidRPr="00E23CED">
        <w:br w:type="page"/>
      </w:r>
    </w:p>
    <w:p w14:paraId="1B719C2F" w14:textId="3FE90666" w:rsidR="0043631D" w:rsidRPr="00E23CED" w:rsidRDefault="0043631D" w:rsidP="00E23F76">
      <w:pPr>
        <w:pStyle w:val="Heading1"/>
      </w:pPr>
      <w:bookmarkStart w:id="1" w:name="_Toc143077500"/>
      <w:bookmarkStart w:id="2" w:name="_Hlk129040532"/>
      <w:r w:rsidRPr="00E23CED">
        <w:rPr>
          <w:rStyle w:val="Heading1Char"/>
          <w:b/>
          <w:bCs/>
        </w:rPr>
        <w:lastRenderedPageBreak/>
        <w:t xml:space="preserve">Executive </w:t>
      </w:r>
      <w:r w:rsidR="00816B7D" w:rsidRPr="00E23CED">
        <w:rPr>
          <w:rStyle w:val="Heading1Char"/>
          <w:b/>
          <w:bCs/>
        </w:rPr>
        <w:t>s</w:t>
      </w:r>
      <w:r w:rsidRPr="00E23CED">
        <w:rPr>
          <w:rStyle w:val="Heading1Char"/>
          <w:b/>
          <w:bCs/>
        </w:rPr>
        <w:t>ummary</w:t>
      </w:r>
      <w:bookmarkEnd w:id="1"/>
    </w:p>
    <w:p w14:paraId="6B4917DD" w14:textId="54E1D345" w:rsidR="009B5448" w:rsidRPr="00E23CED" w:rsidRDefault="00460E55" w:rsidP="00E23F76">
      <w:pPr>
        <w:pStyle w:val="BodyText"/>
      </w:pPr>
      <w:r w:rsidRPr="00E23CED">
        <w:t xml:space="preserve">The Ministry for the Environment </w:t>
      </w:r>
      <w:r w:rsidR="001862BA" w:rsidRPr="00E23CED">
        <w:t xml:space="preserve">(the Ministry) </w:t>
      </w:r>
      <w:r w:rsidRPr="00E23CED">
        <w:t xml:space="preserve">has produced </w:t>
      </w:r>
      <w:r w:rsidR="009D5454" w:rsidRPr="00E23CED">
        <w:t xml:space="preserve">this </w:t>
      </w:r>
      <w:r w:rsidRPr="00E23CED">
        <w:t xml:space="preserve">guidance </w:t>
      </w:r>
      <w:r w:rsidR="009D5454" w:rsidRPr="00E23CED">
        <w:t>to</w:t>
      </w:r>
      <w:r w:rsidR="009B5448" w:rsidRPr="00E23CED">
        <w:t xml:space="preserve"> help regional councils set instream concentrations and exceedance criteria, or instream loads, for nitrogen and phosphorus </w:t>
      </w:r>
      <w:r w:rsidR="00B5249F" w:rsidRPr="00E23CED">
        <w:t>for</w:t>
      </w:r>
      <w:r w:rsidR="009B5448" w:rsidRPr="00E23CED">
        <w:t xml:space="preserve"> specific environmental outcomes</w:t>
      </w:r>
      <w:r w:rsidR="00B6599D" w:rsidRPr="00E23CED">
        <w:t>,</w:t>
      </w:r>
      <w:r w:rsidR="009B5448" w:rsidRPr="00E23CED">
        <w:t xml:space="preserve"> </w:t>
      </w:r>
      <w:r w:rsidR="00B5249F" w:rsidRPr="00E23CED">
        <w:t>as required under</w:t>
      </w:r>
      <w:r w:rsidR="009B5448" w:rsidRPr="00E23CED">
        <w:t xml:space="preserve"> </w:t>
      </w:r>
      <w:r w:rsidR="00816B7D" w:rsidRPr="00E23CED">
        <w:t>c</w:t>
      </w:r>
      <w:r w:rsidR="00096648" w:rsidRPr="00E23CED">
        <w:t>lause</w:t>
      </w:r>
      <w:r w:rsidR="009B5448" w:rsidRPr="00E23CED">
        <w:t xml:space="preserve"> 3.13 of the National Policy Statement for Freshwater Management (NPS-FM). </w:t>
      </w:r>
      <w:r w:rsidR="00096648" w:rsidRPr="00E23CED">
        <w:t>Clause</w:t>
      </w:r>
      <w:r w:rsidR="009B5448" w:rsidRPr="00E23CED">
        <w:t xml:space="preserve"> 3.13 </w:t>
      </w:r>
      <w:r w:rsidR="00697C08" w:rsidRPr="00E23CED">
        <w:t>is</w:t>
      </w:r>
      <w:r w:rsidR="009B5448" w:rsidRPr="00E23CED">
        <w:t xml:space="preserve"> consistent with a ki uta ki tai (from the mountains to sea) integrated resource management approach</w:t>
      </w:r>
      <w:r w:rsidR="00B5249F" w:rsidRPr="00E23CED">
        <w:t>,</w:t>
      </w:r>
      <w:r w:rsidR="00697C08" w:rsidRPr="00E23CED">
        <w:t xml:space="preserve"> </w:t>
      </w:r>
      <w:bookmarkStart w:id="3" w:name="_Hlk131521077"/>
      <w:r w:rsidR="00697C08" w:rsidRPr="00E23CED">
        <w:t>ensur</w:t>
      </w:r>
      <w:r w:rsidR="00B5249F" w:rsidRPr="00E23CED">
        <w:t>ing</w:t>
      </w:r>
      <w:r w:rsidR="00697C08" w:rsidRPr="00E23CED">
        <w:t xml:space="preserve"> water is managed in catchments, water bodies and receiving environments</w:t>
      </w:r>
      <w:bookmarkEnd w:id="3"/>
      <w:r w:rsidR="00697C08" w:rsidRPr="00E23CED">
        <w:t>.</w:t>
      </w:r>
      <w:r w:rsidR="009B5448" w:rsidRPr="00E23CED">
        <w:t xml:space="preserve"> </w:t>
      </w:r>
    </w:p>
    <w:p w14:paraId="2B9BE46C" w14:textId="284DC5B8" w:rsidR="002A5C6C" w:rsidRPr="00964E0C" w:rsidRDefault="00096648" w:rsidP="00E23F76">
      <w:pPr>
        <w:pStyle w:val="BodyText"/>
      </w:pPr>
      <w:r w:rsidRPr="00964E0C">
        <w:t>Clause</w:t>
      </w:r>
      <w:r w:rsidR="0043631D" w:rsidRPr="00964E0C">
        <w:t xml:space="preserve"> 3.13 </w:t>
      </w:r>
      <w:r w:rsidR="00B5249F" w:rsidRPr="00964E0C">
        <w:t>helps</w:t>
      </w:r>
      <w:r w:rsidR="0043631D" w:rsidRPr="00964E0C">
        <w:t xml:space="preserve"> achiev</w:t>
      </w:r>
      <w:r w:rsidR="00B5249F" w:rsidRPr="00964E0C">
        <w:t>e</w:t>
      </w:r>
      <w:r w:rsidR="0043631D" w:rsidRPr="00964E0C">
        <w:t xml:space="preserve"> environmental outcomes under the National Objectives Framework (NOF) in </w:t>
      </w:r>
      <w:r w:rsidR="00B5249F" w:rsidRPr="00964E0C">
        <w:t>s</w:t>
      </w:r>
      <w:r w:rsidR="0043631D" w:rsidRPr="00964E0C">
        <w:t xml:space="preserve">ubpart 2 of </w:t>
      </w:r>
      <w:r w:rsidR="00877D50" w:rsidRPr="00964E0C">
        <w:t xml:space="preserve">Part 3 of </w:t>
      </w:r>
      <w:r w:rsidR="0043631D" w:rsidRPr="00964E0C">
        <w:t xml:space="preserve">the NPS-FM. </w:t>
      </w:r>
      <w:r w:rsidRPr="00964E0C">
        <w:t>Clause</w:t>
      </w:r>
      <w:r w:rsidR="009C720C" w:rsidRPr="00964E0C">
        <w:t xml:space="preserve"> 3.13</w:t>
      </w:r>
      <w:r w:rsidR="0043631D" w:rsidRPr="00964E0C">
        <w:t xml:space="preserve"> clarif</w:t>
      </w:r>
      <w:r w:rsidR="00774844" w:rsidRPr="00964E0C">
        <w:t>ies</w:t>
      </w:r>
      <w:r w:rsidR="0043631D" w:rsidRPr="00964E0C">
        <w:t xml:space="preserve"> that the </w:t>
      </w:r>
      <w:r w:rsidR="00A90FC9" w:rsidRPr="00964E0C">
        <w:t xml:space="preserve">concentrations or loads </w:t>
      </w:r>
      <w:r w:rsidR="0043631D" w:rsidRPr="00964E0C">
        <w:t xml:space="preserve">of </w:t>
      </w:r>
      <w:r w:rsidR="00774844" w:rsidRPr="00964E0C">
        <w:t>nitrogen (</w:t>
      </w:r>
      <w:r w:rsidR="0043631D" w:rsidRPr="00964E0C">
        <w:t>N</w:t>
      </w:r>
      <w:r w:rsidR="00774844" w:rsidRPr="00964E0C">
        <w:t>)</w:t>
      </w:r>
      <w:r w:rsidR="0043631D" w:rsidRPr="00964E0C">
        <w:t xml:space="preserve"> and </w:t>
      </w:r>
      <w:r w:rsidR="00774844" w:rsidRPr="00964E0C">
        <w:t>phosphorus (</w:t>
      </w:r>
      <w:r w:rsidR="0043631D" w:rsidRPr="00964E0C">
        <w:t>P</w:t>
      </w:r>
      <w:r w:rsidR="00774844" w:rsidRPr="00964E0C">
        <w:t>)</w:t>
      </w:r>
      <w:r w:rsidR="0043631D" w:rsidRPr="00964E0C">
        <w:t xml:space="preserve"> in water bodies </w:t>
      </w:r>
      <w:r w:rsidR="00D459C4" w:rsidRPr="00964E0C">
        <w:t xml:space="preserve">and their contributing catchments </w:t>
      </w:r>
      <w:r w:rsidR="0043631D" w:rsidRPr="00964E0C">
        <w:t xml:space="preserve">must be managed as part of achieving the </w:t>
      </w:r>
      <w:r w:rsidR="00774844" w:rsidRPr="00964E0C">
        <w:t>NOF compulsory value</w:t>
      </w:r>
      <w:r w:rsidR="0043631D" w:rsidRPr="00964E0C">
        <w:t xml:space="preserve"> of ecosystem health. </w:t>
      </w:r>
    </w:p>
    <w:p w14:paraId="70817137" w14:textId="66EEBBFA" w:rsidR="0043631D" w:rsidRPr="00E23CED" w:rsidRDefault="00774844" w:rsidP="00E23F76">
      <w:pPr>
        <w:pStyle w:val="BodyText"/>
      </w:pPr>
      <w:r w:rsidRPr="00964E0C">
        <w:t>Regional c</w:t>
      </w:r>
      <w:r w:rsidR="0043631D" w:rsidRPr="00964E0C">
        <w:t>ouncils must set instream concentrations and exceedance criteria, or instream loads,</w:t>
      </w:r>
      <w:r w:rsidR="0020504D" w:rsidRPr="00964E0C">
        <w:t xml:space="preserve"> (simplified to </w:t>
      </w:r>
      <w:r w:rsidR="00B6571A" w:rsidRPr="00964E0C">
        <w:t>‘</w:t>
      </w:r>
      <w:r w:rsidR="0020504D" w:rsidRPr="00964E0C">
        <w:t>nutrient criteria</w:t>
      </w:r>
      <w:r w:rsidR="00B6571A" w:rsidRPr="00964E0C">
        <w:t>’</w:t>
      </w:r>
      <w:r w:rsidR="0020504D" w:rsidRPr="00964E0C">
        <w:t xml:space="preserve"> in this guidance</w:t>
      </w:r>
      <w:r w:rsidR="005E2E6E" w:rsidRPr="00964E0C">
        <w:t>)</w:t>
      </w:r>
      <w:r w:rsidR="0043631D" w:rsidRPr="00964E0C">
        <w:t xml:space="preserve"> to achieve target attribute states </w:t>
      </w:r>
      <w:r w:rsidR="00040392" w:rsidRPr="00964E0C">
        <w:t xml:space="preserve">(TASs) </w:t>
      </w:r>
      <w:r w:rsidR="0043631D" w:rsidRPr="00964E0C">
        <w:t>for nutrient attributes or attributes</w:t>
      </w:r>
      <w:r w:rsidRPr="00964E0C">
        <w:t xml:space="preserve"> affected by nutrients</w:t>
      </w:r>
      <w:r w:rsidR="0043631D" w:rsidRPr="00964E0C">
        <w:t xml:space="preserve">. A ki uta ki tai approach needs to be taken when setting nutrient criteria. This means </w:t>
      </w:r>
      <w:r w:rsidRPr="00964E0C">
        <w:t xml:space="preserve">local authorities must </w:t>
      </w:r>
      <w:r w:rsidR="00B5249F" w:rsidRPr="00964E0C">
        <w:t>look at</w:t>
      </w:r>
      <w:r w:rsidRPr="00964E0C">
        <w:t xml:space="preserve"> the interconnectedness of </w:t>
      </w:r>
      <w:r w:rsidR="0043631D" w:rsidRPr="00964E0C">
        <w:t>rivers, lakes, wetlands, groundwater, estuaries and coastal</w:t>
      </w:r>
      <w:r w:rsidR="0043631D" w:rsidRPr="00E23CED">
        <w:t xml:space="preserve"> environments when setting nutrient criteria and managing catchments.</w:t>
      </w:r>
    </w:p>
    <w:p w14:paraId="30E14963" w14:textId="74C81588" w:rsidR="0043631D" w:rsidRPr="00E23CED" w:rsidRDefault="0043631D" w:rsidP="00E23F76">
      <w:pPr>
        <w:pStyle w:val="BodyText"/>
      </w:pPr>
      <w:r w:rsidRPr="00E23CED">
        <w:t xml:space="preserve">Uncertainty around </w:t>
      </w:r>
      <w:r w:rsidR="00697C08" w:rsidRPr="00E23CED">
        <w:t xml:space="preserve">which nutrient criteria are most </w:t>
      </w:r>
      <w:r w:rsidRPr="00E23CED">
        <w:t>appropriate will need to be navigated by</w:t>
      </w:r>
      <w:r w:rsidR="0032412D" w:rsidRPr="00E23CED">
        <w:t xml:space="preserve"> </w:t>
      </w:r>
      <w:r w:rsidR="00B5249F" w:rsidRPr="00E23CED">
        <w:t>following</w:t>
      </w:r>
      <w:r w:rsidR="0032412D" w:rsidRPr="00E23CED">
        <w:t xml:space="preserve"> the NPS</w:t>
      </w:r>
      <w:r w:rsidR="00884637" w:rsidRPr="00E23CED">
        <w:t>-</w:t>
      </w:r>
      <w:r w:rsidR="0032412D" w:rsidRPr="00E23CED">
        <w:t xml:space="preserve">FM </w:t>
      </w:r>
      <w:r w:rsidR="00B5249F" w:rsidRPr="00E23CED">
        <w:t>c</w:t>
      </w:r>
      <w:r w:rsidR="00096648" w:rsidRPr="00E23CED">
        <w:t>lause</w:t>
      </w:r>
      <w:r w:rsidR="0032412D" w:rsidRPr="00E23CED">
        <w:t xml:space="preserve"> 1.6</w:t>
      </w:r>
      <w:r w:rsidR="007F2152" w:rsidRPr="00E23CED">
        <w:t xml:space="preserve"> requirement to </w:t>
      </w:r>
      <w:r w:rsidRPr="00E23CED">
        <w:t>us</w:t>
      </w:r>
      <w:r w:rsidR="007F2152" w:rsidRPr="00E23CED">
        <w:t>e</w:t>
      </w:r>
      <w:r w:rsidRPr="00E23CED">
        <w:t xml:space="preserve"> the best </w:t>
      </w:r>
      <w:r w:rsidR="007F2152" w:rsidRPr="00E23CED">
        <w:t xml:space="preserve">information </w:t>
      </w:r>
      <w:r w:rsidRPr="00E23CED">
        <w:t>available</w:t>
      </w:r>
      <w:r w:rsidR="007F2152" w:rsidRPr="00E23CED">
        <w:t xml:space="preserve"> at the time</w:t>
      </w:r>
      <w:r w:rsidR="00FB73D3" w:rsidRPr="00E23CED">
        <w:t>.</w:t>
      </w:r>
      <w:r w:rsidR="00E379C9" w:rsidRPr="00E23CED">
        <w:t xml:space="preserve"> </w:t>
      </w:r>
      <w:r w:rsidR="00645462" w:rsidRPr="00E23CED">
        <w:t xml:space="preserve">The NPS-FM also </w:t>
      </w:r>
      <w:r w:rsidR="009A4FF2" w:rsidRPr="00E23CED">
        <w:t>requires</w:t>
      </w:r>
      <w:r w:rsidR="000E7F0A" w:rsidRPr="00E23CED">
        <w:t xml:space="preserve"> </w:t>
      </w:r>
      <w:r w:rsidRPr="00E23CED">
        <w:t>engag</w:t>
      </w:r>
      <w:r w:rsidR="00B5249F" w:rsidRPr="00E23CED">
        <w:t>e</w:t>
      </w:r>
      <w:r w:rsidR="000E7F0A" w:rsidRPr="00E23CED">
        <w:t>ment</w:t>
      </w:r>
      <w:r w:rsidRPr="00E23CED">
        <w:t xml:space="preserve"> with </w:t>
      </w:r>
      <w:r w:rsidR="003B53FE" w:rsidRPr="00E23CED">
        <w:t>tangata</w:t>
      </w:r>
      <w:r w:rsidRPr="00E23CED">
        <w:t xml:space="preserve"> whenua</w:t>
      </w:r>
      <w:r w:rsidR="000E7F0A" w:rsidRPr="00E23CED">
        <w:t xml:space="preserve"> and</w:t>
      </w:r>
      <w:r w:rsidR="003B53FE" w:rsidRPr="00E23CED">
        <w:t xml:space="preserve"> </w:t>
      </w:r>
      <w:r w:rsidR="00F0353C" w:rsidRPr="00E23CED">
        <w:t>cons</w:t>
      </w:r>
      <w:r w:rsidRPr="00E23CED">
        <w:t>ult</w:t>
      </w:r>
      <w:r w:rsidR="00A73C83" w:rsidRPr="00E23CED">
        <w:t>ation</w:t>
      </w:r>
      <w:r w:rsidRPr="00E23CED">
        <w:t xml:space="preserve"> with the community. The Ministry recognises setting nutrient </w:t>
      </w:r>
      <w:r w:rsidR="0020504D" w:rsidRPr="00E23CED">
        <w:t>criteria</w:t>
      </w:r>
      <w:r w:rsidRPr="00E23CED">
        <w:t xml:space="preserve"> is challenging </w:t>
      </w:r>
      <w:r w:rsidR="0020504D" w:rsidRPr="00E23CED">
        <w:t xml:space="preserve">because of the complexity of </w:t>
      </w:r>
      <w:r w:rsidR="009D5454" w:rsidRPr="00E23CED">
        <w:t>aquatic</w:t>
      </w:r>
      <w:r w:rsidR="0020504D" w:rsidRPr="00E23CED">
        <w:t xml:space="preserve"> ecosystems, which </w:t>
      </w:r>
      <w:r w:rsidR="00B5249F" w:rsidRPr="00E23CED">
        <w:t>are made up of many parts</w:t>
      </w:r>
      <w:r w:rsidR="0020504D" w:rsidRPr="00E23CED">
        <w:t xml:space="preserve"> (ie, </w:t>
      </w:r>
      <w:r w:rsidR="00DE1B5B" w:rsidRPr="00E23CED">
        <w:t>the biological and physical parts of aquatic ecosystems that are represented by</w:t>
      </w:r>
      <w:r w:rsidR="005632C2" w:rsidRPr="00E23CED">
        <w:t xml:space="preserve"> attributes</w:t>
      </w:r>
      <w:r w:rsidR="0020504D" w:rsidRPr="00E23CED">
        <w:t>) that interact with one another and with environmental factors</w:t>
      </w:r>
      <w:r w:rsidR="002F3352" w:rsidRPr="00E23CED">
        <w:t>,</w:t>
      </w:r>
      <w:r w:rsidR="0020504D" w:rsidRPr="00E23CED">
        <w:t xml:space="preserve"> including nutrients. </w:t>
      </w:r>
    </w:p>
    <w:p w14:paraId="4DC91EED" w14:textId="2F98638A" w:rsidR="0043631D" w:rsidRPr="00E23CED" w:rsidRDefault="00630C93" w:rsidP="00E23F76">
      <w:pPr>
        <w:pStyle w:val="BodyText"/>
      </w:pPr>
      <w:r w:rsidRPr="00E23CED">
        <w:t xml:space="preserve">Policy 5 of the NPS-FM requires </w:t>
      </w:r>
      <w:r w:rsidR="001E78DF" w:rsidRPr="00E23CED">
        <w:t xml:space="preserve">that </w:t>
      </w:r>
      <w:r w:rsidRPr="00E23CED">
        <w:t>the health of degraded freshwater ecosystems</w:t>
      </w:r>
      <w:r w:rsidR="004D06CC" w:rsidRPr="00E23CED">
        <w:t xml:space="preserve"> be improved</w:t>
      </w:r>
      <w:r w:rsidR="002D16B9">
        <w:t>, where degraded means (among other things) a national bottom line or TAS is not being achieved</w:t>
      </w:r>
      <w:r w:rsidR="002D16B9" w:rsidRPr="00E23CED">
        <w:t>. It also requires that</w:t>
      </w:r>
      <w:r w:rsidR="004D06CC" w:rsidRPr="00E23CED">
        <w:t xml:space="preserve"> the health of all other freshwater ecosy</w:t>
      </w:r>
      <w:r w:rsidR="00C56F6C" w:rsidRPr="00E23CED">
        <w:t>s</w:t>
      </w:r>
      <w:r w:rsidR="004D06CC" w:rsidRPr="00E23CED">
        <w:t>tems be at least maintained</w:t>
      </w:r>
      <w:r w:rsidR="001E7433" w:rsidRPr="00E23CED">
        <w:t xml:space="preserve"> and improved</w:t>
      </w:r>
      <w:r w:rsidR="002D16B9">
        <w:t xml:space="preserve">. </w:t>
      </w:r>
      <w:r w:rsidR="00AF350A" w:rsidRPr="00E23CED">
        <w:t>TAS</w:t>
      </w:r>
      <w:r w:rsidR="00C56F6C" w:rsidRPr="00E23CED">
        <w:t>s</w:t>
      </w:r>
      <w:r w:rsidR="00AF350A" w:rsidRPr="00E23CED">
        <w:t xml:space="preserve"> for ecosystem healt</w:t>
      </w:r>
      <w:r w:rsidR="00AF350A" w:rsidRPr="00964E0C">
        <w:t>h must be</w:t>
      </w:r>
      <w:r w:rsidR="00AF350A" w:rsidRPr="00E23CED">
        <w:t xml:space="preserve"> set at or above</w:t>
      </w:r>
      <w:r w:rsidR="00DB440D" w:rsidRPr="00E23CED">
        <w:t xml:space="preserve"> national bottom lines and </w:t>
      </w:r>
      <w:r w:rsidR="00AF350A" w:rsidRPr="00E23CED">
        <w:t>baseline state</w:t>
      </w:r>
      <w:r w:rsidR="003314D8" w:rsidRPr="00E23CED">
        <w:t>s</w:t>
      </w:r>
      <w:r w:rsidR="00AF350A" w:rsidRPr="00E23CED">
        <w:t xml:space="preserve"> for </w:t>
      </w:r>
      <w:r w:rsidR="00DB440D" w:rsidRPr="00E23CED">
        <w:t>each</w:t>
      </w:r>
      <w:r w:rsidR="00AF350A" w:rsidRPr="00E23CED">
        <w:t xml:space="preserve"> attribute</w:t>
      </w:r>
      <w:r w:rsidR="00C32C33" w:rsidRPr="00E23CED">
        <w:t xml:space="preserve">. </w:t>
      </w:r>
      <w:r w:rsidR="00B5249F" w:rsidRPr="00E23CED">
        <w:t>W</w:t>
      </w:r>
      <w:r w:rsidR="00E43B05" w:rsidRPr="00E23CED">
        <w:t>he</w:t>
      </w:r>
      <w:r w:rsidR="00B30600" w:rsidRPr="00E23CED">
        <w:t>n</w:t>
      </w:r>
      <w:r w:rsidR="00E43B05" w:rsidRPr="00E23CED">
        <w:t xml:space="preserve"> </w:t>
      </w:r>
      <w:r w:rsidR="0043631D" w:rsidRPr="00E23CED">
        <w:t>nutrient attributes</w:t>
      </w:r>
      <w:r w:rsidR="00E43B05" w:rsidRPr="00E23CED">
        <w:t xml:space="preserve"> and </w:t>
      </w:r>
      <w:r w:rsidR="006A1DA5" w:rsidRPr="00E23CED">
        <w:t xml:space="preserve">attributes affected by </w:t>
      </w:r>
      <w:r w:rsidR="0043631D" w:rsidRPr="00E23CED">
        <w:t>nutrient</w:t>
      </w:r>
      <w:r w:rsidR="006A1DA5" w:rsidRPr="00E23CED">
        <w:t>s</w:t>
      </w:r>
      <w:r w:rsidR="00E60E74" w:rsidRPr="00E23CED">
        <w:t xml:space="preserve"> can be demonstrated to meet n</w:t>
      </w:r>
      <w:r w:rsidR="00545898" w:rsidRPr="00E23CED">
        <w:t>a</w:t>
      </w:r>
      <w:r w:rsidR="00E60E74" w:rsidRPr="00E23CED">
        <w:t>tional bottom lines</w:t>
      </w:r>
      <w:r w:rsidR="0043631D" w:rsidRPr="00E23CED">
        <w:t xml:space="preserve"> </w:t>
      </w:r>
      <w:r w:rsidR="00545898" w:rsidRPr="00E23CED">
        <w:t>and</w:t>
      </w:r>
      <w:r w:rsidR="006A1DA5" w:rsidRPr="00E23CED">
        <w:t xml:space="preserve"> the baseline</w:t>
      </w:r>
      <w:r w:rsidR="0043631D" w:rsidRPr="00E23CED">
        <w:t xml:space="preserve"> state</w:t>
      </w:r>
      <w:r w:rsidR="006A1DA5" w:rsidRPr="00E23CED">
        <w:t xml:space="preserve"> defined for</w:t>
      </w:r>
      <w:r w:rsidR="0043631D" w:rsidRPr="00E23CED">
        <w:t xml:space="preserve"> </w:t>
      </w:r>
      <w:r w:rsidR="00734BE2" w:rsidRPr="00E23CED">
        <w:t xml:space="preserve">a </w:t>
      </w:r>
      <w:r w:rsidR="00B5249F" w:rsidRPr="00E23CED">
        <w:t>f</w:t>
      </w:r>
      <w:r w:rsidR="005E2E6E" w:rsidRPr="00E23CED">
        <w:t xml:space="preserve">reshwater </w:t>
      </w:r>
      <w:r w:rsidR="00B5249F" w:rsidRPr="00E23CED">
        <w:t>m</w:t>
      </w:r>
      <w:r w:rsidR="005E2E6E" w:rsidRPr="00E23CED">
        <w:t xml:space="preserve">anagement </w:t>
      </w:r>
      <w:r w:rsidR="00B5249F" w:rsidRPr="00E23CED">
        <w:t>u</w:t>
      </w:r>
      <w:r w:rsidR="005E2E6E" w:rsidRPr="00E23CED">
        <w:t>nit (</w:t>
      </w:r>
      <w:r w:rsidR="0043631D" w:rsidRPr="00E23CED">
        <w:t>FMU</w:t>
      </w:r>
      <w:r w:rsidR="005E2E6E" w:rsidRPr="00E23CED">
        <w:t>)</w:t>
      </w:r>
      <w:r w:rsidR="0043631D" w:rsidRPr="00E23CED">
        <w:t>,</w:t>
      </w:r>
      <w:r w:rsidR="004D12B9" w:rsidRPr="00E23CED">
        <w:t xml:space="preserve"> and</w:t>
      </w:r>
      <w:r w:rsidR="005336B3" w:rsidRPr="00E23CED">
        <w:t xml:space="preserve"> where</w:t>
      </w:r>
      <w:r w:rsidR="004D12B9" w:rsidRPr="00E23CED">
        <w:t xml:space="preserve"> the community has not chosen to improve</w:t>
      </w:r>
      <w:r w:rsidR="0054110F" w:rsidRPr="00E23CED">
        <w:t xml:space="preserve"> those </w:t>
      </w:r>
      <w:r w:rsidR="009A0FF5" w:rsidRPr="00E23CED">
        <w:t>attributes</w:t>
      </w:r>
      <w:r w:rsidR="004D12B9" w:rsidRPr="00E23CED">
        <w:t>,</w:t>
      </w:r>
      <w:r w:rsidR="0043631D" w:rsidRPr="00E23CED">
        <w:t xml:space="preserve"> then it may be appropriate to </w:t>
      </w:r>
      <w:r w:rsidR="005E2E6E" w:rsidRPr="00E23CED">
        <w:t>adopt the baseline nutrient concentrations</w:t>
      </w:r>
      <w:r w:rsidR="0043631D" w:rsidRPr="00E23CED">
        <w:t xml:space="preserve"> as nutrient criteria. </w:t>
      </w:r>
    </w:p>
    <w:p w14:paraId="37B43A46" w14:textId="64DF833A" w:rsidR="0043631D" w:rsidRPr="00E23CED" w:rsidRDefault="00B5249F" w:rsidP="00E23F76">
      <w:pPr>
        <w:pStyle w:val="BodyText"/>
      </w:pPr>
      <w:r w:rsidRPr="00E23CED">
        <w:t>W</w:t>
      </w:r>
      <w:r w:rsidR="0043631D" w:rsidRPr="00E23CED">
        <w:t xml:space="preserve">hen </w:t>
      </w:r>
      <w:r w:rsidR="005E2E6E" w:rsidRPr="00E23CED">
        <w:t xml:space="preserve">a TAS for a </w:t>
      </w:r>
      <w:r w:rsidR="0043631D" w:rsidRPr="00E23CED">
        <w:t xml:space="preserve">nutrient attribute or </w:t>
      </w:r>
      <w:r w:rsidR="005E2E6E" w:rsidRPr="00E23CED">
        <w:t xml:space="preserve">an attribute affected by nutrients is not </w:t>
      </w:r>
      <w:r w:rsidR="00396589" w:rsidRPr="00E23CED">
        <w:t xml:space="preserve">being </w:t>
      </w:r>
      <w:r w:rsidR="005E2E6E" w:rsidRPr="00E23CED">
        <w:t>met in an FMU</w:t>
      </w:r>
      <w:r w:rsidR="00396589" w:rsidRPr="00E23CED">
        <w:t xml:space="preserve"> (ie,</w:t>
      </w:r>
      <w:r w:rsidR="007844FE" w:rsidRPr="00E23CED">
        <w:t xml:space="preserve"> it is degraded)</w:t>
      </w:r>
      <w:r w:rsidR="005E2E6E" w:rsidRPr="00E23CED">
        <w:t xml:space="preserve">, </w:t>
      </w:r>
      <w:r w:rsidR="007844FE" w:rsidRPr="00E23CED">
        <w:t xml:space="preserve">then </w:t>
      </w:r>
      <w:r w:rsidR="0043631D" w:rsidRPr="00E23CED">
        <w:t xml:space="preserve">nutrient criteria expected to </w:t>
      </w:r>
      <w:r w:rsidR="005E2E6E" w:rsidRPr="00E23CED">
        <w:t xml:space="preserve">achieve </w:t>
      </w:r>
      <w:r w:rsidR="00040392" w:rsidRPr="00E23CED">
        <w:t>the TAS</w:t>
      </w:r>
      <w:r w:rsidR="0043631D" w:rsidRPr="00E23CED">
        <w:t xml:space="preserve"> will need to be established. </w:t>
      </w:r>
      <w:r w:rsidR="00D77FBC" w:rsidRPr="00E23CED">
        <w:t>Typically,</w:t>
      </w:r>
      <w:r w:rsidR="0043631D" w:rsidRPr="00E23CED">
        <w:t xml:space="preserve"> more information </w:t>
      </w:r>
      <w:r w:rsidR="006F3D99" w:rsidRPr="00E23CED">
        <w:t xml:space="preserve">is </w:t>
      </w:r>
      <w:r w:rsidR="0043631D" w:rsidRPr="00E23CED">
        <w:t>available for setting nutrient criteria in rivers and lakes</w:t>
      </w:r>
      <w:r w:rsidR="003B3CF5" w:rsidRPr="00E23CED">
        <w:t xml:space="preserve"> than in </w:t>
      </w:r>
      <w:r w:rsidR="0043631D" w:rsidRPr="00E23CED">
        <w:t>wetlands, groundwater, estuaries and coastal waters.</w:t>
      </w:r>
      <w:r w:rsidR="00D47879" w:rsidRPr="00E23CED">
        <w:t xml:space="preserve"> </w:t>
      </w:r>
      <w:r w:rsidR="00516D4B" w:rsidRPr="00E23CED">
        <w:t>G</w:t>
      </w:r>
      <w:r w:rsidR="0043631D" w:rsidRPr="00E23CED">
        <w:t xml:space="preserve">reater availability of </w:t>
      </w:r>
      <w:r w:rsidR="0043631D" w:rsidRPr="00E23CED">
        <w:rPr>
          <w:spacing w:val="-2"/>
        </w:rPr>
        <w:t xml:space="preserve">information in some habitat types does not diminish the importance of </w:t>
      </w:r>
      <w:r w:rsidR="007D082A" w:rsidRPr="00E23CED">
        <w:rPr>
          <w:spacing w:val="-2"/>
        </w:rPr>
        <w:t>consider</w:t>
      </w:r>
      <w:r w:rsidR="00516D4B" w:rsidRPr="00E23CED">
        <w:rPr>
          <w:spacing w:val="-2"/>
        </w:rPr>
        <w:t>ing</w:t>
      </w:r>
      <w:r w:rsidR="007D082A" w:rsidRPr="00E23CED">
        <w:rPr>
          <w:spacing w:val="-2"/>
        </w:rPr>
        <w:t xml:space="preserve"> </w:t>
      </w:r>
      <w:r w:rsidR="0043631D" w:rsidRPr="00E23CED">
        <w:rPr>
          <w:spacing w:val="-2"/>
        </w:rPr>
        <w:t>manage</w:t>
      </w:r>
      <w:r w:rsidR="00A76969" w:rsidRPr="00E23CED">
        <w:rPr>
          <w:spacing w:val="-2"/>
        </w:rPr>
        <w:t>ment</w:t>
      </w:r>
      <w:r w:rsidR="00A76969" w:rsidRPr="00E23CED">
        <w:t xml:space="preserve"> of</w:t>
      </w:r>
      <w:r w:rsidR="0043631D" w:rsidRPr="00E23CED">
        <w:t xml:space="preserve"> the potential effects of nutrients on other but less well understood parts of the ki uta ki tai continuum.</w:t>
      </w:r>
      <w:r w:rsidR="003A5B52" w:rsidRPr="00E23CED">
        <w:t xml:space="preserve"> </w:t>
      </w:r>
    </w:p>
    <w:p w14:paraId="6152F12D" w14:textId="3F327842" w:rsidR="00275DB5" w:rsidRPr="00E23CED" w:rsidRDefault="0043631D" w:rsidP="00E23F76">
      <w:pPr>
        <w:pStyle w:val="BodyText"/>
      </w:pPr>
      <w:r w:rsidRPr="00E23CED">
        <w:t>A</w:t>
      </w:r>
      <w:r w:rsidR="0031691F" w:rsidRPr="00E23CED">
        <w:t>n important</w:t>
      </w:r>
      <w:r w:rsidRPr="00E23CED">
        <w:t xml:space="preserve"> </w:t>
      </w:r>
      <w:r w:rsidR="005F276E" w:rsidRPr="00E23CED">
        <w:t>aspect of</w:t>
      </w:r>
      <w:r w:rsidR="00D47879" w:rsidRPr="00E23CED">
        <w:t xml:space="preserve"> implementing </w:t>
      </w:r>
      <w:r w:rsidR="00516D4B" w:rsidRPr="00E23CED">
        <w:t>c</w:t>
      </w:r>
      <w:r w:rsidR="00096648" w:rsidRPr="00E23CED">
        <w:t>lause</w:t>
      </w:r>
      <w:r w:rsidR="00D47879" w:rsidRPr="00E23CED">
        <w:t xml:space="preserve"> 3.13</w:t>
      </w:r>
      <w:r w:rsidRPr="00E23CED">
        <w:t xml:space="preserve"> is to set </w:t>
      </w:r>
      <w:r w:rsidR="00C34564" w:rsidRPr="00E23CED">
        <w:t>nutrient criteria</w:t>
      </w:r>
      <w:r w:rsidRPr="00E23CED">
        <w:t xml:space="preserve"> that will protect </w:t>
      </w:r>
      <w:r w:rsidR="00E157CC" w:rsidRPr="00E23CED">
        <w:t xml:space="preserve">all </w:t>
      </w:r>
      <w:r w:rsidR="00C34564" w:rsidRPr="00E23CED">
        <w:t>ecosystem constituents</w:t>
      </w:r>
      <w:r w:rsidR="00E157CC" w:rsidRPr="00E23CED">
        <w:t>, including those</w:t>
      </w:r>
      <w:r w:rsidR="006025E4" w:rsidRPr="00E23CED">
        <w:t xml:space="preserve"> most sensitive to nutrient enrichment</w:t>
      </w:r>
      <w:r w:rsidRPr="00E23CED">
        <w:t xml:space="preserve">. </w:t>
      </w:r>
      <w:r w:rsidR="00516D4B" w:rsidRPr="00E23CED">
        <w:t>E</w:t>
      </w:r>
      <w:r w:rsidRPr="00E23CED">
        <w:t>nsuring the needs of all attributes will be met includes</w:t>
      </w:r>
      <w:r w:rsidR="00275DB5" w:rsidRPr="00E23CED">
        <w:t>:</w:t>
      </w:r>
    </w:p>
    <w:p w14:paraId="1D986EAA" w14:textId="1B16C5EF" w:rsidR="00275DB5" w:rsidRPr="00E23CED" w:rsidRDefault="00D47879" w:rsidP="00910045">
      <w:pPr>
        <w:pStyle w:val="Subclauselisti"/>
        <w:spacing w:before="0"/>
        <w:ind w:left="567"/>
      </w:pPr>
      <w:r w:rsidRPr="00E23CED">
        <w:lastRenderedPageBreak/>
        <w:t>identifying</w:t>
      </w:r>
      <w:r w:rsidR="0043631D" w:rsidRPr="00E23CED">
        <w:t xml:space="preserve"> attributes in the system likely to be sensitive to nutrients</w:t>
      </w:r>
    </w:p>
    <w:p w14:paraId="1A0A2A3E" w14:textId="7EB97F84" w:rsidR="00275DB5" w:rsidRPr="00E23CED" w:rsidRDefault="0043631D" w:rsidP="00910045">
      <w:pPr>
        <w:pStyle w:val="Subclauselisti"/>
        <w:spacing w:before="0"/>
        <w:ind w:left="567"/>
      </w:pPr>
      <w:r w:rsidRPr="00E23CED">
        <w:t xml:space="preserve">determining </w:t>
      </w:r>
      <w:r w:rsidR="00D47879" w:rsidRPr="00E23CED">
        <w:t xml:space="preserve">the </w:t>
      </w:r>
      <w:r w:rsidRPr="00E23CED">
        <w:t xml:space="preserve">nutrient criteria </w:t>
      </w:r>
      <w:r w:rsidR="00D47879" w:rsidRPr="00E23CED">
        <w:t xml:space="preserve">that </w:t>
      </w:r>
      <w:r w:rsidRPr="00E23CED">
        <w:t xml:space="preserve">will achieve the </w:t>
      </w:r>
      <w:r w:rsidR="00D47879" w:rsidRPr="00E23CED">
        <w:t>TAS</w:t>
      </w:r>
      <w:r w:rsidRPr="00E23CED">
        <w:t xml:space="preserve"> for each of those </w:t>
      </w:r>
      <w:proofErr w:type="gramStart"/>
      <w:r w:rsidRPr="00E23CED">
        <w:t>attributes</w:t>
      </w:r>
      <w:proofErr w:type="gramEnd"/>
    </w:p>
    <w:p w14:paraId="7748D05C" w14:textId="08B9BC59" w:rsidR="00275DB5" w:rsidRPr="00E23CED" w:rsidRDefault="0043631D" w:rsidP="00910045">
      <w:pPr>
        <w:pStyle w:val="Subclauselisti"/>
        <w:spacing w:before="0"/>
        <w:ind w:left="567"/>
      </w:pPr>
      <w:r w:rsidRPr="00E23CED">
        <w:t xml:space="preserve">determining </w:t>
      </w:r>
      <w:r w:rsidR="000A1B51" w:rsidRPr="00E23CED">
        <w:t>the</w:t>
      </w:r>
      <w:r w:rsidRPr="00E23CED">
        <w:t xml:space="preserve"> nutrient criteria </w:t>
      </w:r>
      <w:r w:rsidR="000A1B51" w:rsidRPr="00E23CED">
        <w:t xml:space="preserve">required </w:t>
      </w:r>
      <w:r w:rsidR="000722CC" w:rsidRPr="00E23CED">
        <w:t>to ensure that</w:t>
      </w:r>
      <w:r w:rsidR="000A1B51" w:rsidRPr="00E23CED">
        <w:t xml:space="preserve"> </w:t>
      </w:r>
      <w:r w:rsidR="003833D6" w:rsidRPr="00E23CED">
        <w:t xml:space="preserve">all TASs, including </w:t>
      </w:r>
      <w:r w:rsidRPr="00E23CED">
        <w:t>the most sensitive</w:t>
      </w:r>
      <w:r w:rsidR="006C2B45" w:rsidRPr="00E23CED">
        <w:t xml:space="preserve"> </w:t>
      </w:r>
      <w:r w:rsidR="006D0DA4" w:rsidRPr="00E23CED">
        <w:t>TAS</w:t>
      </w:r>
      <w:r w:rsidR="00F8411E" w:rsidRPr="00E23CED">
        <w:t xml:space="preserve"> in each c</w:t>
      </w:r>
      <w:r w:rsidR="006D0DA4" w:rsidRPr="00E23CED">
        <w:t>a</w:t>
      </w:r>
      <w:r w:rsidR="00F8411E" w:rsidRPr="00E23CED">
        <w:t>tchment</w:t>
      </w:r>
      <w:r w:rsidR="003833D6" w:rsidRPr="00E23CED">
        <w:t>,</w:t>
      </w:r>
      <w:r w:rsidR="006D0DA4" w:rsidRPr="00E23CED">
        <w:t xml:space="preserve"> is achieved</w:t>
      </w:r>
      <w:r w:rsidR="00F9785B" w:rsidRPr="00E23CED">
        <w:t xml:space="preserve"> (ie, </w:t>
      </w:r>
      <w:r w:rsidR="00B65224" w:rsidRPr="00E23CED">
        <w:t xml:space="preserve">determining </w:t>
      </w:r>
      <w:r w:rsidR="00F9785B" w:rsidRPr="00E23CED">
        <w:t>the most restrictive</w:t>
      </w:r>
      <w:r w:rsidR="007A1804" w:rsidRPr="00E23CED">
        <w:t xml:space="preserve"> criteria to achieve</w:t>
      </w:r>
      <w:r w:rsidR="00533E14" w:rsidRPr="00E23CED">
        <w:t xml:space="preserve"> the most sensitive and</w:t>
      </w:r>
      <w:r w:rsidR="00FC0B83" w:rsidRPr="00E23CED">
        <w:t xml:space="preserve"> therefore</w:t>
      </w:r>
      <w:r w:rsidR="00533E14" w:rsidRPr="00E23CED">
        <w:t xml:space="preserve"> all TAS</w:t>
      </w:r>
      <w:r w:rsidR="00B65224" w:rsidRPr="00E23CED">
        <w:t>s</w:t>
      </w:r>
      <w:r w:rsidR="00F03E15" w:rsidRPr="00E23CED">
        <w:t xml:space="preserve"> in each catchment</w:t>
      </w:r>
      <w:r w:rsidRPr="00E23CED">
        <w:t>)</w:t>
      </w:r>
      <w:r w:rsidR="00EC574E" w:rsidRPr="00E23CED">
        <w:t>.</w:t>
      </w:r>
      <w:r w:rsidR="00865096" w:rsidRPr="00E23CED">
        <w:t xml:space="preserve"> </w:t>
      </w:r>
    </w:p>
    <w:p w14:paraId="182C508C" w14:textId="56EDDA68" w:rsidR="0043631D" w:rsidRPr="00E23CED" w:rsidRDefault="00865096" w:rsidP="00F81FA4">
      <w:pPr>
        <w:pStyle w:val="BodyText"/>
      </w:pPr>
      <w:r w:rsidRPr="00E23CED">
        <w:t xml:space="preserve">Those </w:t>
      </w:r>
      <w:r w:rsidR="00807922" w:rsidRPr="00E23CED">
        <w:t xml:space="preserve">nutrient criteria </w:t>
      </w:r>
      <w:r w:rsidR="001212B6" w:rsidRPr="00964E0C">
        <w:t>must</w:t>
      </w:r>
      <w:r w:rsidR="001212B6" w:rsidRPr="00E23CED">
        <w:t xml:space="preserve"> then be ado</w:t>
      </w:r>
      <w:r w:rsidR="00C638CD" w:rsidRPr="00E23CED">
        <w:t>p</w:t>
      </w:r>
      <w:r w:rsidR="001212B6" w:rsidRPr="00E23CED">
        <w:t xml:space="preserve">ted by regional councils as </w:t>
      </w:r>
      <w:r w:rsidR="00C638CD" w:rsidRPr="00E23CED">
        <w:t>‘</w:t>
      </w:r>
      <w:r w:rsidR="001212B6" w:rsidRPr="00E23CED">
        <w:t>nutrient outcomes’</w:t>
      </w:r>
      <w:r w:rsidR="00FF77A2" w:rsidRPr="00E23CED">
        <w:t>,</w:t>
      </w:r>
      <w:r w:rsidR="006B5CFC" w:rsidRPr="00E23CED">
        <w:t xml:space="preserve"> to</w:t>
      </w:r>
      <w:r w:rsidR="009E3C57" w:rsidRPr="00E23CED">
        <w:t> </w:t>
      </w:r>
      <w:r w:rsidR="006B5CFC" w:rsidRPr="00E23CED">
        <w:t>achieve TASs.</w:t>
      </w:r>
      <w:r w:rsidR="00EC574E" w:rsidRPr="00E23CED">
        <w:t xml:space="preserve"> </w:t>
      </w:r>
      <w:r w:rsidR="006C4467" w:rsidRPr="00E23CED">
        <w:t xml:space="preserve">Subsequent </w:t>
      </w:r>
      <w:r w:rsidR="00DE1B5B" w:rsidRPr="00E23CED">
        <w:t xml:space="preserve">steps </w:t>
      </w:r>
      <w:r w:rsidR="00A01A3E" w:rsidRPr="00E23CED">
        <w:t xml:space="preserve">require </w:t>
      </w:r>
      <w:r w:rsidR="00516D4B" w:rsidRPr="00E23CED">
        <w:t xml:space="preserve">managing </w:t>
      </w:r>
      <w:r w:rsidR="00A01A3E" w:rsidRPr="00E23CED">
        <w:t xml:space="preserve">catchments </w:t>
      </w:r>
      <w:r w:rsidR="008413A7" w:rsidRPr="00E23CED">
        <w:t>to achieve those</w:t>
      </w:r>
      <w:r w:rsidR="00C7246C" w:rsidRPr="00E23CED">
        <w:t xml:space="preserve"> </w:t>
      </w:r>
      <w:r w:rsidR="00BE750F" w:rsidRPr="00E23CED">
        <w:t>nutrient outcomes (</w:t>
      </w:r>
      <w:r w:rsidR="00516D4B" w:rsidRPr="00E23CED">
        <w:t>c</w:t>
      </w:r>
      <w:r w:rsidR="00096648" w:rsidRPr="00E23CED">
        <w:t>lause</w:t>
      </w:r>
      <w:r w:rsidR="00BE750F" w:rsidRPr="00E23CED">
        <w:t xml:space="preserve"> 3.12</w:t>
      </w:r>
      <w:r w:rsidR="00945392" w:rsidRPr="00E23CED">
        <w:t>)</w:t>
      </w:r>
      <w:r w:rsidR="00BE750F" w:rsidRPr="00E23CED">
        <w:t xml:space="preserve"> by </w:t>
      </w:r>
      <w:r w:rsidR="000614A9" w:rsidRPr="00E23CED">
        <w:t xml:space="preserve">requiring regional councils </w:t>
      </w:r>
      <w:r w:rsidR="00516D4B" w:rsidRPr="00E23CED">
        <w:t xml:space="preserve">to </w:t>
      </w:r>
      <w:r w:rsidR="00680C36" w:rsidRPr="00E23CED">
        <w:t xml:space="preserve">identify limits to resource use </w:t>
      </w:r>
      <w:r w:rsidR="00DE1B5B" w:rsidRPr="00E23CED">
        <w:t>(</w:t>
      </w:r>
      <w:r w:rsidR="00516D4B" w:rsidRPr="00E23CED">
        <w:t>c</w:t>
      </w:r>
      <w:r w:rsidR="00096648" w:rsidRPr="00E23CED">
        <w:t>lause</w:t>
      </w:r>
      <w:r w:rsidR="009E3C57" w:rsidRPr="00E23CED">
        <w:t> </w:t>
      </w:r>
      <w:r w:rsidR="00DE1B5B" w:rsidRPr="00E23CED">
        <w:t>3.14)</w:t>
      </w:r>
      <w:r w:rsidR="00CD25F9" w:rsidRPr="00E23CED">
        <w:t>. These steps</w:t>
      </w:r>
      <w:r w:rsidR="001504B8" w:rsidRPr="00E23CED">
        <w:t xml:space="preserve"> </w:t>
      </w:r>
      <w:r w:rsidR="000614A9" w:rsidRPr="00E23CED">
        <w:t>may al</w:t>
      </w:r>
      <w:r w:rsidR="001504B8" w:rsidRPr="00E23CED">
        <w:t>so</w:t>
      </w:r>
      <w:r w:rsidR="00DE1B5B" w:rsidRPr="00E23CED">
        <w:t xml:space="preserve"> </w:t>
      </w:r>
      <w:r w:rsidR="00516D4B" w:rsidRPr="00E23CED">
        <w:t xml:space="preserve">require the </w:t>
      </w:r>
      <w:r w:rsidR="00144C20" w:rsidRPr="00E23CED">
        <w:t>prepar</w:t>
      </w:r>
      <w:r w:rsidR="00516D4B" w:rsidRPr="00E23CED">
        <w:t>ation of</w:t>
      </w:r>
      <w:r w:rsidR="00144C20" w:rsidRPr="00E23CED">
        <w:t xml:space="preserve"> action plans (</w:t>
      </w:r>
      <w:r w:rsidR="00516D4B" w:rsidRPr="00E23CED">
        <w:t>c</w:t>
      </w:r>
      <w:r w:rsidR="00096648" w:rsidRPr="00E23CED">
        <w:t>lause</w:t>
      </w:r>
      <w:r w:rsidR="00144C20" w:rsidRPr="00E23CED">
        <w:t xml:space="preserve"> 3.15</w:t>
      </w:r>
      <w:r w:rsidR="001D56AC" w:rsidRPr="00E23CED">
        <w:t>) and</w:t>
      </w:r>
      <w:r w:rsidR="000200FA" w:rsidRPr="00E23CED">
        <w:t xml:space="preserve"> </w:t>
      </w:r>
      <w:r w:rsidR="001D56AC" w:rsidRPr="00E23CED">
        <w:t>impos</w:t>
      </w:r>
      <w:r w:rsidR="00516D4B" w:rsidRPr="00E23CED">
        <w:t>ing</w:t>
      </w:r>
      <w:r w:rsidR="001D56AC" w:rsidRPr="00E23CED">
        <w:t xml:space="preserve"> conditions on resource consents</w:t>
      </w:r>
      <w:r w:rsidR="001032E0" w:rsidRPr="00E23CED">
        <w:t xml:space="preserve"> (clause</w:t>
      </w:r>
      <w:r w:rsidR="00DF7DB3" w:rsidRPr="00E23CED">
        <w:t xml:space="preserve"> 3.12)</w:t>
      </w:r>
      <w:r w:rsidR="0043631D" w:rsidRPr="00E23CED">
        <w:t>.</w:t>
      </w:r>
      <w:r w:rsidR="003A5B52" w:rsidRPr="00E23CED">
        <w:t xml:space="preserve"> </w:t>
      </w:r>
    </w:p>
    <w:p w14:paraId="771AB86A" w14:textId="5A916A68" w:rsidR="0043631D" w:rsidRPr="00E23CED" w:rsidRDefault="0043631D" w:rsidP="00F81FA4">
      <w:pPr>
        <w:pStyle w:val="BodyText"/>
      </w:pPr>
      <w:r w:rsidRPr="00E23CED">
        <w:t xml:space="preserve">The most appropriate approach for </w:t>
      </w:r>
      <w:r w:rsidR="00DE1B5B" w:rsidRPr="00E23CED">
        <w:t xml:space="preserve">deriving </w:t>
      </w:r>
      <w:r w:rsidRPr="00E23CED">
        <w:t xml:space="preserve">nutrient criteria </w:t>
      </w:r>
      <w:r w:rsidR="00516D4B" w:rsidRPr="00E23CED">
        <w:t xml:space="preserve">depends on the </w:t>
      </w:r>
      <w:r w:rsidRPr="00E23CED">
        <w:t xml:space="preserve">context. </w:t>
      </w:r>
      <w:r w:rsidR="00516D4B" w:rsidRPr="00E23CED">
        <w:t>It may be</w:t>
      </w:r>
      <w:r w:rsidR="009E3C57" w:rsidRPr="00E23CED">
        <w:t> </w:t>
      </w:r>
      <w:r w:rsidR="00516D4B" w:rsidRPr="00E23CED">
        <w:t>appropriate to c</w:t>
      </w:r>
      <w:r w:rsidRPr="00E23CED">
        <w:t>onside</w:t>
      </w:r>
      <w:r w:rsidR="00516D4B" w:rsidRPr="00E23CED">
        <w:t>r</w:t>
      </w:r>
      <w:r w:rsidRPr="00E23CED">
        <w:t xml:space="preserve"> </w:t>
      </w:r>
      <w:r w:rsidRPr="00E23CED">
        <w:rPr>
          <w:b/>
          <w:bCs/>
        </w:rPr>
        <w:t>dissolved</w:t>
      </w:r>
      <w:r w:rsidRPr="00E23CED">
        <w:t xml:space="preserve"> nutrients for </w:t>
      </w:r>
      <w:r w:rsidR="00797850" w:rsidRPr="00E23CED">
        <w:t>nutrient</w:t>
      </w:r>
      <w:r w:rsidR="00D5288D" w:rsidRPr="00E23CED">
        <w:t xml:space="preserve"> criteria</w:t>
      </w:r>
      <w:r w:rsidRPr="00E23CED">
        <w:t xml:space="preserve"> in rivers</w:t>
      </w:r>
      <w:r w:rsidR="001D5B28" w:rsidRPr="00E23CED">
        <w:t>,</w:t>
      </w:r>
      <w:r w:rsidRPr="00E23CED">
        <w:t xml:space="preserve"> in some cases, but</w:t>
      </w:r>
      <w:r w:rsidR="009E3C57" w:rsidRPr="00E23CED">
        <w:t> </w:t>
      </w:r>
      <w:r w:rsidRPr="00E23CED">
        <w:rPr>
          <w:b/>
          <w:bCs/>
        </w:rPr>
        <w:t>total</w:t>
      </w:r>
      <w:r w:rsidRPr="00E23CED">
        <w:t xml:space="preserve"> nitrogen </w:t>
      </w:r>
      <w:r w:rsidR="00040A3D" w:rsidRPr="00E23CED">
        <w:t xml:space="preserve">and </w:t>
      </w:r>
      <w:r w:rsidRPr="00E23CED">
        <w:t xml:space="preserve">phosphorus </w:t>
      </w:r>
      <w:r w:rsidR="005632C2" w:rsidRPr="00E23CED">
        <w:t>will</w:t>
      </w:r>
      <w:r w:rsidR="00516D4B" w:rsidRPr="00E23CED">
        <w:t xml:space="preserve"> need to</w:t>
      </w:r>
      <w:r w:rsidR="005632C2" w:rsidRPr="00E23CED">
        <w:t xml:space="preserve"> </w:t>
      </w:r>
      <w:r w:rsidRPr="00E23CED">
        <w:t xml:space="preserve">be </w:t>
      </w:r>
      <w:r w:rsidR="00516D4B" w:rsidRPr="00E23CED">
        <w:t xml:space="preserve">considered </w:t>
      </w:r>
      <w:r w:rsidRPr="00E23CED">
        <w:t xml:space="preserve">for lakes. Estimates </w:t>
      </w:r>
      <w:r w:rsidR="005632C2" w:rsidRPr="00E23CED">
        <w:t>of</w:t>
      </w:r>
      <w:r w:rsidRPr="00E23CED">
        <w:t xml:space="preserve"> loss of nutrients from the catchment </w:t>
      </w:r>
      <w:r w:rsidR="005632C2" w:rsidRPr="00E23CED">
        <w:t xml:space="preserve">are </w:t>
      </w:r>
      <w:r w:rsidRPr="00E23CED">
        <w:t xml:space="preserve">often quantified as </w:t>
      </w:r>
      <w:r w:rsidR="005632C2" w:rsidRPr="00E23CED">
        <w:t xml:space="preserve">concentrations or loads of </w:t>
      </w:r>
      <w:r w:rsidRPr="00E23CED">
        <w:t>total</w:t>
      </w:r>
      <w:r w:rsidR="005632C2" w:rsidRPr="00E23CED">
        <w:t xml:space="preserve"> nutrient</w:t>
      </w:r>
      <w:r w:rsidRPr="00E23CED">
        <w:t xml:space="preserve"> rather than </w:t>
      </w:r>
      <w:r w:rsidR="005632C2" w:rsidRPr="00E23CED">
        <w:t xml:space="preserve">of </w:t>
      </w:r>
      <w:r w:rsidRPr="00E23CED">
        <w:t xml:space="preserve">dissolved forms. </w:t>
      </w:r>
      <w:r w:rsidR="005632C2" w:rsidRPr="00E23CED">
        <w:t>The</w:t>
      </w:r>
      <w:r w:rsidRPr="00E23CED">
        <w:t xml:space="preserve"> ki uta ki tai </w:t>
      </w:r>
      <w:r w:rsidR="005632C2" w:rsidRPr="00E23CED">
        <w:t xml:space="preserve">approach </w:t>
      </w:r>
      <w:r w:rsidRPr="00E23CED">
        <w:t xml:space="preserve">requires a reconciliation of any </w:t>
      </w:r>
      <w:r w:rsidR="00F87514" w:rsidRPr="00E23CED">
        <w:t xml:space="preserve">nutrient criteria </w:t>
      </w:r>
      <w:r w:rsidR="007F6942" w:rsidRPr="00E23CED">
        <w:t xml:space="preserve">identified </w:t>
      </w:r>
      <w:r w:rsidRPr="00E23CED">
        <w:t xml:space="preserve">as different forms of nutrients at the catchment scale. </w:t>
      </w:r>
      <w:r w:rsidR="00420A14" w:rsidRPr="00E23CED">
        <w:t xml:space="preserve">Regional </w:t>
      </w:r>
      <w:r w:rsidR="00E66F44" w:rsidRPr="00E23CED">
        <w:t>c</w:t>
      </w:r>
      <w:r w:rsidR="00420A14" w:rsidRPr="00E23CED">
        <w:t xml:space="preserve">ouncils are responsible for </w:t>
      </w:r>
      <w:r w:rsidRPr="00E23CED">
        <w:t>determin</w:t>
      </w:r>
      <w:r w:rsidR="00420A14" w:rsidRPr="00E23CED">
        <w:t>ing</w:t>
      </w:r>
      <w:r w:rsidRPr="00E23CED">
        <w:t xml:space="preserve"> </w:t>
      </w:r>
      <w:r w:rsidR="001F0635" w:rsidRPr="00E23CED">
        <w:t xml:space="preserve">the appropriate </w:t>
      </w:r>
      <w:r w:rsidRPr="00E23CED">
        <w:t xml:space="preserve">forms of nutrients </w:t>
      </w:r>
      <w:r w:rsidR="00516D4B" w:rsidRPr="00E23CED">
        <w:t xml:space="preserve">to </w:t>
      </w:r>
      <w:r w:rsidR="00893A61" w:rsidRPr="00E23CED">
        <w:t>consider</w:t>
      </w:r>
      <w:r w:rsidR="00E63E28" w:rsidRPr="00E23CED">
        <w:t>, as well as the</w:t>
      </w:r>
      <w:r w:rsidR="00893A61" w:rsidRPr="00E23CED">
        <w:t xml:space="preserve"> setting</w:t>
      </w:r>
      <w:r w:rsidR="00516D4B" w:rsidRPr="00E23CED">
        <w:t xml:space="preserve"> of</w:t>
      </w:r>
      <w:r w:rsidR="00893A61" w:rsidRPr="00E23CED">
        <w:t xml:space="preserve"> chosen </w:t>
      </w:r>
      <w:r w:rsidR="001F0635" w:rsidRPr="00E23CED">
        <w:t xml:space="preserve">nutrient criteria, </w:t>
      </w:r>
      <w:r w:rsidRPr="00E23CED">
        <w:t xml:space="preserve">based on local circumstances. </w:t>
      </w:r>
      <w:bookmarkEnd w:id="2"/>
    </w:p>
    <w:p w14:paraId="2D657868" w14:textId="2CCF96FD" w:rsidR="0043631D" w:rsidRPr="00E23CED" w:rsidRDefault="001E3FA8" w:rsidP="00F81FA4">
      <w:pPr>
        <w:pStyle w:val="BodyText"/>
      </w:pPr>
      <w:r w:rsidRPr="00E23CED">
        <w:br w:type="page"/>
      </w:r>
    </w:p>
    <w:p w14:paraId="103B6639" w14:textId="6940B4C4" w:rsidR="00E73F2F" w:rsidRPr="00E23CED" w:rsidRDefault="00E73F2F" w:rsidP="00F81FA4">
      <w:pPr>
        <w:pStyle w:val="Heading1"/>
        <w:rPr>
          <w:rStyle w:val="Heading1Char"/>
          <w:b/>
          <w:bCs/>
        </w:rPr>
      </w:pPr>
      <w:bookmarkStart w:id="4" w:name="_Toc143077501"/>
      <w:r w:rsidRPr="00E23CED">
        <w:rPr>
          <w:rStyle w:val="Heading1Char"/>
          <w:b/>
          <w:bCs/>
        </w:rPr>
        <w:lastRenderedPageBreak/>
        <w:t xml:space="preserve">Guidance </w:t>
      </w:r>
      <w:r w:rsidR="00C119D6" w:rsidRPr="00E23CED">
        <w:rPr>
          <w:rStyle w:val="Heading1Char"/>
          <w:b/>
          <w:bCs/>
        </w:rPr>
        <w:t>r</w:t>
      </w:r>
      <w:r w:rsidRPr="00E23CED">
        <w:rPr>
          <w:rStyle w:val="Heading1Char"/>
          <w:b/>
          <w:bCs/>
        </w:rPr>
        <w:t>ationale</w:t>
      </w:r>
      <w:bookmarkEnd w:id="4"/>
    </w:p>
    <w:p w14:paraId="1CB37B0A" w14:textId="5EA28677" w:rsidR="00A8590B" w:rsidRPr="00E23CED" w:rsidRDefault="00860FCD" w:rsidP="00F81FA4">
      <w:pPr>
        <w:pStyle w:val="BodyText"/>
      </w:pPr>
      <w:bookmarkStart w:id="5" w:name="_Toc135714289"/>
      <w:r w:rsidRPr="00E23CED">
        <w:t>This guidance</w:t>
      </w:r>
      <w:r w:rsidR="00A56655" w:rsidRPr="00E23CED">
        <w:t xml:space="preserve"> </w:t>
      </w:r>
      <w:r w:rsidR="00653634" w:rsidRPr="00E23CED">
        <w:t>relates to</w:t>
      </w:r>
      <w:r w:rsidR="008341AE" w:rsidRPr="00E23CED">
        <w:t xml:space="preserve"> </w:t>
      </w:r>
      <w:r w:rsidR="005A0ACF" w:rsidRPr="00E23CED">
        <w:t>c</w:t>
      </w:r>
      <w:r w:rsidR="00096648" w:rsidRPr="00E23CED">
        <w:t>lause</w:t>
      </w:r>
      <w:r w:rsidR="008341AE" w:rsidRPr="00E23CED">
        <w:t xml:space="preserve"> 3.13 of the National Policy Statement for Freshwater Management 2020</w:t>
      </w:r>
      <w:r w:rsidR="005A0ACF" w:rsidRPr="00E23CED">
        <w:t xml:space="preserve"> (NPS-FM)</w:t>
      </w:r>
      <w:r w:rsidR="00AF018A" w:rsidRPr="00E23CED">
        <w:t>.</w:t>
      </w:r>
      <w:r w:rsidR="00AD79EC" w:rsidRPr="00E23CED">
        <w:t xml:space="preserve"> </w:t>
      </w:r>
      <w:r w:rsidR="008B6A5A" w:rsidRPr="00E23CED">
        <w:t>Its purpose is to explain the policy intent, propose good practice</w:t>
      </w:r>
      <w:r w:rsidR="009E3C57" w:rsidRPr="00E23CED">
        <w:t> </w:t>
      </w:r>
      <w:r w:rsidR="008B6A5A" w:rsidRPr="00E23CED">
        <w:t>guidelines and synthesis</w:t>
      </w:r>
      <w:r w:rsidR="00C13516" w:rsidRPr="00E23CED">
        <w:t>e</w:t>
      </w:r>
      <w:r w:rsidR="008B6A5A" w:rsidRPr="00E23CED">
        <w:t xml:space="preserve"> </w:t>
      </w:r>
      <w:r w:rsidR="002C0FE1" w:rsidRPr="00E23CED">
        <w:t>the best available information</w:t>
      </w:r>
      <w:r w:rsidR="00C13516" w:rsidRPr="00E23CED">
        <w:t xml:space="preserve"> </w:t>
      </w:r>
      <w:r w:rsidR="003C6CBA" w:rsidRPr="00E23CED">
        <w:t>on setting instream nutrient concentrations</w:t>
      </w:r>
      <w:r w:rsidR="00A8590B" w:rsidRPr="00E23CED">
        <w:t xml:space="preserve"> and exceedance criteria</w:t>
      </w:r>
      <w:r w:rsidR="00743E83" w:rsidRPr="00E23CED">
        <w:t>.</w:t>
      </w:r>
      <w:bookmarkEnd w:id="5"/>
      <w:r w:rsidR="00943338" w:rsidRPr="00E23CED">
        <w:t xml:space="preserve"> </w:t>
      </w:r>
    </w:p>
    <w:p w14:paraId="06197DBD" w14:textId="318ED3BA" w:rsidR="00EC4537" w:rsidRPr="00E23CED" w:rsidRDefault="0097100D" w:rsidP="00F81FA4">
      <w:pPr>
        <w:pStyle w:val="BodyText"/>
      </w:pPr>
      <w:r w:rsidRPr="00E23CED">
        <w:t xml:space="preserve">Implementing </w:t>
      </w:r>
      <w:r w:rsidR="005A0ACF" w:rsidRPr="00E23CED">
        <w:t>c</w:t>
      </w:r>
      <w:r w:rsidR="00096648" w:rsidRPr="00E23CED">
        <w:t>lause</w:t>
      </w:r>
      <w:r w:rsidRPr="00E23CED">
        <w:t xml:space="preserve"> 3.13 is just one </w:t>
      </w:r>
      <w:r w:rsidR="00936AA9" w:rsidRPr="00E23CED">
        <w:t xml:space="preserve">requirement of the NPS-FM. </w:t>
      </w:r>
      <w:r w:rsidR="00943338" w:rsidRPr="00E23CED">
        <w:t xml:space="preserve">The timeline </w:t>
      </w:r>
      <w:r w:rsidR="00621686" w:rsidRPr="00E23CED">
        <w:t xml:space="preserve">in figure 1 </w:t>
      </w:r>
      <w:r w:rsidR="00943338" w:rsidRPr="00E23CED">
        <w:t xml:space="preserve">outlines changes to the NPS-FM that </w:t>
      </w:r>
      <w:r w:rsidR="0006339A" w:rsidRPr="00E23CED">
        <w:t xml:space="preserve">have occurred </w:t>
      </w:r>
      <w:r w:rsidR="00E27485" w:rsidRPr="00E23CED">
        <w:t xml:space="preserve">to clarify the overall intent of </w:t>
      </w:r>
      <w:r w:rsidR="007E29D3" w:rsidRPr="00E23CED">
        <w:t xml:space="preserve">both </w:t>
      </w:r>
      <w:r w:rsidR="005A0ACF" w:rsidRPr="00E23CED">
        <w:t>c</w:t>
      </w:r>
      <w:r w:rsidR="00096648" w:rsidRPr="00E23CED">
        <w:t>lause</w:t>
      </w:r>
      <w:r w:rsidR="007E29D3" w:rsidRPr="00E23CED">
        <w:t xml:space="preserve"> 3.13 and the broader NPS-FM</w:t>
      </w:r>
      <w:r w:rsidR="00EC4537" w:rsidRPr="00E23CED">
        <w:t>.</w:t>
      </w:r>
    </w:p>
    <w:p w14:paraId="3E5C4554" w14:textId="22709DCB" w:rsidR="00247C13" w:rsidRPr="00E23CED" w:rsidRDefault="00415CD2" w:rsidP="00F81FA4">
      <w:pPr>
        <w:pStyle w:val="Figureheading"/>
      </w:pPr>
      <w:bookmarkStart w:id="6" w:name="_Toc142661803"/>
      <w:r w:rsidRPr="00E23CED">
        <w:t xml:space="preserve">Figure </w:t>
      </w:r>
      <w:fldSimple w:instr=" SEQ Figure \* ARABIC ">
        <w:r w:rsidR="00FA0487">
          <w:rPr>
            <w:noProof/>
          </w:rPr>
          <w:t>1</w:t>
        </w:r>
      </w:fldSimple>
      <w:r w:rsidRPr="00E23CED">
        <w:t xml:space="preserve">: </w:t>
      </w:r>
      <w:r w:rsidR="00F81FA4" w:rsidRPr="00E23CED">
        <w:tab/>
      </w:r>
      <w:r w:rsidR="003516D7" w:rsidRPr="00E23CED">
        <w:t>O</w:t>
      </w:r>
      <w:r w:rsidR="00EC4537" w:rsidRPr="00E23CED">
        <w:t xml:space="preserve">verview of recent updates to the </w:t>
      </w:r>
      <w:r w:rsidR="00DD3D13" w:rsidRPr="00E23CED">
        <w:t>National Policy Statement for Freshwater Management 2020 (</w:t>
      </w:r>
      <w:r w:rsidR="00EC4537" w:rsidRPr="00E23CED">
        <w:t>NPS-FM</w:t>
      </w:r>
      <w:r w:rsidR="00DD3D13" w:rsidRPr="00E23CED">
        <w:t>)</w:t>
      </w:r>
      <w:bookmarkEnd w:id="6"/>
    </w:p>
    <w:p w14:paraId="001C2453" w14:textId="77777777" w:rsidR="00D225D1" w:rsidRPr="00E23CED" w:rsidRDefault="00D225D1" w:rsidP="00F81FA4">
      <w:pPr>
        <w:pStyle w:val="BodyText"/>
      </w:pPr>
      <w:r w:rsidRPr="00E23CED">
        <w:rPr>
          <w:noProof/>
        </w:rPr>
        <w:drawing>
          <wp:inline distT="0" distB="0" distL="0" distR="0" wp14:anchorId="61B58521" wp14:editId="05227CE5">
            <wp:extent cx="5400675" cy="3150235"/>
            <wp:effectExtent l="38100" t="19050" r="66675" b="311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1DF3CE" w14:textId="13762216" w:rsidR="00F81FA4" w:rsidRPr="00E23CED" w:rsidRDefault="00A87123" w:rsidP="00F81FA4">
      <w:pPr>
        <w:pStyle w:val="BodyText"/>
      </w:pPr>
      <w:r w:rsidRPr="00E23CED">
        <w:t>This guidance applies to the NPS-FM</w:t>
      </w:r>
      <w:r w:rsidR="00FE764A" w:rsidRPr="00E23CED">
        <w:t xml:space="preserve"> 2020</w:t>
      </w:r>
      <w:r w:rsidR="001B02E6" w:rsidRPr="00E23CED">
        <w:t xml:space="preserve">. </w:t>
      </w:r>
      <w:r w:rsidRPr="00E23CED">
        <w:t>Policy guidance on the NPS-FM is available</w:t>
      </w:r>
      <w:r w:rsidR="005A0ACF" w:rsidRPr="00E23CED">
        <w:t xml:space="preserve"> at </w:t>
      </w:r>
      <w:hyperlink r:id="rId23" w:history="1">
        <w:r w:rsidR="00210792" w:rsidRPr="00E23CED">
          <w:rPr>
            <w:rStyle w:val="Hyperlink"/>
            <w:i/>
            <w:iCs/>
          </w:rPr>
          <w:t>He</w:t>
        </w:r>
        <w:r w:rsidR="00910CD6" w:rsidRPr="00E23CED">
          <w:rPr>
            <w:rStyle w:val="Hyperlink"/>
            <w:i/>
            <w:iCs/>
          </w:rPr>
          <w:t> </w:t>
        </w:r>
        <w:r w:rsidR="00210792" w:rsidRPr="00E23CED">
          <w:rPr>
            <w:rStyle w:val="Hyperlink"/>
            <w:i/>
            <w:iCs/>
          </w:rPr>
          <w:t>Ārahitanga mō Te Anga Whāinga ā-Motu o te NPS-FM: Guidance on the National Objectives Framework of the NPS-FM</w:t>
        </w:r>
      </w:hyperlink>
      <w:r w:rsidR="00210792" w:rsidRPr="00E23CED">
        <w:t xml:space="preserve"> </w:t>
      </w:r>
      <w:r w:rsidR="000F3A95" w:rsidRPr="00E23CED">
        <w:t>(Ministry for the Environment, 2023).</w:t>
      </w:r>
    </w:p>
    <w:p w14:paraId="6CEF573A" w14:textId="77777777" w:rsidR="00F81FA4" w:rsidRPr="00E23CED" w:rsidRDefault="00F81FA4" w:rsidP="00F81FA4">
      <w:pPr>
        <w:pStyle w:val="BodyText"/>
      </w:pPr>
    </w:p>
    <w:p w14:paraId="50AF6159" w14:textId="3D1F182D" w:rsidR="00545B97" w:rsidRPr="00E23CED" w:rsidRDefault="00545B97" w:rsidP="00F81FA4">
      <w:pPr>
        <w:pStyle w:val="BodyText"/>
      </w:pPr>
      <w:r w:rsidRPr="00E23CED">
        <w:br w:type="page"/>
      </w:r>
    </w:p>
    <w:p w14:paraId="7BD536D8" w14:textId="2C016122" w:rsidR="00B60453" w:rsidRPr="00E23CED" w:rsidRDefault="00B60453" w:rsidP="00D81269">
      <w:pPr>
        <w:pStyle w:val="Heading1"/>
        <w:numPr>
          <w:ilvl w:val="0"/>
          <w:numId w:val="24"/>
        </w:numPr>
        <w:rPr>
          <w:rStyle w:val="Heading1Char"/>
          <w:b/>
          <w:bCs/>
        </w:rPr>
      </w:pPr>
      <w:bookmarkStart w:id="7" w:name="_Toc73711445"/>
      <w:bookmarkStart w:id="8" w:name="_Toc143077502"/>
      <w:r w:rsidRPr="00E23CED">
        <w:rPr>
          <w:rStyle w:val="Heading1Char"/>
          <w:b/>
          <w:bCs/>
        </w:rPr>
        <w:lastRenderedPageBreak/>
        <w:t>Introduction</w:t>
      </w:r>
      <w:bookmarkEnd w:id="7"/>
      <w:bookmarkEnd w:id="8"/>
    </w:p>
    <w:p w14:paraId="52420A8A" w14:textId="00252C51" w:rsidR="00B60453" w:rsidRPr="00E23CED" w:rsidRDefault="00B60453" w:rsidP="00F44AE8">
      <w:pPr>
        <w:pStyle w:val="Heading2"/>
        <w:numPr>
          <w:ilvl w:val="1"/>
          <w:numId w:val="24"/>
        </w:numPr>
        <w:spacing w:before="240"/>
      </w:pPr>
      <w:bookmarkStart w:id="9" w:name="_Toc143077503"/>
      <w:r w:rsidRPr="00E23CED">
        <w:t>About this document</w:t>
      </w:r>
      <w:bookmarkEnd w:id="9"/>
    </w:p>
    <w:p w14:paraId="5CDB2174" w14:textId="081E9354" w:rsidR="000438B7" w:rsidRPr="00E23CED" w:rsidRDefault="00A63074" w:rsidP="004013DC">
      <w:pPr>
        <w:pStyle w:val="BodyText"/>
      </w:pPr>
      <w:r w:rsidRPr="00E23CED">
        <w:t>The purpose of this guidance is to help regional councils achieve environmental outcomes under clause 3.13 of the National Policy Statement for Freshwater Management 2020 (NPS</w:t>
      </w:r>
      <w:r w:rsidR="00910CD6" w:rsidRPr="00E23CED">
        <w:noBreakHyphen/>
      </w:r>
      <w:r w:rsidRPr="00E23CED">
        <w:t>FM). Regional councils are required to achieve these outcomes by setting instream concentrations and exceedance criteria for nitrogen and phosphorus.</w:t>
      </w:r>
    </w:p>
    <w:p w14:paraId="15C41BF6" w14:textId="15DD10D3" w:rsidR="0078555E" w:rsidRPr="00E23CED" w:rsidRDefault="00096648" w:rsidP="00F44AE8">
      <w:pPr>
        <w:pStyle w:val="BodyText"/>
      </w:pPr>
      <w:r w:rsidRPr="00E23CED">
        <w:t>Clause</w:t>
      </w:r>
      <w:r w:rsidR="00A8590B" w:rsidRPr="00E23CED">
        <w:t xml:space="preserve"> 3.13 </w:t>
      </w:r>
      <w:r w:rsidR="0006412A" w:rsidRPr="00E23CED">
        <w:t>is</w:t>
      </w:r>
      <w:r w:rsidR="00607B17" w:rsidRPr="00E23CED">
        <w:t xml:space="preserve"> consistent with </w:t>
      </w:r>
      <w:r w:rsidR="009B6991" w:rsidRPr="00E23CED">
        <w:t>a ki uta ki tai (from the mountains to sea) integrated resource management approach</w:t>
      </w:r>
      <w:r w:rsidR="003958A9" w:rsidRPr="00E23CED">
        <w:t xml:space="preserve"> </w:t>
      </w:r>
      <w:r w:rsidR="002D5B70" w:rsidRPr="00E23CED">
        <w:t>to</w:t>
      </w:r>
      <w:r w:rsidR="009B6991" w:rsidRPr="00E23CED">
        <w:t xml:space="preserve"> ensure water is managed in catchments, water bodies and receiving environments. </w:t>
      </w:r>
      <w:r w:rsidR="00C17475" w:rsidRPr="00E23CED">
        <w:t xml:space="preserve">The </w:t>
      </w:r>
      <w:bookmarkStart w:id="10" w:name="_Hlk131522417"/>
      <w:r w:rsidR="007A4E09" w:rsidRPr="00E23CED">
        <w:t xml:space="preserve">integrated management </w:t>
      </w:r>
      <w:bookmarkEnd w:id="10"/>
      <w:r w:rsidR="009B6991" w:rsidRPr="00E23CED">
        <w:t xml:space="preserve">approach is set out in </w:t>
      </w:r>
      <w:r w:rsidR="00071C86" w:rsidRPr="00E23CED">
        <w:t>p</w:t>
      </w:r>
      <w:r w:rsidR="009B6991" w:rsidRPr="00E23CED">
        <w:t>olicy</w:t>
      </w:r>
      <w:r w:rsidR="00EB000C" w:rsidRPr="00E23CED">
        <w:t xml:space="preserve"> </w:t>
      </w:r>
      <w:r w:rsidR="009B6991" w:rsidRPr="00E23CED">
        <w:t xml:space="preserve">3, </w:t>
      </w:r>
      <w:r w:rsidR="00071C86" w:rsidRPr="00E23CED">
        <w:t>c</w:t>
      </w:r>
      <w:r w:rsidRPr="00E23CED">
        <w:t>lause</w:t>
      </w:r>
      <w:r w:rsidR="009B6991" w:rsidRPr="00E23CED">
        <w:t xml:space="preserve"> 3.5 and </w:t>
      </w:r>
      <w:r w:rsidR="00071C86" w:rsidRPr="00E23CED">
        <w:t>c</w:t>
      </w:r>
      <w:r w:rsidRPr="00E23CED">
        <w:t>lause</w:t>
      </w:r>
      <w:r w:rsidR="009B6991" w:rsidRPr="00E23CED">
        <w:t xml:space="preserve"> 3.13 of the NPS-FM.</w:t>
      </w:r>
    </w:p>
    <w:p w14:paraId="70539B20" w14:textId="1070F69C" w:rsidR="002D5B70" w:rsidRPr="00E23CED" w:rsidRDefault="006D3B95" w:rsidP="008C5DB1">
      <w:pPr>
        <w:pStyle w:val="BodyText"/>
      </w:pPr>
      <w:r w:rsidRPr="00E23CED">
        <w:t>This</w:t>
      </w:r>
      <w:r w:rsidR="00DF6EE3" w:rsidRPr="00E23CED">
        <w:t xml:space="preserve"> guidance </w:t>
      </w:r>
      <w:r w:rsidR="00CD0748" w:rsidRPr="00E23CED">
        <w:t xml:space="preserve">is </w:t>
      </w:r>
      <w:r w:rsidR="003B2B3B" w:rsidRPr="00E23CED">
        <w:t xml:space="preserve">intended to </w:t>
      </w:r>
      <w:r w:rsidR="006616A4" w:rsidRPr="00E23CED">
        <w:t xml:space="preserve">help </w:t>
      </w:r>
      <w:r w:rsidR="00D5528C" w:rsidRPr="00E23CED">
        <w:t>regional council staff</w:t>
      </w:r>
      <w:r w:rsidR="00CD5F35" w:rsidRPr="00E23CED">
        <w:t xml:space="preserve"> </w:t>
      </w:r>
      <w:r w:rsidR="00D5528C" w:rsidRPr="00E23CED">
        <w:t>and t</w:t>
      </w:r>
      <w:r w:rsidR="00C447BA" w:rsidRPr="00E23CED">
        <w:t>heir</w:t>
      </w:r>
      <w:r w:rsidR="00A95A44" w:rsidRPr="00E23CED">
        <w:t xml:space="preserve"> techn</w:t>
      </w:r>
      <w:r w:rsidR="00484871" w:rsidRPr="00E23CED">
        <w:t>i</w:t>
      </w:r>
      <w:r w:rsidR="00A95A44" w:rsidRPr="00E23CED">
        <w:t>cal</w:t>
      </w:r>
      <w:r w:rsidR="00D5528C" w:rsidRPr="00E23CED">
        <w:t xml:space="preserve"> advisors</w:t>
      </w:r>
      <w:r w:rsidR="00C447BA" w:rsidRPr="00E23CED">
        <w:t>.</w:t>
      </w:r>
      <w:r w:rsidR="009B6991" w:rsidRPr="00E23CED">
        <w:t xml:space="preserve"> T</w:t>
      </w:r>
      <w:r w:rsidR="009B6991" w:rsidRPr="00E23CED" w:rsidDel="002D5B70">
        <w:t>his guidance may also help iwi and hapū, water users or community members who are participating in regional freshwater planning process</w:t>
      </w:r>
      <w:r w:rsidR="0006412A" w:rsidRPr="00E23CED">
        <w:t>es</w:t>
      </w:r>
      <w:r w:rsidR="009B6991" w:rsidRPr="00E23CED" w:rsidDel="002D5B70">
        <w:t>.</w:t>
      </w:r>
    </w:p>
    <w:p w14:paraId="0B6A22E2" w14:textId="6A882B7C" w:rsidR="002665D8" w:rsidRPr="00E23CED" w:rsidRDefault="0087022C" w:rsidP="005E0CAE">
      <w:pPr>
        <w:pStyle w:val="BodyText"/>
      </w:pPr>
      <w:r w:rsidRPr="00E23CED">
        <w:t>This guidance</w:t>
      </w:r>
      <w:r w:rsidR="00A14A3B" w:rsidRPr="00E23CED">
        <w:t xml:space="preserve"> is an</w:t>
      </w:r>
      <w:r w:rsidRPr="00E23CED">
        <w:t xml:space="preserve"> update </w:t>
      </w:r>
      <w:r w:rsidR="00A14A3B" w:rsidRPr="00E23CED">
        <w:t>to</w:t>
      </w:r>
      <w:r w:rsidR="004A3345" w:rsidRPr="00E23CED">
        <w:t xml:space="preserve"> </w:t>
      </w:r>
      <w:r w:rsidR="004A3345" w:rsidRPr="00E23CED">
        <w:rPr>
          <w:i/>
          <w:iCs/>
        </w:rPr>
        <w:t>A guide</w:t>
      </w:r>
      <w:r w:rsidR="004A3345" w:rsidRPr="00E23CED">
        <w:rPr>
          <w:i/>
        </w:rPr>
        <w:t xml:space="preserve"> to </w:t>
      </w:r>
      <w:r w:rsidR="004A3345" w:rsidRPr="00E23CED">
        <w:rPr>
          <w:i/>
          <w:iCs/>
        </w:rPr>
        <w:t xml:space="preserve">setting instream nutrient concentrations under </w:t>
      </w:r>
      <w:r w:rsidR="00A94696" w:rsidRPr="00E23CED">
        <w:rPr>
          <w:i/>
          <w:iCs/>
        </w:rPr>
        <w:t>c</w:t>
      </w:r>
      <w:r w:rsidR="004A3345" w:rsidRPr="00E23CED">
        <w:rPr>
          <w:i/>
          <w:iCs/>
        </w:rPr>
        <w:t>lause 3.13 of the National Policy Statement for Freshwater Management 2020</w:t>
      </w:r>
      <w:r w:rsidR="00A14A3B" w:rsidRPr="00E23CED">
        <w:t xml:space="preserve"> </w:t>
      </w:r>
      <w:r w:rsidR="004A3345" w:rsidRPr="00E23CED">
        <w:t>(Ministry for the Environment,</w:t>
      </w:r>
      <w:r w:rsidR="00A14A3B" w:rsidRPr="00E23CED">
        <w:t xml:space="preserve"> 2021</w:t>
      </w:r>
      <w:r w:rsidR="004A3345" w:rsidRPr="00E23CED">
        <w:t>)</w:t>
      </w:r>
      <w:r w:rsidR="00EB62EA" w:rsidRPr="00E23CED">
        <w:t>.</w:t>
      </w:r>
      <w:r w:rsidR="00A14A3B" w:rsidRPr="00E23CED">
        <w:t xml:space="preserve"> </w:t>
      </w:r>
      <w:r w:rsidR="00EB62EA" w:rsidRPr="00E23CED">
        <w:t xml:space="preserve">It </w:t>
      </w:r>
      <w:r w:rsidRPr="00E23CED">
        <w:t xml:space="preserve">relies heavily on the material provided in </w:t>
      </w:r>
      <w:hyperlink r:id="rId24" w:history="1">
        <w:r w:rsidR="00384CE4" w:rsidRPr="00E23CED">
          <w:rPr>
            <w:rStyle w:val="Hyperlink"/>
            <w:rFonts w:eastAsiaTheme="majorEastAsia"/>
            <w:i/>
            <w:iCs/>
          </w:rPr>
          <w:t>Guidance on look</w:t>
        </w:r>
        <w:r w:rsidR="007E33E6" w:rsidRPr="00E23CED">
          <w:rPr>
            <w:rStyle w:val="Hyperlink"/>
            <w:rFonts w:eastAsiaTheme="majorEastAsia"/>
            <w:i/>
            <w:iCs/>
          </w:rPr>
          <w:t>-</w:t>
        </w:r>
        <w:r w:rsidR="00384CE4" w:rsidRPr="00E23CED">
          <w:rPr>
            <w:rStyle w:val="Hyperlink"/>
            <w:rFonts w:eastAsiaTheme="majorEastAsia"/>
            <w:i/>
            <w:iCs/>
          </w:rPr>
          <w:t>up tables for setting nutrient targets for periphyton</w:t>
        </w:r>
      </w:hyperlink>
      <w:r w:rsidR="004A3345" w:rsidRPr="00E23CED">
        <w:t xml:space="preserve"> (</w:t>
      </w:r>
      <w:r w:rsidR="00D6040F" w:rsidRPr="00E23CED">
        <w:t>Ministry for the Environment</w:t>
      </w:r>
      <w:r w:rsidR="004A3345" w:rsidRPr="00E23CED">
        <w:t>,</w:t>
      </w:r>
      <w:r w:rsidR="00D6040F" w:rsidRPr="00E23CED">
        <w:t xml:space="preserve"> </w:t>
      </w:r>
      <w:r w:rsidRPr="00E23CED">
        <w:t>2022a</w:t>
      </w:r>
      <w:r w:rsidR="00EC1B2A" w:rsidRPr="00E23CED">
        <w:t>)</w:t>
      </w:r>
      <w:r w:rsidRPr="00E23CED">
        <w:t xml:space="preserve"> and </w:t>
      </w:r>
      <w:hyperlink r:id="rId25" w:history="1">
        <w:r w:rsidR="00B9683C" w:rsidRPr="00E23CED">
          <w:rPr>
            <w:rStyle w:val="Hyperlink"/>
            <w:rFonts w:cstheme="minorHAnsi"/>
            <w:i/>
          </w:rPr>
          <w:t>Setting instream nutrient concentration thresholds for nutrient-affected attributes in rivers: Guidance on implementing clause 3.13 of the NPS-FM</w:t>
        </w:r>
      </w:hyperlink>
      <w:r w:rsidR="004A3345" w:rsidRPr="00E23CED">
        <w:t xml:space="preserve"> (</w:t>
      </w:r>
      <w:r w:rsidRPr="00E23CED">
        <w:t>M</w:t>
      </w:r>
      <w:r w:rsidR="004A3345" w:rsidRPr="00E23CED">
        <w:t>inistry for the Environment,</w:t>
      </w:r>
      <w:r w:rsidRPr="00E23CED">
        <w:t xml:space="preserve"> 2022b</w:t>
      </w:r>
      <w:r w:rsidR="00EC1B2A" w:rsidRPr="00E23CED">
        <w:t>)</w:t>
      </w:r>
      <w:r w:rsidRPr="00E23CED">
        <w:t xml:space="preserve">, both of which should be referred to </w:t>
      </w:r>
      <w:r w:rsidR="00A94696" w:rsidRPr="00E23CED">
        <w:t>alongside</w:t>
      </w:r>
      <w:r w:rsidRPr="00E23CED">
        <w:t xml:space="preserve"> this </w:t>
      </w:r>
      <w:r w:rsidR="004B0308" w:rsidRPr="00E23CED">
        <w:t xml:space="preserve">overarching </w:t>
      </w:r>
      <w:r w:rsidRPr="00E23CED">
        <w:t>document.</w:t>
      </w:r>
      <w:r w:rsidR="003A5B52" w:rsidRPr="00E23CED">
        <w:t xml:space="preserve"> </w:t>
      </w:r>
      <w:r w:rsidR="00AD1E53" w:rsidRPr="00E23CED">
        <w:t xml:space="preserve">For the sake of brevity and to avoid duplication, some of the detail in </w:t>
      </w:r>
      <w:r w:rsidR="004A3345" w:rsidRPr="00E23CED">
        <w:t>th</w:t>
      </w:r>
      <w:r w:rsidR="00CA6120">
        <w:t>e 2021</w:t>
      </w:r>
      <w:r w:rsidR="004A3345" w:rsidRPr="00E23CED">
        <w:t xml:space="preserve"> document</w:t>
      </w:r>
      <w:r w:rsidR="00AD1E53" w:rsidRPr="00E23CED">
        <w:t xml:space="preserve"> is not repeated here. </w:t>
      </w:r>
      <w:r w:rsidR="00036734" w:rsidRPr="00E23CED">
        <w:t>T</w:t>
      </w:r>
      <w:r w:rsidR="009200C8" w:rsidRPr="00E23CED">
        <w:t>h</w:t>
      </w:r>
      <w:r w:rsidR="00A05780" w:rsidRPr="00E23CED">
        <w:t>e</w:t>
      </w:r>
      <w:r w:rsidR="00B55F51" w:rsidRPr="00E23CED">
        <w:t xml:space="preserve"> earlier </w:t>
      </w:r>
      <w:r w:rsidR="00A05780" w:rsidRPr="00E23CED">
        <w:t xml:space="preserve">version </w:t>
      </w:r>
      <w:r w:rsidR="00B55F51" w:rsidRPr="00E23CED">
        <w:t xml:space="preserve">may still </w:t>
      </w:r>
      <w:r w:rsidR="00F86AF5" w:rsidRPr="00E23CED">
        <w:t>be</w:t>
      </w:r>
      <w:r w:rsidR="00B55F51" w:rsidRPr="00E23CED">
        <w:t xml:space="preserve"> </w:t>
      </w:r>
      <w:r w:rsidR="0017634C" w:rsidRPr="00E23CED">
        <w:t>a useful source of details</w:t>
      </w:r>
      <w:r w:rsidR="00036734" w:rsidRPr="00E23CED">
        <w:t xml:space="preserve"> to consider when implementing </w:t>
      </w:r>
      <w:r w:rsidR="004A3345" w:rsidRPr="00E23CED">
        <w:t>c</w:t>
      </w:r>
      <w:r w:rsidR="00096648" w:rsidRPr="00E23CED">
        <w:t>lause</w:t>
      </w:r>
      <w:r w:rsidR="00036734" w:rsidRPr="00E23CED">
        <w:t xml:space="preserve"> 3.13</w:t>
      </w:r>
      <w:r w:rsidR="00B55F51" w:rsidRPr="00E23CED">
        <w:t>.</w:t>
      </w:r>
    </w:p>
    <w:p w14:paraId="781606BC" w14:textId="4C001E97" w:rsidR="00FD5F84" w:rsidRDefault="005C3DDD" w:rsidP="00085A07">
      <w:pPr>
        <w:pStyle w:val="BodyText"/>
        <w:rPr>
          <w:rStyle w:val="Heading1Char"/>
          <w:rFonts w:asciiTheme="minorHAnsi" w:hAnsiTheme="minorHAnsi" w:cs="Times New Roman"/>
          <w:b w:val="0"/>
          <w:bCs w:val="0"/>
          <w:color w:val="auto"/>
          <w:sz w:val="22"/>
          <w:szCs w:val="22"/>
          <w:lang w:eastAsia="en-US"/>
        </w:rPr>
      </w:pPr>
      <w:bookmarkStart w:id="11" w:name="_Toc135714295"/>
      <w:r w:rsidRPr="00E23CED">
        <w:rPr>
          <w:rFonts w:eastAsiaTheme="majorEastAsia"/>
        </w:rPr>
        <w:t xml:space="preserve">Figure </w:t>
      </w:r>
      <w:r w:rsidR="00542025" w:rsidRPr="00E23CED">
        <w:rPr>
          <w:rFonts w:eastAsiaTheme="majorEastAsia"/>
        </w:rPr>
        <w:t xml:space="preserve">2 </w:t>
      </w:r>
      <w:r w:rsidR="00777FDE" w:rsidRPr="00E23CED">
        <w:rPr>
          <w:rFonts w:eastAsiaTheme="majorEastAsia"/>
        </w:rPr>
        <w:t xml:space="preserve">outlines a timeline </w:t>
      </w:r>
      <w:r w:rsidR="00542025" w:rsidRPr="00E23CED">
        <w:rPr>
          <w:rFonts w:eastAsiaTheme="majorEastAsia"/>
        </w:rPr>
        <w:t>of the guidance on nutrient or nutrient-affected</w:t>
      </w:r>
      <w:r w:rsidR="008A6B91" w:rsidRPr="00E23CED">
        <w:rPr>
          <w:rFonts w:eastAsiaTheme="majorEastAsia"/>
        </w:rPr>
        <w:t xml:space="preserve"> attributes</w:t>
      </w:r>
      <w:r w:rsidR="00542025" w:rsidRPr="00E23CED">
        <w:rPr>
          <w:rFonts w:eastAsiaTheme="majorEastAsia"/>
        </w:rPr>
        <w:t>.</w:t>
      </w:r>
      <w:bookmarkEnd w:id="11"/>
      <w:r w:rsidR="00FD5F84" w:rsidRPr="00E23CED">
        <w:rPr>
          <w:rStyle w:val="Heading1Char"/>
          <w:rFonts w:asciiTheme="minorHAnsi" w:hAnsiTheme="minorHAnsi" w:cs="Times New Roman"/>
          <w:b w:val="0"/>
          <w:bCs w:val="0"/>
          <w:color w:val="auto"/>
          <w:sz w:val="22"/>
          <w:szCs w:val="22"/>
          <w:lang w:eastAsia="en-US"/>
        </w:rPr>
        <w:t xml:space="preserve"> </w:t>
      </w:r>
    </w:p>
    <w:p w14:paraId="02D1FC03" w14:textId="77777777" w:rsidR="002665D8" w:rsidRDefault="002665D8" w:rsidP="00085A07">
      <w:pPr>
        <w:pStyle w:val="BodyText"/>
        <w:rPr>
          <w:rStyle w:val="Heading1Char"/>
          <w:rFonts w:asciiTheme="minorHAnsi" w:hAnsiTheme="minorHAnsi" w:cs="Times New Roman"/>
          <w:b w:val="0"/>
          <w:bCs w:val="0"/>
          <w:color w:val="auto"/>
          <w:sz w:val="22"/>
          <w:szCs w:val="22"/>
          <w:lang w:eastAsia="en-US"/>
        </w:rPr>
      </w:pPr>
    </w:p>
    <w:p w14:paraId="261623BB" w14:textId="77777777" w:rsidR="002665D8" w:rsidRDefault="002665D8" w:rsidP="00085A07">
      <w:pPr>
        <w:pStyle w:val="BodyText"/>
        <w:rPr>
          <w:rStyle w:val="Heading1Char"/>
          <w:rFonts w:asciiTheme="minorHAnsi" w:hAnsiTheme="minorHAnsi" w:cs="Times New Roman"/>
          <w:b w:val="0"/>
          <w:bCs w:val="0"/>
          <w:color w:val="auto"/>
          <w:sz w:val="22"/>
          <w:szCs w:val="22"/>
          <w:lang w:eastAsia="en-US"/>
        </w:rPr>
      </w:pPr>
    </w:p>
    <w:p w14:paraId="4B52A4EE" w14:textId="77777777" w:rsidR="002665D8" w:rsidRDefault="002665D8" w:rsidP="00085A07">
      <w:pPr>
        <w:pStyle w:val="BodyText"/>
        <w:rPr>
          <w:rStyle w:val="Heading1Char"/>
          <w:rFonts w:asciiTheme="minorHAnsi" w:hAnsiTheme="minorHAnsi" w:cs="Times New Roman"/>
          <w:b w:val="0"/>
          <w:bCs w:val="0"/>
          <w:color w:val="auto"/>
          <w:sz w:val="22"/>
          <w:szCs w:val="22"/>
          <w:lang w:eastAsia="en-US"/>
        </w:rPr>
      </w:pPr>
    </w:p>
    <w:p w14:paraId="7C0748F1" w14:textId="77777777" w:rsidR="002665D8" w:rsidRDefault="002665D8" w:rsidP="00085A07">
      <w:pPr>
        <w:pStyle w:val="BodyText"/>
        <w:rPr>
          <w:rStyle w:val="Heading1Char"/>
          <w:rFonts w:asciiTheme="minorHAnsi" w:hAnsiTheme="minorHAnsi" w:cs="Times New Roman"/>
          <w:b w:val="0"/>
          <w:bCs w:val="0"/>
          <w:color w:val="auto"/>
          <w:sz w:val="22"/>
          <w:szCs w:val="22"/>
          <w:lang w:eastAsia="en-US"/>
        </w:rPr>
      </w:pPr>
    </w:p>
    <w:p w14:paraId="17A26C41" w14:textId="77777777" w:rsidR="002665D8" w:rsidRDefault="002665D8" w:rsidP="00085A07">
      <w:pPr>
        <w:pStyle w:val="BodyText"/>
        <w:rPr>
          <w:rStyle w:val="Heading1Char"/>
          <w:rFonts w:asciiTheme="minorHAnsi" w:hAnsiTheme="minorHAnsi" w:cs="Times New Roman"/>
          <w:b w:val="0"/>
          <w:bCs w:val="0"/>
          <w:color w:val="auto"/>
          <w:sz w:val="22"/>
          <w:szCs w:val="22"/>
          <w:lang w:eastAsia="en-US"/>
        </w:rPr>
      </w:pPr>
    </w:p>
    <w:p w14:paraId="63E05ED6" w14:textId="77777777" w:rsidR="002665D8" w:rsidRPr="00E23CED" w:rsidRDefault="002665D8" w:rsidP="00085A07">
      <w:pPr>
        <w:pStyle w:val="BodyText"/>
        <w:rPr>
          <w:rStyle w:val="Heading1Char"/>
          <w:rFonts w:asciiTheme="minorHAnsi" w:hAnsiTheme="minorHAnsi" w:cs="Times New Roman"/>
          <w:b w:val="0"/>
          <w:color w:val="auto"/>
          <w:sz w:val="22"/>
          <w:szCs w:val="22"/>
          <w:lang w:eastAsia="en-US"/>
        </w:rPr>
      </w:pPr>
    </w:p>
    <w:p w14:paraId="6B195263" w14:textId="0190DA83" w:rsidR="00592F68" w:rsidRPr="00E23CED" w:rsidRDefault="00B12F44" w:rsidP="00E16747">
      <w:pPr>
        <w:pStyle w:val="Figureheading"/>
        <w:spacing w:after="0"/>
      </w:pPr>
      <w:bookmarkStart w:id="12" w:name="_Toc142661804"/>
      <w:r w:rsidRPr="00E23CED">
        <w:lastRenderedPageBreak/>
        <w:t xml:space="preserve">Figure </w:t>
      </w:r>
      <w:fldSimple w:instr=" SEQ Figure \* ARABIC ">
        <w:r w:rsidR="00FA0487">
          <w:rPr>
            <w:noProof/>
          </w:rPr>
          <w:t>2</w:t>
        </w:r>
      </w:fldSimple>
      <w:r w:rsidRPr="00E23CED">
        <w:t xml:space="preserve">: </w:t>
      </w:r>
      <w:r w:rsidR="00F44AE8" w:rsidRPr="00E23CED">
        <w:tab/>
      </w:r>
      <w:r w:rsidR="0037523B" w:rsidRPr="00E23CED">
        <w:t>T</w:t>
      </w:r>
      <w:r w:rsidRPr="00E23CED">
        <w:t xml:space="preserve">imeline </w:t>
      </w:r>
      <w:r w:rsidR="0037523B" w:rsidRPr="00E23CED">
        <w:t>of</w:t>
      </w:r>
      <w:r w:rsidR="009D79E6" w:rsidRPr="00E23CED">
        <w:t xml:space="preserve"> </w:t>
      </w:r>
      <w:r w:rsidRPr="00E23CED">
        <w:t>guidance on nutrient or nutrient-affected attributes</w:t>
      </w:r>
      <w:r w:rsidR="00ED313F" w:rsidRPr="00E23CED">
        <w:br/>
      </w:r>
      <w:r w:rsidR="00E16747" w:rsidRPr="00E23CED">
        <w:t>(</w:t>
      </w:r>
      <w:r w:rsidR="00592F68" w:rsidRPr="00E23CED">
        <w:t xml:space="preserve">document titles </w:t>
      </w:r>
      <w:r w:rsidR="00E16747" w:rsidRPr="00E23CED">
        <w:t>link</w:t>
      </w:r>
      <w:r w:rsidR="00592F68" w:rsidRPr="00E23CED">
        <w:t xml:space="preserve"> to </w:t>
      </w:r>
      <w:r w:rsidR="00DB79F2" w:rsidRPr="00E23CED">
        <w:t>guidance)</w:t>
      </w:r>
      <w:bookmarkEnd w:id="12"/>
    </w:p>
    <w:p w14:paraId="16C606C0" w14:textId="7B0A049B" w:rsidR="009711C5" w:rsidRPr="00E23CED" w:rsidRDefault="00A24C4A" w:rsidP="00A82D45">
      <w:pPr>
        <w:pStyle w:val="BodyText"/>
        <w:keepNext/>
        <w:spacing w:before="0" w:after="0"/>
      </w:pPr>
      <w:r w:rsidRPr="00E23CED">
        <w:rPr>
          <w:noProof/>
        </w:rPr>
        <mc:AlternateContent>
          <mc:Choice Requires="wps">
            <w:drawing>
              <wp:anchor distT="0" distB="0" distL="114300" distR="114300" simplePos="0" relativeHeight="251658243" behindDoc="0" locked="0" layoutInCell="1" allowOverlap="1" wp14:anchorId="6ED573B8" wp14:editId="1E661D76">
                <wp:simplePos x="0" y="0"/>
                <wp:positionH relativeFrom="column">
                  <wp:posOffset>3500813</wp:posOffset>
                </wp:positionH>
                <wp:positionV relativeFrom="paragraph">
                  <wp:posOffset>1915160</wp:posOffset>
                </wp:positionV>
                <wp:extent cx="407670" cy="0"/>
                <wp:effectExtent l="0" t="76200" r="11430" b="95250"/>
                <wp:wrapNone/>
                <wp:docPr id="7" name="Straight Arrow Connector 7"/>
                <wp:cNvGraphicFramePr/>
                <a:graphic xmlns:a="http://schemas.openxmlformats.org/drawingml/2006/main">
                  <a:graphicData uri="http://schemas.microsoft.com/office/word/2010/wordprocessingShape">
                    <wps:wsp>
                      <wps:cNvCnPr/>
                      <wps:spPr>
                        <a:xfrm>
                          <a:off x="0" y="0"/>
                          <a:ext cx="407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62167FE" id="_x0000_t32" coordsize="21600,21600" o:spt="32" o:oned="t" path="m,l21600,21600e" filled="f">
                <v:path arrowok="t" fillok="f" o:connecttype="none"/>
                <o:lock v:ext="edit" shapetype="t"/>
              </v:shapetype>
              <v:shape id="Straight Arrow Connector 7" o:spid="_x0000_s1026" type="#_x0000_t32" style="position:absolute;margin-left:275.65pt;margin-top:150.8pt;width:32.1pt;height:0;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" strokecolor="#1a5066 [3044]">
                <v:stroke endarrow="block"/>
              </v:shape>
            </w:pict>
          </mc:Fallback>
        </mc:AlternateContent>
      </w:r>
      <w:r w:rsidRPr="00E23CED">
        <w:rPr>
          <w:noProof/>
        </w:rPr>
        <mc:AlternateContent>
          <mc:Choice Requires="wps">
            <w:drawing>
              <wp:anchor distT="0" distB="0" distL="114300" distR="114300" simplePos="0" relativeHeight="251658242" behindDoc="0" locked="0" layoutInCell="1" allowOverlap="1" wp14:anchorId="309FF193" wp14:editId="168487B3">
                <wp:simplePos x="0" y="0"/>
                <wp:positionH relativeFrom="column">
                  <wp:posOffset>1523423</wp:posOffset>
                </wp:positionH>
                <wp:positionV relativeFrom="paragraph">
                  <wp:posOffset>1913890</wp:posOffset>
                </wp:positionV>
                <wp:extent cx="407670" cy="0"/>
                <wp:effectExtent l="0" t="76200" r="11430" b="95250"/>
                <wp:wrapNone/>
                <wp:docPr id="6" name="Straight Arrow Connector 6"/>
                <wp:cNvGraphicFramePr/>
                <a:graphic xmlns:a="http://schemas.openxmlformats.org/drawingml/2006/main">
                  <a:graphicData uri="http://schemas.microsoft.com/office/word/2010/wordprocessingShape">
                    <wps:wsp>
                      <wps:cNvCnPr/>
                      <wps:spPr>
                        <a:xfrm>
                          <a:off x="0" y="0"/>
                          <a:ext cx="407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512F5D" id="Straight Arrow Connector 6" o:spid="_x0000_s1026" type="#_x0000_t32" style="position:absolute;margin-left:119.95pt;margin-top:150.7pt;width:32.1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" strokecolor="#1a5066 [3044]">
                <v:stroke endarrow="block"/>
              </v:shape>
            </w:pict>
          </mc:Fallback>
        </mc:AlternateContent>
      </w:r>
      <w:r w:rsidR="00B12F44" w:rsidRPr="00E23CED">
        <w:rPr>
          <w:b/>
          <w:noProof/>
        </w:rPr>
        <w:drawing>
          <wp:inline distT="0" distB="0" distL="0" distR="0" wp14:anchorId="11754CE4" wp14:editId="64B7920A">
            <wp:extent cx="5316220" cy="2438398"/>
            <wp:effectExtent l="0" t="0" r="0"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002395E" w14:textId="4A5FB4A8" w:rsidR="009711C5" w:rsidRPr="00E23CED" w:rsidRDefault="00713745" w:rsidP="00F44AE8">
      <w:pPr>
        <w:pStyle w:val="BodyText"/>
        <w:spacing w:before="0" w:after="0"/>
      </w:pPr>
      <w:r w:rsidRPr="00E23CED">
        <w:rPr>
          <w:b/>
          <w:noProof/>
        </w:rPr>
        <mc:AlternateContent>
          <mc:Choice Requires="wps">
            <w:drawing>
              <wp:anchor distT="0" distB="0" distL="114300" distR="114300" simplePos="0" relativeHeight="251658240" behindDoc="0" locked="0" layoutInCell="1" allowOverlap="1" wp14:anchorId="53BD4F92" wp14:editId="7A36D8DF">
                <wp:simplePos x="0" y="0"/>
                <wp:positionH relativeFrom="column">
                  <wp:posOffset>4530090</wp:posOffset>
                </wp:positionH>
                <wp:positionV relativeFrom="paragraph">
                  <wp:posOffset>50994</wp:posOffset>
                </wp:positionV>
                <wp:extent cx="238125" cy="196850"/>
                <wp:effectExtent l="0" t="0" r="0" b="0"/>
                <wp:wrapNone/>
                <wp:docPr id="21" name="Arrow: Down 21"/>
                <wp:cNvGraphicFramePr/>
                <a:graphic xmlns:a="http://schemas.openxmlformats.org/drawingml/2006/main">
                  <a:graphicData uri="http://schemas.microsoft.com/office/word/2010/wordprocessingShape">
                    <wps:wsp>
                      <wps:cNvSpPr/>
                      <wps:spPr>
                        <a:xfrm>
                          <a:off x="0" y="0"/>
                          <a:ext cx="238125" cy="196850"/>
                        </a:xfrm>
                        <a:prstGeom prst="downArrow">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FE5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56.7pt;margin-top:4pt;width:18.75pt;height: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" adj="10800" filled="f" stroked="f" strokeweight="2pt"/>
            </w:pict>
          </mc:Fallback>
        </mc:AlternateContent>
      </w:r>
      <w:r w:rsidR="009711C5" w:rsidRPr="00E23CED">
        <w:rPr>
          <w:noProof/>
        </w:rPr>
        <mc:AlternateContent>
          <mc:Choice Requires="wps">
            <w:drawing>
              <wp:anchor distT="0" distB="0" distL="114300" distR="114300" simplePos="0" relativeHeight="251658245" behindDoc="0" locked="0" layoutInCell="1" allowOverlap="1" wp14:anchorId="545DC6C8" wp14:editId="4F9C0F44">
                <wp:simplePos x="0" y="0"/>
                <wp:positionH relativeFrom="column">
                  <wp:posOffset>4673600</wp:posOffset>
                </wp:positionH>
                <wp:positionV relativeFrom="paragraph">
                  <wp:posOffset>90516</wp:posOffset>
                </wp:positionV>
                <wp:extent cx="0" cy="295092"/>
                <wp:effectExtent l="76200" t="0" r="57150" b="48260"/>
                <wp:wrapNone/>
                <wp:docPr id="12" name="Straight Arrow Connector 12"/>
                <wp:cNvGraphicFramePr/>
                <a:graphic xmlns:a="http://schemas.openxmlformats.org/drawingml/2006/main">
                  <a:graphicData uri="http://schemas.microsoft.com/office/word/2010/wordprocessingShape">
                    <wps:wsp>
                      <wps:cNvCnPr/>
                      <wps:spPr>
                        <a:xfrm>
                          <a:off x="0" y="0"/>
                          <a:ext cx="0" cy="295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D5885" id="Straight Arrow Connector 12" o:spid="_x0000_s1026" type="#_x0000_t32" style="position:absolute;margin-left:368pt;margin-top:7.15pt;width:0;height:23.2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" strokecolor="#1a5066 [3044]">
                <v:stroke endarrow="block"/>
              </v:shape>
            </w:pict>
          </mc:Fallback>
        </mc:AlternateContent>
      </w:r>
    </w:p>
    <w:p w14:paraId="3E476E99" w14:textId="544B85EB" w:rsidR="00B12F44" w:rsidRPr="00E23CED" w:rsidRDefault="00713745" w:rsidP="00F44AE8">
      <w:pPr>
        <w:pStyle w:val="BodyText"/>
        <w:spacing w:before="0" w:after="0"/>
      </w:pPr>
      <w:r w:rsidRPr="00E23CED">
        <w:rPr>
          <w:noProof/>
        </w:rPr>
        <mc:AlternateContent>
          <mc:Choice Requires="wps">
            <w:drawing>
              <wp:anchor distT="0" distB="0" distL="114300" distR="114300" simplePos="0" relativeHeight="251658246" behindDoc="0" locked="0" layoutInCell="1" allowOverlap="1" wp14:anchorId="65769A00" wp14:editId="4D2559E7">
                <wp:simplePos x="0" y="0"/>
                <wp:positionH relativeFrom="column">
                  <wp:posOffset>716280</wp:posOffset>
                </wp:positionH>
                <wp:positionV relativeFrom="paragraph">
                  <wp:posOffset>2431415</wp:posOffset>
                </wp:positionV>
                <wp:extent cx="0" cy="294640"/>
                <wp:effectExtent l="76200" t="0" r="57150" b="48260"/>
                <wp:wrapNone/>
                <wp:docPr id="13" name="Straight Arrow Connector 13"/>
                <wp:cNvGraphicFramePr/>
                <a:graphic xmlns:a="http://schemas.openxmlformats.org/drawingml/2006/main">
                  <a:graphicData uri="http://schemas.microsoft.com/office/word/2010/wordprocessingShape">
                    <wps:wsp>
                      <wps:cNvCnPr/>
                      <wps:spPr>
                        <a:xfrm>
                          <a:off x="0" y="0"/>
                          <a:ext cx="0" cy="294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45FC0" id="Straight Arrow Connector 13" o:spid="_x0000_s1026" type="#_x0000_t32" style="position:absolute;margin-left:56.4pt;margin-top:191.45pt;width:0;height:23.2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" strokecolor="#1a5066 [3044]">
                <v:stroke endarrow="block"/>
              </v:shape>
            </w:pict>
          </mc:Fallback>
        </mc:AlternateContent>
      </w:r>
      <w:r w:rsidRPr="00E23CED">
        <w:rPr>
          <w:noProof/>
        </w:rPr>
        <mc:AlternateContent>
          <mc:Choice Requires="wps">
            <w:drawing>
              <wp:anchor distT="0" distB="0" distL="114300" distR="114300" simplePos="0" relativeHeight="251658248" behindDoc="0" locked="0" layoutInCell="1" allowOverlap="1" wp14:anchorId="57D10071" wp14:editId="304F7995">
                <wp:simplePos x="0" y="0"/>
                <wp:positionH relativeFrom="column">
                  <wp:posOffset>1524000</wp:posOffset>
                </wp:positionH>
                <wp:positionV relativeFrom="paragraph">
                  <wp:posOffset>1711325</wp:posOffset>
                </wp:positionV>
                <wp:extent cx="36576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7B18F" id="Straight Arrow Connector 15" o:spid="_x0000_s1026" type="#_x0000_t32" style="position:absolute;margin-left:120pt;margin-top:134.75pt;width:28.8pt;height:0;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" strokecolor="#1a5066 [3044]">
                <v:stroke endarrow="block"/>
              </v:shape>
            </w:pict>
          </mc:Fallback>
        </mc:AlternateContent>
      </w:r>
      <w:r w:rsidRPr="00E23CED">
        <w:rPr>
          <w:noProof/>
        </w:rPr>
        <mc:AlternateContent>
          <mc:Choice Requires="wps">
            <w:drawing>
              <wp:anchor distT="0" distB="0" distL="114300" distR="114300" simplePos="0" relativeHeight="251658247" behindDoc="0" locked="0" layoutInCell="1" allowOverlap="1" wp14:anchorId="72F3F41B" wp14:editId="791796C7">
                <wp:simplePos x="0" y="0"/>
                <wp:positionH relativeFrom="column">
                  <wp:posOffset>3503295</wp:posOffset>
                </wp:positionH>
                <wp:positionV relativeFrom="paragraph">
                  <wp:posOffset>1708344</wp:posOffset>
                </wp:positionV>
                <wp:extent cx="365760"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10967" id="Straight Arrow Connector 14" o:spid="_x0000_s1026" type="#_x0000_t32" style="position:absolute;margin-left:275.85pt;margin-top:134.5pt;width:28.8pt;height:0;flip:x;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" strokecolor="#1a5066 [3044]">
                <v:stroke endarrow="block"/>
              </v:shape>
            </w:pict>
          </mc:Fallback>
        </mc:AlternateContent>
      </w:r>
      <w:r w:rsidR="00B12F44" w:rsidRPr="00E23CED">
        <w:rPr>
          <w:b/>
          <w:noProof/>
        </w:rPr>
        <w:drawing>
          <wp:inline distT="0" distB="0" distL="0" distR="0" wp14:anchorId="707EC891" wp14:editId="37440E27">
            <wp:extent cx="5316794" cy="2391151"/>
            <wp:effectExtent l="0" t="0" r="0" b="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56AB45B" w14:textId="0A64B39F" w:rsidR="00B12F44" w:rsidRPr="00E23CED" w:rsidRDefault="00B12F44" w:rsidP="00F44AE8">
      <w:pPr>
        <w:pStyle w:val="Imprint"/>
        <w:spacing w:before="0" w:after="0"/>
        <w:rPr>
          <w:b/>
        </w:rPr>
      </w:pPr>
      <w:r w:rsidRPr="00E23CED">
        <w:rPr>
          <w:b/>
          <w:noProof/>
        </w:rPr>
        <mc:AlternateContent>
          <mc:Choice Requires="wps">
            <w:drawing>
              <wp:anchor distT="0" distB="0" distL="114300" distR="114300" simplePos="0" relativeHeight="251658241" behindDoc="0" locked="0" layoutInCell="1" allowOverlap="1" wp14:anchorId="43FFBF09" wp14:editId="50466542">
                <wp:simplePos x="0" y="0"/>
                <wp:positionH relativeFrom="column">
                  <wp:posOffset>472440</wp:posOffset>
                </wp:positionH>
                <wp:positionV relativeFrom="paragraph">
                  <wp:posOffset>48895</wp:posOffset>
                </wp:positionV>
                <wp:extent cx="238125" cy="197304"/>
                <wp:effectExtent l="0" t="0" r="0" b="0"/>
                <wp:wrapNone/>
                <wp:docPr id="10" name="Arrow: Down 10"/>
                <wp:cNvGraphicFramePr/>
                <a:graphic xmlns:a="http://schemas.openxmlformats.org/drawingml/2006/main">
                  <a:graphicData uri="http://schemas.microsoft.com/office/word/2010/wordprocessingShape">
                    <wps:wsp>
                      <wps:cNvSpPr/>
                      <wps:spPr>
                        <a:xfrm>
                          <a:off x="0" y="0"/>
                          <a:ext cx="238125" cy="197304"/>
                        </a:xfrm>
                        <a:prstGeom prst="downArrow">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A01F" id="Arrow: Down 10" o:spid="_x0000_s1026" type="#_x0000_t67" style="position:absolute;margin-left:37.2pt;margin-top:3.85pt;width:18.75pt;height:1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" adj="10800" filled="f" stroked="f" strokeweight="2pt"/>
            </w:pict>
          </mc:Fallback>
        </mc:AlternateContent>
      </w:r>
    </w:p>
    <w:p w14:paraId="7995D98D" w14:textId="07D9CCAD" w:rsidR="00B12F44" w:rsidRPr="00E23CED" w:rsidRDefault="00635C71" w:rsidP="00B12F44">
      <w:pPr>
        <w:pStyle w:val="Imprint"/>
        <w:rPr>
          <w:b/>
        </w:rPr>
      </w:pPr>
      <w:r w:rsidRPr="00E23CED">
        <w:rPr>
          <w:noProof/>
        </w:rPr>
        <mc:AlternateContent>
          <mc:Choice Requires="wps">
            <w:drawing>
              <wp:anchor distT="0" distB="0" distL="114300" distR="114300" simplePos="0" relativeHeight="251658244" behindDoc="0" locked="0" layoutInCell="1" allowOverlap="1" wp14:anchorId="3D91A43D" wp14:editId="79A2D791">
                <wp:simplePos x="0" y="0"/>
                <wp:positionH relativeFrom="column">
                  <wp:posOffset>1501140</wp:posOffset>
                </wp:positionH>
                <wp:positionV relativeFrom="paragraph">
                  <wp:posOffset>1633194</wp:posOffset>
                </wp:positionV>
                <wp:extent cx="407670" cy="0"/>
                <wp:effectExtent l="0" t="76200" r="11430" b="95250"/>
                <wp:wrapNone/>
                <wp:docPr id="11" name="Straight Arrow Connector 11"/>
                <wp:cNvGraphicFramePr/>
                <a:graphic xmlns:a="http://schemas.openxmlformats.org/drawingml/2006/main">
                  <a:graphicData uri="http://schemas.microsoft.com/office/word/2010/wordprocessingShape">
                    <wps:wsp>
                      <wps:cNvCnPr/>
                      <wps:spPr>
                        <a:xfrm>
                          <a:off x="0" y="0"/>
                          <a:ext cx="407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CB02B" id="Straight Arrow Connector 11" o:spid="_x0000_s1026" type="#_x0000_t32" style="position:absolute;margin-left:118.2pt;margin-top:128.6pt;width:32.1pt;height:0;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" strokecolor="#1a5066 [3044]">
                <v:stroke endarrow="block"/>
              </v:shape>
            </w:pict>
          </mc:Fallback>
        </mc:AlternateContent>
      </w:r>
      <w:r w:rsidR="00B12F44" w:rsidRPr="00E23CED">
        <w:rPr>
          <w:b/>
          <w:noProof/>
        </w:rPr>
        <w:drawing>
          <wp:inline distT="0" distB="0" distL="0" distR="0" wp14:anchorId="3D42BCE0" wp14:editId="010017AD">
            <wp:extent cx="3286742" cy="2175988"/>
            <wp:effectExtent l="0" t="0" r="28575"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4A9B9B4" w14:textId="13C2AACE" w:rsidR="00FA092B" w:rsidRPr="00E23CED" w:rsidRDefault="00FA092B" w:rsidP="00ED313F">
      <w:pPr>
        <w:pStyle w:val="Note"/>
        <w:rPr>
          <w:rFonts w:ascii="Segoe UI" w:eastAsia="Times New Roman" w:hAnsi="Segoe UI" w:cs="Segoe UI"/>
        </w:rPr>
      </w:pPr>
      <w:r w:rsidRPr="00E23CED">
        <w:t>1</w:t>
      </w:r>
      <w:r w:rsidRPr="00E23CED">
        <w:rPr>
          <w:b/>
        </w:rPr>
        <w:t xml:space="preserve"> </w:t>
      </w:r>
      <w:r w:rsidRPr="00E23CED">
        <w:t xml:space="preserve">– Attributes included: Periphyton (rivers), Lake phytoplankton, Lake TN, Lake TP, Nitrate toxicity, Ammonia toxicity, Dissolved oxygen (below point source), </w:t>
      </w:r>
      <w:r w:rsidRPr="00E23CED">
        <w:rPr>
          <w:i/>
        </w:rPr>
        <w:t>E. coli</w:t>
      </w:r>
      <w:r w:rsidRPr="00E23CED">
        <w:t>, Planktonic cyanobacteria. Guidance first published September 2015, last updated March 2018</w:t>
      </w:r>
      <w:r w:rsidR="0045314F" w:rsidRPr="00E23CED">
        <w:t xml:space="preserve">; </w:t>
      </w:r>
      <w:r w:rsidRPr="00E23CED">
        <w:t>2 – Attributes explored: Dissolved oxygen (rivers), dissolved oxygen (lakes), Ecosystem metabolism, Periphyton (rivers), Fish Biotic Integrity, Macroinvertebrates, Macrophytes (lakes), Nutrients (rivers, DIN and DRP)</w:t>
      </w:r>
      <w:r w:rsidR="0045314F" w:rsidRPr="00E23CED">
        <w:t xml:space="preserve">; </w:t>
      </w:r>
      <w:r w:rsidRPr="00E23CED">
        <w:t xml:space="preserve">3 – More details on STAG process here: </w:t>
      </w:r>
      <w:hyperlink r:id="rId41" w:tgtFrame="_blank" w:history="1">
        <w:r w:rsidRPr="00E23CED">
          <w:rPr>
            <w:color w:val="32809C"/>
          </w:rPr>
          <w:t>Science and Technical Advisory Group | Ministry for the Environment</w:t>
        </w:r>
      </w:hyperlink>
      <w:r w:rsidR="0045314F" w:rsidRPr="00E23CED">
        <w:rPr>
          <w:color w:val="000000" w:themeColor="text1"/>
        </w:rPr>
        <w:t>;</w:t>
      </w:r>
      <w:r w:rsidR="0045314F" w:rsidRPr="00E23CED">
        <w:rPr>
          <w:color w:val="32809C"/>
        </w:rPr>
        <w:t xml:space="preserve"> </w:t>
      </w:r>
      <w:r w:rsidRPr="00E23CED">
        <w:t xml:space="preserve">4 – Updates </w:t>
      </w:r>
      <w:r w:rsidR="001F7792" w:rsidRPr="00E23CED">
        <w:t xml:space="preserve">the </w:t>
      </w:r>
      <w:r w:rsidRPr="00E23CED">
        <w:t xml:space="preserve">June 2021 guidance: </w:t>
      </w:r>
      <w:r w:rsidRPr="00E23CED">
        <w:rPr>
          <w:i/>
        </w:rPr>
        <w:t>A guide to setting instream nutrient concentrations: Under clause 3.13 of the National Policy Statement for Freshwater Management 2020.</w:t>
      </w:r>
      <w:r w:rsidRPr="00E23CED">
        <w:t> </w:t>
      </w:r>
    </w:p>
    <w:p w14:paraId="18D97237" w14:textId="43761B87" w:rsidR="00A87123" w:rsidRPr="00E23CED" w:rsidRDefault="001C1F48" w:rsidP="001C1F48">
      <w:pPr>
        <w:pStyle w:val="Heading2"/>
      </w:pPr>
      <w:bookmarkStart w:id="13" w:name="_Toc143077504"/>
      <w:bookmarkStart w:id="14" w:name="_Toc73711447"/>
      <w:r w:rsidRPr="00E23CED">
        <w:lastRenderedPageBreak/>
        <w:t>1.2</w:t>
      </w:r>
      <w:r w:rsidRPr="00E23CED">
        <w:tab/>
      </w:r>
      <w:r w:rsidR="00C776A6" w:rsidRPr="00E23CED">
        <w:t>Document structure</w:t>
      </w:r>
      <w:bookmarkEnd w:id="13"/>
    </w:p>
    <w:p w14:paraId="7696082C" w14:textId="409FDB87" w:rsidR="00F707FE" w:rsidRPr="00E23CED" w:rsidRDefault="00A87123" w:rsidP="00F44AE8">
      <w:pPr>
        <w:pStyle w:val="BodyText"/>
        <w:keepNext/>
      </w:pPr>
      <w:r w:rsidRPr="00E23CED">
        <w:t>Th</w:t>
      </w:r>
      <w:r w:rsidR="00774BCA" w:rsidRPr="00E23CED">
        <w:t>is</w:t>
      </w:r>
      <w:r w:rsidRPr="00E23CED">
        <w:t xml:space="preserve"> document is structured as follows</w:t>
      </w:r>
      <w:r w:rsidR="00A94696" w:rsidRPr="00E23CED">
        <w:t>:</w:t>
      </w:r>
    </w:p>
    <w:p w14:paraId="6F1E481D" w14:textId="109C3A05" w:rsidR="00A87123" w:rsidRPr="00E23CED" w:rsidRDefault="00A94696" w:rsidP="00F44AE8">
      <w:pPr>
        <w:pStyle w:val="Bullet"/>
        <w:keepNext/>
      </w:pPr>
      <w:r w:rsidRPr="00E23CED">
        <w:t>s</w:t>
      </w:r>
      <w:r w:rsidR="00A87123" w:rsidRPr="00E23CED">
        <w:t xml:space="preserve">ection 1 (this section) introduces the </w:t>
      </w:r>
      <w:proofErr w:type="gramStart"/>
      <w:r w:rsidR="00A87123" w:rsidRPr="00E23CED">
        <w:t>guidance</w:t>
      </w:r>
      <w:proofErr w:type="gramEnd"/>
      <w:r w:rsidR="00A87123" w:rsidRPr="00E23CED">
        <w:t xml:space="preserve"> </w:t>
      </w:r>
    </w:p>
    <w:p w14:paraId="77C1798B" w14:textId="2AD23840" w:rsidR="00A87123" w:rsidRPr="00E23CED" w:rsidRDefault="00A94696" w:rsidP="00F44AE8">
      <w:pPr>
        <w:pStyle w:val="Bullet"/>
      </w:pPr>
      <w:r w:rsidRPr="00E23CED">
        <w:t>s</w:t>
      </w:r>
      <w:r w:rsidR="00A87123" w:rsidRPr="00E23CED">
        <w:t xml:space="preserve">ection 2 explains the policy intent of </w:t>
      </w:r>
      <w:r w:rsidR="002847B1" w:rsidRPr="00E23CED">
        <w:t>c</w:t>
      </w:r>
      <w:r w:rsidR="00096648" w:rsidRPr="00E23CED">
        <w:t>lause</w:t>
      </w:r>
      <w:r w:rsidR="00A87123" w:rsidRPr="00E23CED">
        <w:t xml:space="preserve"> 3.13, clarifies the intended meaning of the terms used and introduces related </w:t>
      </w:r>
      <w:proofErr w:type="gramStart"/>
      <w:r w:rsidR="00A87123" w:rsidRPr="00E23CED">
        <w:t>terms</w:t>
      </w:r>
      <w:proofErr w:type="gramEnd"/>
      <w:r w:rsidR="00A87123" w:rsidRPr="00E23CED">
        <w:t xml:space="preserve"> </w:t>
      </w:r>
    </w:p>
    <w:p w14:paraId="1C6C54B6" w14:textId="69459389" w:rsidR="00A87123" w:rsidRPr="00E23CED" w:rsidRDefault="00A94696" w:rsidP="009A679B">
      <w:pPr>
        <w:pStyle w:val="Bullet"/>
      </w:pPr>
      <w:r w:rsidRPr="00E23CED">
        <w:t>s</w:t>
      </w:r>
      <w:r w:rsidR="00A87123" w:rsidRPr="00E23CED">
        <w:t xml:space="preserve">ection 3 describes the general approach and a process regional councils could follow when implementing the nutrient policies in the NPS-FM. </w:t>
      </w:r>
    </w:p>
    <w:p w14:paraId="0075A42B" w14:textId="5DC4C4F7" w:rsidR="00655DB8" w:rsidRPr="00E23CED" w:rsidRDefault="00655DB8" w:rsidP="00A16299">
      <w:pPr>
        <w:pStyle w:val="Heading2"/>
      </w:pPr>
      <w:bookmarkStart w:id="15" w:name="_Toc143077505"/>
      <w:r w:rsidRPr="00E23CED">
        <w:t>1.3</w:t>
      </w:r>
      <w:r w:rsidR="00B11220">
        <w:t xml:space="preserve"> </w:t>
      </w:r>
      <w:r w:rsidR="003C565F">
        <w:tab/>
      </w:r>
      <w:r w:rsidRPr="00E23CED">
        <w:t xml:space="preserve">Document </w:t>
      </w:r>
      <w:r w:rsidR="00597CDB" w:rsidRPr="00E23CED">
        <w:t>s</w:t>
      </w:r>
      <w:r w:rsidRPr="00E23CED">
        <w:t>cope</w:t>
      </w:r>
      <w:bookmarkEnd w:id="15"/>
    </w:p>
    <w:p w14:paraId="02FA9D97" w14:textId="07D4AAF3" w:rsidR="00A87123" w:rsidRPr="00E23CED" w:rsidRDefault="00A87123" w:rsidP="00A87123">
      <w:pPr>
        <w:pStyle w:val="BodyText"/>
      </w:pPr>
      <w:r w:rsidRPr="00E23CED">
        <w:t xml:space="preserve">The good practice process for setting instream concentrations and exceedance criteria </w:t>
      </w:r>
      <w:r w:rsidR="002847B1" w:rsidRPr="00E23CED">
        <w:t>(</w:t>
      </w:r>
      <w:r w:rsidRPr="00E23CED">
        <w:t>or instream loads</w:t>
      </w:r>
      <w:r w:rsidR="002847B1" w:rsidRPr="00E23CED">
        <w:t>)</w:t>
      </w:r>
      <w:r w:rsidRPr="00E23CED">
        <w:t xml:space="preserve"> offered in this document is based on </w:t>
      </w:r>
      <w:r w:rsidR="00597CDB" w:rsidRPr="00E23CED">
        <w:t xml:space="preserve">the </w:t>
      </w:r>
      <w:r w:rsidR="00063C5A" w:rsidRPr="00E23CED">
        <w:t>best available information</w:t>
      </w:r>
      <w:r w:rsidRPr="00E23CED">
        <w:t xml:space="preserve">. This document does not, however, mandate a single correct method, </w:t>
      </w:r>
      <w:r w:rsidR="002D4D9E" w:rsidRPr="00E23CED">
        <w:t xml:space="preserve">because </w:t>
      </w:r>
      <w:r w:rsidRPr="00E23CED">
        <w:t>this would be impractical due to the evolving nature of the science and variations in local environment</w:t>
      </w:r>
      <w:r w:rsidR="002847B1" w:rsidRPr="00E23CED">
        <w:t>s</w:t>
      </w:r>
      <w:r w:rsidRPr="00E23CED">
        <w:t xml:space="preserve">. </w:t>
      </w:r>
    </w:p>
    <w:p w14:paraId="37150089" w14:textId="309DC5F4" w:rsidR="00A87123" w:rsidRPr="00E23CED" w:rsidRDefault="00A87123" w:rsidP="00A87123">
      <w:pPr>
        <w:pStyle w:val="BodyText"/>
      </w:pPr>
      <w:r w:rsidRPr="00E23CED">
        <w:t xml:space="preserve">This guidance considers only the technical aspects of deriving and setting instream concentrations and exceedance criteria, or instream loads, for nitrogen and phosphorus. It does not discuss economic, social, cultural or other considerations that underpin policy and decision-making around nutrients. </w:t>
      </w:r>
    </w:p>
    <w:p w14:paraId="2816B2A7" w14:textId="52A25D2A" w:rsidR="00A87123" w:rsidRPr="00E23CED" w:rsidRDefault="00A87123" w:rsidP="00A87123">
      <w:pPr>
        <w:pStyle w:val="BodyText"/>
      </w:pPr>
      <w:r w:rsidRPr="00E23CED">
        <w:t xml:space="preserve">This guidance does not discuss how limits could be set or action </w:t>
      </w:r>
      <w:r w:rsidR="000B4A0C" w:rsidRPr="00E23CED">
        <w:t>plans created</w:t>
      </w:r>
      <w:r w:rsidRPr="00E23CED">
        <w:t xml:space="preserve"> to achieve nutrient outcomes for any nutrient-affected attributes.</w:t>
      </w:r>
      <w:r w:rsidR="003A5B52" w:rsidRPr="00E23CED">
        <w:t xml:space="preserve"> </w:t>
      </w:r>
    </w:p>
    <w:p w14:paraId="5B07151E" w14:textId="04AEE5E7" w:rsidR="00B60453" w:rsidRPr="00E23CED" w:rsidRDefault="00B67F94" w:rsidP="00F44AE8">
      <w:pPr>
        <w:pStyle w:val="Heading2"/>
        <w:spacing w:after="120"/>
      </w:pPr>
      <w:bookmarkStart w:id="16" w:name="_Toc143077506"/>
      <w:r w:rsidRPr="00E23CED">
        <w:t>1.</w:t>
      </w:r>
      <w:r w:rsidR="00655DB8" w:rsidRPr="00E23CED">
        <w:t>4</w:t>
      </w:r>
      <w:r w:rsidR="00590B30" w:rsidRPr="00E23CED">
        <w:tab/>
      </w:r>
      <w:r w:rsidR="00B60453" w:rsidRPr="00E23CED">
        <w:t>Other guidance for the National Policy Statement for Freshwater Management</w:t>
      </w:r>
      <w:bookmarkEnd w:id="14"/>
      <w:bookmarkEnd w:id="16"/>
    </w:p>
    <w:p w14:paraId="052024CD" w14:textId="5A65F9DF" w:rsidR="00F6265C" w:rsidRPr="00E23CED" w:rsidRDefault="00E8131B" w:rsidP="00021F64">
      <w:pPr>
        <w:pStyle w:val="ListBullet"/>
      </w:pPr>
      <w:hyperlink r:id="rId42" w:history="1">
        <w:r w:rsidR="00D24548" w:rsidRPr="00E23CED">
          <w:rPr>
            <w:rStyle w:val="Hyperlink"/>
          </w:rPr>
          <w:t>All factsheets on policies and regulations in the Essential Freshwater package</w:t>
        </w:r>
      </w:hyperlink>
      <w:r w:rsidR="002847B1" w:rsidRPr="00E23CED">
        <w:rPr>
          <w:rStyle w:val="Hyperlink"/>
        </w:rPr>
        <w:t>.</w:t>
      </w:r>
    </w:p>
    <w:p w14:paraId="40B6378C" w14:textId="793FB1C3" w:rsidR="003904AF" w:rsidRPr="00E23CED" w:rsidRDefault="00E8131B" w:rsidP="00F44AE8">
      <w:pPr>
        <w:pStyle w:val="Bullet"/>
      </w:pPr>
      <w:hyperlink r:id="rId43" w:history="1">
        <w:r w:rsidR="003904AF" w:rsidRPr="00E23CED">
          <w:rPr>
            <w:rStyle w:val="Hyperlink"/>
            <w:i/>
            <w:iCs/>
          </w:rPr>
          <w:t>He Ārahitanga mō Te Anga Whāinga ā-Motu o te NPS-FM: Guidance on the National Objectives Framework of the NPS-FM</w:t>
        </w:r>
      </w:hyperlink>
      <w:r w:rsidR="000F3A95" w:rsidRPr="00E23CED">
        <w:rPr>
          <w:rStyle w:val="Hyperlink"/>
        </w:rPr>
        <w:t xml:space="preserve"> </w:t>
      </w:r>
      <w:r w:rsidR="000F3A95" w:rsidRPr="00E23CED">
        <w:t>(Ministry for the Environment, 2023).</w:t>
      </w:r>
    </w:p>
    <w:p w14:paraId="7B21B0B5" w14:textId="0C5EB8E2" w:rsidR="00610A45" w:rsidRPr="00E23CED" w:rsidRDefault="00E8131B" w:rsidP="00F44AE8">
      <w:pPr>
        <w:pStyle w:val="Bullet"/>
      </w:pPr>
      <w:hyperlink r:id="rId44" w:history="1">
        <w:r w:rsidR="00384CE4" w:rsidRPr="00E23CED">
          <w:rPr>
            <w:rStyle w:val="Hyperlink"/>
            <w:rFonts w:eastAsiaTheme="majorEastAsia"/>
            <w:i/>
            <w:iCs/>
          </w:rPr>
          <w:t>Guidance on look</w:t>
        </w:r>
        <w:r w:rsidR="00FD2319" w:rsidRPr="00E23CED">
          <w:rPr>
            <w:rStyle w:val="Hyperlink"/>
            <w:rFonts w:eastAsiaTheme="majorEastAsia"/>
            <w:i/>
            <w:iCs/>
          </w:rPr>
          <w:t>-</w:t>
        </w:r>
        <w:r w:rsidR="00384CE4" w:rsidRPr="00E23CED">
          <w:rPr>
            <w:rStyle w:val="Hyperlink"/>
            <w:rFonts w:eastAsiaTheme="majorEastAsia"/>
            <w:i/>
            <w:iCs/>
          </w:rPr>
          <w:t>up tables for setting nutrient targets for periphyton</w:t>
        </w:r>
      </w:hyperlink>
      <w:r w:rsidR="00E86D5C" w:rsidRPr="00E23CED">
        <w:rPr>
          <w:rStyle w:val="Hyperlink"/>
          <w:rFonts w:eastAsiaTheme="majorEastAsia"/>
          <w:i/>
          <w:iCs/>
        </w:rPr>
        <w:t>: Second edition</w:t>
      </w:r>
      <w:r w:rsidR="00A94696" w:rsidRPr="00E23CED">
        <w:rPr>
          <w:rStyle w:val="Hyperlink"/>
        </w:rPr>
        <w:t xml:space="preserve"> </w:t>
      </w:r>
      <w:r w:rsidR="00A94696" w:rsidRPr="00E23CED">
        <w:t>(Ministry for the Environment, 2022a).</w:t>
      </w:r>
    </w:p>
    <w:p w14:paraId="43920992" w14:textId="743C15F7" w:rsidR="00610A45" w:rsidRPr="00E23CED" w:rsidRDefault="00E8131B" w:rsidP="00F44AE8">
      <w:pPr>
        <w:pStyle w:val="Bullet"/>
      </w:pPr>
      <w:hyperlink r:id="rId45" w:history="1">
        <w:hyperlink r:id="rId46" w:history="1">
          <w:r w:rsidR="00B9683C" w:rsidRPr="00E23CED">
            <w:rPr>
              <w:rStyle w:val="Hyperlink"/>
              <w:rFonts w:cstheme="minorHAnsi"/>
              <w:i/>
            </w:rPr>
            <w:t>Setting instream nutrient concentration thresholds for nutrient-affected attributes in rivers: Guidance on implementing clause 3.13 of the NPS-FM</w:t>
          </w:r>
        </w:hyperlink>
      </w:hyperlink>
      <w:r w:rsidR="00A94696" w:rsidRPr="00E23CED">
        <w:rPr>
          <w:rStyle w:val="Hyperlink"/>
        </w:rPr>
        <w:t xml:space="preserve"> </w:t>
      </w:r>
      <w:r w:rsidR="00A94696" w:rsidRPr="00E23CED">
        <w:t>(Ministry for the Environment, 2022b).</w:t>
      </w:r>
    </w:p>
    <w:p w14:paraId="283C1A38" w14:textId="2B159E34" w:rsidR="0053779D" w:rsidRPr="00E23CED" w:rsidRDefault="00E8131B" w:rsidP="00F44AE8">
      <w:pPr>
        <w:pStyle w:val="Bullet"/>
      </w:pPr>
      <w:hyperlink r:id="rId47" w:history="1">
        <w:r w:rsidR="00734E48" w:rsidRPr="00E23CED">
          <w:rPr>
            <w:rStyle w:val="Hyperlink"/>
            <w:i/>
            <w:iCs/>
          </w:rPr>
          <w:t>Guidan</w:t>
        </w:r>
        <w:r w:rsidR="00D247EF" w:rsidRPr="00E23CED">
          <w:rPr>
            <w:rStyle w:val="Hyperlink"/>
            <w:i/>
            <w:iCs/>
          </w:rPr>
          <w:t>c</w:t>
        </w:r>
        <w:r w:rsidR="00734E48" w:rsidRPr="00E23CED">
          <w:rPr>
            <w:rStyle w:val="Hyperlink"/>
            <w:i/>
            <w:iCs/>
          </w:rPr>
          <w:t xml:space="preserve">e for implementing the </w:t>
        </w:r>
        <w:r w:rsidR="00D247EF" w:rsidRPr="00E23CED">
          <w:rPr>
            <w:rStyle w:val="Hyperlink"/>
            <w:i/>
            <w:iCs/>
          </w:rPr>
          <w:t>NPS-FM sediment requirements</w:t>
        </w:r>
      </w:hyperlink>
      <w:r w:rsidR="00A94696" w:rsidRPr="00E23CED">
        <w:rPr>
          <w:rStyle w:val="Hyperlink"/>
        </w:rPr>
        <w:t xml:space="preserve"> </w:t>
      </w:r>
      <w:r w:rsidR="00A94696" w:rsidRPr="00E23CED">
        <w:t>(Ministry for the Environment, 2022c).</w:t>
      </w:r>
      <w:r w:rsidR="00A94696" w:rsidRPr="00E23CED">
        <w:rPr>
          <w:rStyle w:val="Hyperlink"/>
        </w:rPr>
        <w:t xml:space="preserve"> </w:t>
      </w:r>
    </w:p>
    <w:p w14:paraId="073DA1E1" w14:textId="28E76034" w:rsidR="00D247EF" w:rsidRPr="00E23CED" w:rsidRDefault="00E8131B" w:rsidP="00F44AE8">
      <w:pPr>
        <w:pStyle w:val="Bullet"/>
      </w:pPr>
      <w:hyperlink r:id="rId48" w:history="1">
        <w:r w:rsidR="00495DD5" w:rsidRPr="00E23CED">
          <w:rPr>
            <w:rStyle w:val="Hyperlink"/>
            <w:i/>
            <w:iCs/>
          </w:rPr>
          <w:t>A kete for i</w:t>
        </w:r>
        <w:r w:rsidR="00F6265C" w:rsidRPr="00E23CED">
          <w:rPr>
            <w:rStyle w:val="Hyperlink"/>
            <w:i/>
            <w:iCs/>
          </w:rPr>
          <w:t>mplementing mahinga kai as a Māori freshwater value</w:t>
        </w:r>
        <w:r w:rsidR="00B80098" w:rsidRPr="00E23CED">
          <w:rPr>
            <w:rStyle w:val="Hyperlink"/>
            <w:i/>
            <w:iCs/>
          </w:rPr>
          <w:t xml:space="preserve"> </w:t>
        </w:r>
        <w:r w:rsidR="00495DD5" w:rsidRPr="00E23CED">
          <w:rPr>
            <w:rStyle w:val="Hyperlink"/>
            <w:i/>
            <w:iCs/>
          </w:rPr>
          <w:t xml:space="preserve">in the </w:t>
        </w:r>
        <w:r w:rsidR="00501599" w:rsidRPr="00E23CED">
          <w:rPr>
            <w:rStyle w:val="Hyperlink"/>
            <w:i/>
            <w:iCs/>
          </w:rPr>
          <w:t xml:space="preserve">context of the </w:t>
        </w:r>
        <w:r w:rsidR="00495DD5" w:rsidRPr="00E23CED">
          <w:rPr>
            <w:rStyle w:val="Hyperlink"/>
            <w:i/>
            <w:iCs/>
          </w:rPr>
          <w:t>National Policy Statement for Freshwater Management 2020</w:t>
        </w:r>
      </w:hyperlink>
      <w:r w:rsidR="00A94696" w:rsidRPr="00E23CED">
        <w:rPr>
          <w:rStyle w:val="Hyperlink"/>
        </w:rPr>
        <w:t xml:space="preserve"> </w:t>
      </w:r>
      <w:r w:rsidR="00A94696" w:rsidRPr="00E23CED">
        <w:t>(Ruru et al, 2022).</w:t>
      </w:r>
    </w:p>
    <w:p w14:paraId="10E53CBA" w14:textId="77777777" w:rsidR="00B60453" w:rsidRPr="00E23CED" w:rsidRDefault="00B60453" w:rsidP="008C5DB1">
      <w:pPr>
        <w:pStyle w:val="BodyText"/>
      </w:pPr>
      <w:r w:rsidRPr="00E23CED">
        <w:br w:type="page"/>
      </w:r>
    </w:p>
    <w:p w14:paraId="4557554E" w14:textId="4F62789E" w:rsidR="00B60453" w:rsidRPr="00E23CED" w:rsidRDefault="008330E6" w:rsidP="008330E6">
      <w:pPr>
        <w:pStyle w:val="Heading1"/>
      </w:pPr>
      <w:bookmarkStart w:id="17" w:name="_Toc73711448"/>
      <w:bookmarkStart w:id="18" w:name="_Toc143077507"/>
      <w:r w:rsidRPr="00E23CED">
        <w:lastRenderedPageBreak/>
        <w:t>2</w:t>
      </w:r>
      <w:r w:rsidRPr="00E23CED">
        <w:tab/>
      </w:r>
      <w:r w:rsidR="00B60453" w:rsidRPr="00E23CED">
        <w:t xml:space="preserve">About </w:t>
      </w:r>
      <w:r w:rsidR="002847B1" w:rsidRPr="00E23CED">
        <w:t>c</w:t>
      </w:r>
      <w:r w:rsidR="00096648" w:rsidRPr="00E23CED">
        <w:t>lause</w:t>
      </w:r>
      <w:r w:rsidR="00B60453" w:rsidRPr="00E23CED">
        <w:t xml:space="preserve"> 3.13: </w:t>
      </w:r>
      <w:r w:rsidR="00003A97" w:rsidRPr="00E23CED">
        <w:t>S</w:t>
      </w:r>
      <w:r w:rsidR="00B60453" w:rsidRPr="00E23CED">
        <w:t xml:space="preserve">pecial provisions for attributes affected by </w:t>
      </w:r>
      <w:proofErr w:type="gramStart"/>
      <w:r w:rsidR="00B60453" w:rsidRPr="00E23CED">
        <w:t>nutrients</w:t>
      </w:r>
      <w:bookmarkEnd w:id="17"/>
      <w:bookmarkEnd w:id="18"/>
      <w:proofErr w:type="gramEnd"/>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04987" w:rsidRPr="00E23CED" w14:paraId="43A0F0B6" w14:textId="77777777" w:rsidTr="00F44AE8">
        <w:tc>
          <w:tcPr>
            <w:tcW w:w="0" w:type="auto"/>
            <w:shd w:val="clear" w:color="auto" w:fill="D2DDE2"/>
          </w:tcPr>
          <w:p w14:paraId="144874CF" w14:textId="757D941A" w:rsidR="00C04987" w:rsidRPr="00E23CED" w:rsidRDefault="005E672E">
            <w:pPr>
              <w:pStyle w:val="Boxheading0"/>
            </w:pPr>
            <w:bookmarkStart w:id="19" w:name="_Hlk128956587"/>
            <w:bookmarkStart w:id="20" w:name="_Toc73711449"/>
            <w:r w:rsidRPr="00E23CED">
              <w:t>3.13</w:t>
            </w:r>
            <w:r w:rsidR="00850ECD" w:rsidRPr="00E23CED">
              <w:tab/>
            </w:r>
            <w:r w:rsidRPr="00E23CED">
              <w:t>Special provision</w:t>
            </w:r>
            <w:bookmarkStart w:id="21" w:name="clausebox313"/>
            <w:bookmarkEnd w:id="21"/>
            <w:r w:rsidRPr="00E23CED">
              <w:t xml:space="preserve">s for attributes affected by </w:t>
            </w:r>
            <w:proofErr w:type="gramStart"/>
            <w:r w:rsidRPr="00E23CED">
              <w:t>nutrients</w:t>
            </w:r>
            <w:proofErr w:type="gramEnd"/>
          </w:p>
          <w:p w14:paraId="0082E5CC" w14:textId="773ADE47" w:rsidR="005E672E" w:rsidRPr="00E23CED" w:rsidRDefault="002F0D99" w:rsidP="00F44AE8">
            <w:pPr>
              <w:pStyle w:val="Boxtext"/>
              <w:spacing w:after="0"/>
              <w:ind w:left="681" w:hanging="397"/>
            </w:pPr>
            <w:r w:rsidRPr="00E23CED">
              <w:t>(1)</w:t>
            </w:r>
            <w:r w:rsidRPr="00E23CED">
              <w:tab/>
            </w:r>
            <w:r w:rsidR="005E672E" w:rsidRPr="00E23CED">
              <w:t xml:space="preserve">To achieve a target attribute state for any nutrient attribute, and any attribute affected by nutrients, every regional council must, at a minimum, set appropriate instream concentrations and exceedance criteria, or instream loads, for nitrogen and phosphorus. </w:t>
            </w:r>
          </w:p>
          <w:p w14:paraId="38B6723D" w14:textId="3C92AAF5" w:rsidR="005E672E" w:rsidRPr="00E23CED" w:rsidRDefault="002F0D99" w:rsidP="00F44AE8">
            <w:pPr>
              <w:pStyle w:val="Boxtext"/>
              <w:spacing w:after="0"/>
              <w:ind w:left="681" w:hanging="397"/>
            </w:pPr>
            <w:r w:rsidRPr="00E23CED">
              <w:t>(</w:t>
            </w:r>
            <w:r w:rsidR="0077517E" w:rsidRPr="00E23CED">
              <w:t>2</w:t>
            </w:r>
            <w:r w:rsidRPr="00E23CED">
              <w:t>)</w:t>
            </w:r>
            <w:r w:rsidRPr="00E23CED">
              <w:tab/>
            </w:r>
            <w:r w:rsidR="005E672E" w:rsidRPr="00E23CED">
              <w:t xml:space="preserve">Where there are nutrient-sensitive downstream receiving environments, the instream concentrations and exceedance criteria, or the instream loads, for nitrogen and phosphorus for the upstream contributing water bodies must be set </w:t>
            </w:r>
            <w:proofErr w:type="gramStart"/>
            <w:r w:rsidR="005E672E" w:rsidRPr="00E23CED">
              <w:t>so as to</w:t>
            </w:r>
            <w:proofErr w:type="gramEnd"/>
            <w:r w:rsidR="005E672E" w:rsidRPr="00E23CED">
              <w:t xml:space="preserve"> achieve the</w:t>
            </w:r>
            <w:r w:rsidR="00E8268A" w:rsidRPr="00E23CED">
              <w:t> </w:t>
            </w:r>
            <w:r w:rsidR="005E672E" w:rsidRPr="00E23CED">
              <w:t>environmental outcomes sought for the nutrient-sensitive downstream receiving environments.</w:t>
            </w:r>
          </w:p>
          <w:p w14:paraId="4A4971AA" w14:textId="008C046F" w:rsidR="005E672E" w:rsidRPr="00E23CED" w:rsidRDefault="002F0D99" w:rsidP="00F44AE8">
            <w:pPr>
              <w:pStyle w:val="Boxtext"/>
              <w:spacing w:after="0"/>
              <w:ind w:left="681" w:hanging="397"/>
            </w:pPr>
            <w:r w:rsidRPr="00E23CED">
              <w:t>(</w:t>
            </w:r>
            <w:r w:rsidR="0077517E" w:rsidRPr="00E23CED">
              <w:t>3</w:t>
            </w:r>
            <w:r w:rsidRPr="00E23CED">
              <w:t>)</w:t>
            </w:r>
            <w:r w:rsidRPr="00E23CED">
              <w:tab/>
            </w:r>
            <w:r w:rsidR="005E672E" w:rsidRPr="00E23CED">
              <w:t xml:space="preserve">In setting instream concentrations and exceedance criteria, or instream loads, for nitrogen and phosphorus under this </w:t>
            </w:r>
            <w:r w:rsidR="00495DD5" w:rsidRPr="00E23CED">
              <w:t>c</w:t>
            </w:r>
            <w:r w:rsidR="00096648" w:rsidRPr="00E23CED">
              <w:t>lause</w:t>
            </w:r>
            <w:r w:rsidR="005E672E" w:rsidRPr="00E23CED">
              <w:t>, the regional council must determine the most</w:t>
            </w:r>
            <w:r w:rsidR="00E8268A" w:rsidRPr="00E23CED">
              <w:t> </w:t>
            </w:r>
            <w:r w:rsidR="005E672E" w:rsidRPr="00E23CED">
              <w:t>appropriate form(s) of nitrogen and phosphorus to be managed for the receiving environment.</w:t>
            </w:r>
          </w:p>
          <w:p w14:paraId="7E9A7473" w14:textId="6DA795B7" w:rsidR="005E672E" w:rsidRPr="00E23CED" w:rsidRDefault="002F0D99" w:rsidP="00F44AE8">
            <w:pPr>
              <w:pStyle w:val="Boxtext"/>
              <w:spacing w:after="0"/>
              <w:ind w:left="681" w:hanging="397"/>
            </w:pPr>
            <w:r w:rsidRPr="00E23CED">
              <w:t>(</w:t>
            </w:r>
            <w:r w:rsidR="0077517E" w:rsidRPr="00E23CED">
              <w:t>4</w:t>
            </w:r>
            <w:r w:rsidRPr="00E23CED">
              <w:t>)</w:t>
            </w:r>
            <w:r w:rsidRPr="00E23CED">
              <w:tab/>
            </w:r>
            <w:r w:rsidR="005E672E" w:rsidRPr="00E23CED">
              <w:t>Every regional council must adopt the instream concentrations and exceedance criteria, or instream loads, set under sub</w:t>
            </w:r>
            <w:r w:rsidR="00495DD5" w:rsidRPr="00E23CED">
              <w:t>c</w:t>
            </w:r>
            <w:r w:rsidR="00096648" w:rsidRPr="00E23CED">
              <w:t>lause</w:t>
            </w:r>
            <w:r w:rsidR="005E672E" w:rsidRPr="00E23CED">
              <w:t>s (1) and (2) as nutrient outcomes needed to achieve target attribute states.</w:t>
            </w:r>
          </w:p>
          <w:p w14:paraId="22A8DFDD" w14:textId="726B273C" w:rsidR="00C04987" w:rsidRPr="00E23CED" w:rsidRDefault="002F0D99" w:rsidP="00F44AE8">
            <w:pPr>
              <w:pStyle w:val="Boxtext"/>
              <w:spacing w:after="240"/>
              <w:ind w:left="681" w:hanging="397"/>
            </w:pPr>
            <w:r w:rsidRPr="00E23CED">
              <w:t>(</w:t>
            </w:r>
            <w:r w:rsidR="0077517E" w:rsidRPr="00E23CED">
              <w:t>5</w:t>
            </w:r>
            <w:r w:rsidRPr="00E23CED">
              <w:t>)</w:t>
            </w:r>
            <w:r w:rsidRPr="00E23CED">
              <w:tab/>
            </w:r>
            <w:r w:rsidR="005E672E" w:rsidRPr="00E23CED">
              <w:t>Examples of attributes affected by nutrients include</w:t>
            </w:r>
            <w:r w:rsidR="0061288A" w:rsidRPr="00E23CED">
              <w:t>:</w:t>
            </w:r>
            <w:r w:rsidR="005E672E" w:rsidRPr="00E23CED">
              <w:t xml:space="preserve"> periphyton, dissolved oxygen (</w:t>
            </w:r>
            <w:r w:rsidR="00495DD5" w:rsidRPr="00E23CED">
              <w:t>a</w:t>
            </w:r>
            <w:r w:rsidR="005E672E" w:rsidRPr="00E23CED">
              <w:t xml:space="preserve">ppendix 2A, </w:t>
            </w:r>
            <w:r w:rsidR="00495DD5" w:rsidRPr="00E23CED">
              <w:t>t</w:t>
            </w:r>
            <w:r w:rsidR="005E672E" w:rsidRPr="00E23CED">
              <w:t xml:space="preserve">ables 2 and 7 and </w:t>
            </w:r>
            <w:r w:rsidR="00495DD5" w:rsidRPr="00E23CED">
              <w:t>a</w:t>
            </w:r>
            <w:r w:rsidR="005E672E" w:rsidRPr="00E23CED">
              <w:t xml:space="preserve">ppendix 2B, </w:t>
            </w:r>
            <w:r w:rsidR="00495DD5" w:rsidRPr="00E23CED">
              <w:t>t</w:t>
            </w:r>
            <w:r w:rsidR="005E672E" w:rsidRPr="00E23CED">
              <w:t>ables 17, 18 and 19), submerged plants (invasive species) (</w:t>
            </w:r>
            <w:r w:rsidR="00495DD5" w:rsidRPr="00E23CED">
              <w:t>a</w:t>
            </w:r>
            <w:r w:rsidR="005E672E" w:rsidRPr="00E23CED">
              <w:t xml:space="preserve">ppendix 2B, </w:t>
            </w:r>
            <w:r w:rsidR="00495DD5" w:rsidRPr="00E23CED">
              <w:t>t</w:t>
            </w:r>
            <w:r w:rsidR="005E672E" w:rsidRPr="00E23CED">
              <w:t>able 12), fish (rivers) (</w:t>
            </w:r>
            <w:r w:rsidR="00495DD5" w:rsidRPr="00E23CED">
              <w:t>a</w:t>
            </w:r>
            <w:r w:rsidR="005E672E" w:rsidRPr="00E23CED">
              <w:t xml:space="preserve">ppendix 2B, </w:t>
            </w:r>
            <w:r w:rsidR="00495DD5" w:rsidRPr="00E23CED">
              <w:t>t</w:t>
            </w:r>
            <w:r w:rsidR="005E672E" w:rsidRPr="00E23CED">
              <w:t>able 13), macroinvertebrates (</w:t>
            </w:r>
            <w:r w:rsidR="00495DD5" w:rsidRPr="00E23CED">
              <w:t>a</w:t>
            </w:r>
            <w:r w:rsidR="005E672E" w:rsidRPr="00E23CED">
              <w:t xml:space="preserve">ppendix 2B, </w:t>
            </w:r>
            <w:r w:rsidR="00495DD5" w:rsidRPr="00E23CED">
              <w:t>t</w:t>
            </w:r>
            <w:r w:rsidR="005E672E" w:rsidRPr="00E23CED">
              <w:t>ables 14 and 15) and ecosystem metabolism (</w:t>
            </w:r>
            <w:r w:rsidR="00495DD5" w:rsidRPr="00E23CED">
              <w:t>a</w:t>
            </w:r>
            <w:r w:rsidR="005E672E" w:rsidRPr="00E23CED">
              <w:t xml:space="preserve">ppendix 2B, </w:t>
            </w:r>
            <w:r w:rsidR="00495DD5" w:rsidRPr="00E23CED">
              <w:t>t</w:t>
            </w:r>
            <w:r w:rsidR="005E672E" w:rsidRPr="00E23CED">
              <w:t>able 21).</w:t>
            </w:r>
          </w:p>
        </w:tc>
      </w:tr>
    </w:tbl>
    <w:p w14:paraId="06FB5101" w14:textId="0803B443" w:rsidR="009C6172" w:rsidRPr="00E23CED" w:rsidRDefault="009C6172" w:rsidP="00F44AE8">
      <w:pPr>
        <w:pStyle w:val="Heading2"/>
        <w:spacing w:before="480"/>
        <w:rPr>
          <w:rFonts w:eastAsia="Calibri"/>
        </w:rPr>
      </w:pPr>
      <w:bookmarkStart w:id="22" w:name="_Toc143077508"/>
      <w:bookmarkEnd w:id="19"/>
      <w:bookmarkEnd w:id="20"/>
      <w:r w:rsidRPr="00E23CED">
        <w:rPr>
          <w:rFonts w:eastAsia="Calibri"/>
        </w:rPr>
        <w:t>2.1</w:t>
      </w:r>
      <w:r w:rsidRPr="00E23CED">
        <w:rPr>
          <w:rFonts w:eastAsia="Calibri"/>
        </w:rPr>
        <w:tab/>
        <w:t>Policy intent</w:t>
      </w:r>
      <w:bookmarkEnd w:id="22"/>
    </w:p>
    <w:p w14:paraId="6DB54370" w14:textId="12EB1300" w:rsidR="0063466E" w:rsidRPr="00E23CED" w:rsidRDefault="00096648" w:rsidP="003F0390">
      <w:pPr>
        <w:pStyle w:val="BodyText"/>
        <w:rPr>
          <w:rFonts w:eastAsia="Calibri" w:cs="Calibri"/>
        </w:rPr>
      </w:pPr>
      <w:r w:rsidRPr="00E23CED">
        <w:rPr>
          <w:rFonts w:eastAsia="Calibri" w:cs="Calibri"/>
        </w:rPr>
        <w:t>Clause</w:t>
      </w:r>
      <w:r w:rsidR="00B60453" w:rsidRPr="00E23CED">
        <w:rPr>
          <w:rFonts w:eastAsia="Calibri" w:cs="Calibri"/>
        </w:rPr>
        <w:t xml:space="preserve"> 3.13</w:t>
      </w:r>
      <w:r w:rsidR="00C44306" w:rsidRPr="00E23CED">
        <w:rPr>
          <w:rFonts w:eastAsia="Calibri" w:cs="Calibri"/>
        </w:rPr>
        <w:t xml:space="preserve"> </w:t>
      </w:r>
      <w:r w:rsidR="00B60453" w:rsidRPr="00E23CED">
        <w:rPr>
          <w:rFonts w:eastAsia="Calibri" w:cs="Calibri"/>
        </w:rPr>
        <w:t>is part of the overall process for achieving environmental outcomes</w:t>
      </w:r>
      <w:r w:rsidR="004252B6" w:rsidRPr="00E23CED">
        <w:rPr>
          <w:rFonts w:eastAsia="Calibri" w:cs="Calibri"/>
        </w:rPr>
        <w:t xml:space="preserve"> under </w:t>
      </w:r>
      <w:r w:rsidR="00B60453" w:rsidRPr="00E23CED">
        <w:rPr>
          <w:rFonts w:eastAsia="Calibri" w:cs="Calibri"/>
        </w:rPr>
        <w:t>the National Objectives Framework (NOF</w:t>
      </w:r>
      <w:r w:rsidR="003B5340" w:rsidRPr="00E23CED">
        <w:rPr>
          <w:rFonts w:eastAsia="Calibri" w:cs="Calibri"/>
        </w:rPr>
        <w:t>) in</w:t>
      </w:r>
      <w:r w:rsidR="00B60453" w:rsidRPr="00E23CED">
        <w:rPr>
          <w:rFonts w:eastAsia="Calibri" w:cs="Calibri"/>
        </w:rPr>
        <w:t xml:space="preserve"> </w:t>
      </w:r>
      <w:r w:rsidR="00495DD5" w:rsidRPr="00E23CED">
        <w:rPr>
          <w:rFonts w:eastAsia="Calibri" w:cs="Calibri"/>
        </w:rPr>
        <w:t>s</w:t>
      </w:r>
      <w:r w:rsidR="00B60453" w:rsidRPr="00E23CED">
        <w:rPr>
          <w:rFonts w:eastAsia="Calibri" w:cs="Calibri"/>
        </w:rPr>
        <w:t>ubpart 2</w:t>
      </w:r>
      <w:r w:rsidR="005E330A" w:rsidRPr="00E23CED">
        <w:rPr>
          <w:rFonts w:eastAsia="Calibri" w:cs="Calibri"/>
        </w:rPr>
        <w:t xml:space="preserve"> of the </w:t>
      </w:r>
      <w:r w:rsidR="00495DD5" w:rsidRPr="00E23CED">
        <w:rPr>
          <w:rFonts w:eastAsia="Calibri" w:cs="Calibri"/>
        </w:rPr>
        <w:t>National Policy Statement on Freshwater Management 2020 (</w:t>
      </w:r>
      <w:r w:rsidR="005E330A" w:rsidRPr="00E23CED">
        <w:rPr>
          <w:rFonts w:eastAsia="Calibri" w:cs="Calibri"/>
        </w:rPr>
        <w:t>NPS-FM</w:t>
      </w:r>
      <w:r w:rsidR="00495DD5" w:rsidRPr="00E23CED">
        <w:rPr>
          <w:rFonts w:eastAsia="Calibri" w:cs="Calibri"/>
        </w:rPr>
        <w:t>)</w:t>
      </w:r>
      <w:r w:rsidR="00B60453" w:rsidRPr="00E23CED">
        <w:rPr>
          <w:rFonts w:eastAsia="Calibri" w:cs="Calibri"/>
        </w:rPr>
        <w:t xml:space="preserve">. The policy </w:t>
      </w:r>
      <w:r w:rsidR="00130591" w:rsidRPr="00E23CED">
        <w:rPr>
          <w:rFonts w:eastAsia="Calibri" w:cs="Calibri"/>
        </w:rPr>
        <w:t>require</w:t>
      </w:r>
      <w:r w:rsidR="00EA6F53" w:rsidRPr="00E23CED">
        <w:rPr>
          <w:rFonts w:eastAsia="Calibri" w:cs="Calibri"/>
        </w:rPr>
        <w:t>s</w:t>
      </w:r>
      <w:r w:rsidR="00B60453" w:rsidRPr="00E23CED">
        <w:rPr>
          <w:rFonts w:eastAsia="Calibri" w:cs="Calibri"/>
        </w:rPr>
        <w:t xml:space="preserve"> that the amounts of</w:t>
      </w:r>
      <w:r w:rsidR="009A161D" w:rsidRPr="00E23CED">
        <w:rPr>
          <w:rFonts w:eastAsia="Calibri" w:cs="Calibri"/>
        </w:rPr>
        <w:t> </w:t>
      </w:r>
      <w:r w:rsidR="00F8086F" w:rsidRPr="00E23CED">
        <w:rPr>
          <w:rFonts w:eastAsia="Calibri" w:cs="Calibri"/>
        </w:rPr>
        <w:t xml:space="preserve">nitrogen </w:t>
      </w:r>
      <w:r w:rsidR="00AA72FC" w:rsidRPr="00E23CED">
        <w:rPr>
          <w:rFonts w:eastAsia="Calibri" w:cs="Calibri"/>
        </w:rPr>
        <w:t xml:space="preserve">(N) </w:t>
      </w:r>
      <w:r w:rsidR="00B60453" w:rsidRPr="00E23CED">
        <w:rPr>
          <w:rFonts w:eastAsia="Calibri" w:cs="Calibri"/>
        </w:rPr>
        <w:t xml:space="preserve">and </w:t>
      </w:r>
      <w:r w:rsidR="00F8086F" w:rsidRPr="00E23CED">
        <w:rPr>
          <w:rFonts w:eastAsia="Calibri" w:cs="Calibri"/>
        </w:rPr>
        <w:t xml:space="preserve">phosphorus </w:t>
      </w:r>
      <w:r w:rsidR="00AA72FC" w:rsidRPr="00E23CED">
        <w:rPr>
          <w:rFonts w:eastAsia="Calibri" w:cs="Calibri"/>
        </w:rPr>
        <w:t xml:space="preserve">(P) </w:t>
      </w:r>
      <w:r w:rsidR="00B60453" w:rsidRPr="00E23CED">
        <w:rPr>
          <w:rFonts w:eastAsia="Calibri" w:cs="Calibri"/>
        </w:rPr>
        <w:t xml:space="preserve">in </w:t>
      </w:r>
      <w:r w:rsidR="00F65FD6" w:rsidRPr="00E23CED">
        <w:rPr>
          <w:rFonts w:eastAsia="Calibri" w:cs="Calibri"/>
        </w:rPr>
        <w:t>water bod</w:t>
      </w:r>
      <w:r w:rsidR="00B60453" w:rsidRPr="00E23CED">
        <w:rPr>
          <w:rFonts w:eastAsia="Calibri" w:cs="Calibri"/>
        </w:rPr>
        <w:t xml:space="preserve">ies must be managed as part of achieving the </w:t>
      </w:r>
      <w:r w:rsidR="00B34321" w:rsidRPr="00E23CED">
        <w:rPr>
          <w:rFonts w:eastAsia="Calibri" w:cs="Calibri"/>
        </w:rPr>
        <w:t>compulsory value of ecosystem health</w:t>
      </w:r>
      <w:r w:rsidR="00B60453" w:rsidRPr="00E23CED">
        <w:rPr>
          <w:rFonts w:eastAsia="Calibri" w:cs="Calibri"/>
        </w:rPr>
        <w:t xml:space="preserve">. </w:t>
      </w:r>
    </w:p>
    <w:p w14:paraId="31A45652" w14:textId="37952530" w:rsidR="00CB0A6D" w:rsidRPr="00E23CED" w:rsidRDefault="00963CED" w:rsidP="003F0390">
      <w:pPr>
        <w:pStyle w:val="BodyText"/>
        <w:rPr>
          <w:rFonts w:eastAsia="Calibri" w:cs="Calibri"/>
        </w:rPr>
      </w:pPr>
      <w:r w:rsidRPr="00E23CED">
        <w:t xml:space="preserve">The NPS-FM </w:t>
      </w:r>
      <w:r w:rsidR="003F0390" w:rsidRPr="00E23CED">
        <w:t xml:space="preserve">requires </w:t>
      </w:r>
      <w:r w:rsidR="001C7B98" w:rsidRPr="00E23CED">
        <w:t xml:space="preserve">regional </w:t>
      </w:r>
      <w:r w:rsidR="00580348" w:rsidRPr="00E23CED">
        <w:t>councils</w:t>
      </w:r>
      <w:r w:rsidR="003F0390" w:rsidRPr="00E23CED">
        <w:t xml:space="preserve"> to manage attributes in freshwater environments by setting a target attribute state (TAS) to provide for the compulsory values, including ecosystem health. As a part of achieving </w:t>
      </w:r>
      <w:r w:rsidR="00B12896" w:rsidRPr="00E23CED">
        <w:t>TAS</w:t>
      </w:r>
      <w:r w:rsidR="007E4D26" w:rsidRPr="00E23CED">
        <w:t>s</w:t>
      </w:r>
      <w:r w:rsidR="003F0390" w:rsidRPr="00E23CED">
        <w:t xml:space="preserve"> for nutrient attributes and attributes</w:t>
      </w:r>
      <w:r w:rsidR="00B12896" w:rsidRPr="00E23CED">
        <w:t xml:space="preserve"> affected by nutrients</w:t>
      </w:r>
      <w:r w:rsidR="003F0390" w:rsidRPr="00E23CED">
        <w:t xml:space="preserve">, </w:t>
      </w:r>
      <w:r w:rsidR="001C7B98" w:rsidRPr="00E23CED">
        <w:t xml:space="preserve">regional </w:t>
      </w:r>
      <w:r w:rsidR="003F0390" w:rsidRPr="00E23CED">
        <w:t>councils must</w:t>
      </w:r>
      <w:r w:rsidR="00EB2A65" w:rsidRPr="00E23CED">
        <w:t>,</w:t>
      </w:r>
      <w:r w:rsidR="003F0390" w:rsidRPr="00E23CED">
        <w:t xml:space="preserve"> at </w:t>
      </w:r>
      <w:r w:rsidR="00EB2A65" w:rsidRPr="00E23CED">
        <w:t xml:space="preserve">a minimum, </w:t>
      </w:r>
      <w:r w:rsidR="003F0390" w:rsidRPr="00E23CED">
        <w:t xml:space="preserve">set appropriate </w:t>
      </w:r>
      <w:r w:rsidR="00B64EAE" w:rsidRPr="00E23CED">
        <w:t xml:space="preserve">instream </w:t>
      </w:r>
      <w:r w:rsidR="003F0390" w:rsidRPr="00E23CED">
        <w:t xml:space="preserve">nutrient </w:t>
      </w:r>
      <w:r w:rsidR="00B12896" w:rsidRPr="00E23CED">
        <w:t xml:space="preserve">concentrations and exceedance </w:t>
      </w:r>
      <w:r w:rsidR="003F0390" w:rsidRPr="00E23CED">
        <w:t>criteria</w:t>
      </w:r>
      <w:r w:rsidR="00B64EAE" w:rsidRPr="00E23CED">
        <w:t xml:space="preserve"> </w:t>
      </w:r>
      <w:r w:rsidR="00D944D2" w:rsidRPr="00E23CED">
        <w:t>and/</w:t>
      </w:r>
      <w:r w:rsidR="00B64EAE" w:rsidRPr="00E23CED">
        <w:t>or instream loads</w:t>
      </w:r>
      <w:r w:rsidR="00F933BF" w:rsidRPr="00E23CED">
        <w:t xml:space="preserve"> (or both)</w:t>
      </w:r>
      <w:r w:rsidR="003F0390" w:rsidRPr="00E23CED">
        <w:t xml:space="preserve"> for N and P. </w:t>
      </w:r>
      <w:r w:rsidR="00EB2A65" w:rsidRPr="00E23CED">
        <w:rPr>
          <w:rFonts w:eastAsia="Calibri" w:cs="Calibri"/>
        </w:rPr>
        <w:t xml:space="preserve">They must </w:t>
      </w:r>
      <w:r w:rsidR="00B64EAE" w:rsidRPr="00E23CED">
        <w:rPr>
          <w:rFonts w:eastAsia="Calibri" w:cs="Calibri"/>
        </w:rPr>
        <w:t xml:space="preserve">set </w:t>
      </w:r>
      <w:r w:rsidR="00B64EAE" w:rsidRPr="00E23CED">
        <w:t xml:space="preserve">instream </w:t>
      </w:r>
      <w:r w:rsidR="00B12896" w:rsidRPr="00E23CED">
        <w:t>nutrient concentrations and exceedance criteria</w:t>
      </w:r>
      <w:r w:rsidR="00B64EAE" w:rsidRPr="00E23CED">
        <w:t>, or instream loads,</w:t>
      </w:r>
      <w:r w:rsidR="00B12896" w:rsidRPr="00E23CED">
        <w:t xml:space="preserve"> </w:t>
      </w:r>
      <w:r w:rsidR="00EB2A65" w:rsidRPr="00E23CED">
        <w:rPr>
          <w:rFonts w:eastAsia="Calibri" w:cs="Calibri"/>
        </w:rPr>
        <w:t>for upstream contributing water bodies</w:t>
      </w:r>
      <w:r w:rsidR="006D0BCA" w:rsidRPr="00E23CED">
        <w:rPr>
          <w:rFonts w:eastAsia="Calibri" w:cs="Calibri"/>
        </w:rPr>
        <w:t>,</w:t>
      </w:r>
      <w:r w:rsidR="00EB2A65" w:rsidRPr="00E23CED">
        <w:rPr>
          <w:rFonts w:eastAsia="Calibri" w:cs="Calibri"/>
        </w:rPr>
        <w:t xml:space="preserve"> to achieve the environmental outcomes </w:t>
      </w:r>
      <w:r w:rsidR="00F73417" w:rsidRPr="00E23CED">
        <w:rPr>
          <w:rFonts w:eastAsia="Calibri" w:cs="Calibri"/>
        </w:rPr>
        <w:t xml:space="preserve">sought </w:t>
      </w:r>
      <w:r w:rsidR="00EB2A65" w:rsidRPr="00E23CED">
        <w:rPr>
          <w:rFonts w:eastAsia="Calibri" w:cs="Calibri"/>
        </w:rPr>
        <w:t>for nutrient-sensitive downstream receiving environments</w:t>
      </w:r>
      <w:r w:rsidR="00B64EAE" w:rsidRPr="00E23CED">
        <w:rPr>
          <w:rFonts w:eastAsia="Calibri" w:cs="Calibri"/>
        </w:rPr>
        <w:t>,</w:t>
      </w:r>
      <w:r w:rsidR="00B12896" w:rsidRPr="00E23CED">
        <w:rPr>
          <w:rFonts w:eastAsia="Calibri" w:cs="Calibri"/>
        </w:rPr>
        <w:t xml:space="preserve"> as well as for the upstream environments</w:t>
      </w:r>
      <w:r w:rsidR="00EB2A65" w:rsidRPr="00E23CED">
        <w:rPr>
          <w:rFonts w:eastAsia="Calibri" w:cs="Calibri"/>
        </w:rPr>
        <w:t xml:space="preserve">. </w:t>
      </w:r>
    </w:p>
    <w:p w14:paraId="01C108E5" w14:textId="520F83BB" w:rsidR="00F8086F" w:rsidRPr="00E23CED" w:rsidRDefault="001C7B98" w:rsidP="009A161D">
      <w:pPr>
        <w:pStyle w:val="BodyText"/>
        <w:keepLines/>
        <w:rPr>
          <w:rFonts w:eastAsia="Calibri" w:cs="Calibri"/>
        </w:rPr>
      </w:pPr>
      <w:r w:rsidRPr="00E23CED">
        <w:rPr>
          <w:rFonts w:eastAsia="Calibri" w:cs="Calibri"/>
        </w:rPr>
        <w:lastRenderedPageBreak/>
        <w:t>Regional c</w:t>
      </w:r>
      <w:r w:rsidR="00F8086F" w:rsidRPr="00E23CED">
        <w:rPr>
          <w:rFonts w:eastAsia="Calibri" w:cs="Calibri"/>
        </w:rPr>
        <w:t xml:space="preserve">ouncils </w:t>
      </w:r>
      <w:r w:rsidR="00B462AE" w:rsidRPr="00E23CED">
        <w:rPr>
          <w:rFonts w:eastAsia="Calibri" w:cs="Calibri"/>
        </w:rPr>
        <w:t>must</w:t>
      </w:r>
      <w:r w:rsidR="00F8086F" w:rsidRPr="00E23CED">
        <w:rPr>
          <w:rFonts w:eastAsia="Calibri" w:cs="Calibri"/>
        </w:rPr>
        <w:t xml:space="preserve"> determine the health of freshwater ecosystems by using attributes found in </w:t>
      </w:r>
      <w:r w:rsidR="00264532" w:rsidRPr="00E23CED">
        <w:rPr>
          <w:rFonts w:eastAsia="Calibri" w:cs="Calibri"/>
        </w:rPr>
        <w:t>a</w:t>
      </w:r>
      <w:r w:rsidR="00F8086F" w:rsidRPr="00E23CED">
        <w:rPr>
          <w:rFonts w:eastAsia="Calibri" w:cs="Calibri"/>
        </w:rPr>
        <w:t xml:space="preserve">ppendix 2A and 2B of the NPS-FM. An attribute is defined in the NPS-FM as a </w:t>
      </w:r>
      <w:r w:rsidR="00F8086F" w:rsidRPr="00E23CED">
        <w:t>“measurable characteristic that can be used to assess the extent to which a particular value is provided for</w:t>
      </w:r>
      <w:r w:rsidR="00360E80" w:rsidRPr="00E23CED">
        <w:t>.”</w:t>
      </w:r>
      <w:r w:rsidR="00F8086F" w:rsidRPr="00E23CED">
        <w:t xml:space="preserve"> Ecosystem health is a compulsory value. Attributes</w:t>
      </w:r>
      <w:r w:rsidR="00B462AE" w:rsidRPr="00E23CED">
        <w:t xml:space="preserve"> used to define ecosystem health</w:t>
      </w:r>
      <w:r w:rsidR="00F8086F" w:rsidRPr="00E23CED">
        <w:t xml:space="preserve"> are not restricted to those included in </w:t>
      </w:r>
      <w:r w:rsidR="00264532" w:rsidRPr="00E23CED">
        <w:t>a</w:t>
      </w:r>
      <w:r w:rsidR="008D340A" w:rsidRPr="00E23CED">
        <w:t>ppendix 2A or 2B</w:t>
      </w:r>
      <w:r w:rsidR="00F8086F" w:rsidRPr="00E23CED">
        <w:t xml:space="preserve">; </w:t>
      </w:r>
      <w:r w:rsidRPr="00E23CED">
        <w:t xml:space="preserve">regional </w:t>
      </w:r>
      <w:r w:rsidR="00F8086F" w:rsidRPr="00E23CED">
        <w:t xml:space="preserve">councils may identify other attributes for any </w:t>
      </w:r>
      <w:r w:rsidR="006E245E" w:rsidRPr="00E23CED">
        <w:t xml:space="preserve">of the four </w:t>
      </w:r>
      <w:r w:rsidR="00F8086F" w:rsidRPr="00E23CED">
        <w:t>compulsory value</w:t>
      </w:r>
      <w:r w:rsidR="006E245E" w:rsidRPr="00E23CED">
        <w:t xml:space="preserve">s listed in the NPS-FM </w:t>
      </w:r>
      <w:r w:rsidR="00264532" w:rsidRPr="00E23CED">
        <w:t>a</w:t>
      </w:r>
      <w:r w:rsidR="006E245E" w:rsidRPr="00E23CED">
        <w:t>ppendix 1A</w:t>
      </w:r>
      <w:r w:rsidR="00E152AD" w:rsidRPr="00E23CED">
        <w:t xml:space="preserve">, or </w:t>
      </w:r>
      <w:r w:rsidR="00DF1E62" w:rsidRPr="00E23CED">
        <w:t xml:space="preserve">for any </w:t>
      </w:r>
      <w:r w:rsidR="00E152AD" w:rsidRPr="00E23CED">
        <w:t xml:space="preserve">other </w:t>
      </w:r>
      <w:r w:rsidR="00DF1E62" w:rsidRPr="00E23CED">
        <w:t>council</w:t>
      </w:r>
      <w:r w:rsidR="00F933BF" w:rsidRPr="00E23CED">
        <w:t>-</w:t>
      </w:r>
      <w:r w:rsidR="00DF1E62" w:rsidRPr="00E23CED">
        <w:t>identified values</w:t>
      </w:r>
      <w:r w:rsidR="00F8086F" w:rsidRPr="00E23CED">
        <w:t xml:space="preserve">. </w:t>
      </w:r>
    </w:p>
    <w:p w14:paraId="33BFA22B" w14:textId="77777777" w:rsidR="00F933BF" w:rsidRPr="00E23CED" w:rsidRDefault="003C7C62" w:rsidP="00F8086F">
      <w:pPr>
        <w:pStyle w:val="BodyText"/>
        <w:rPr>
          <w:rFonts w:eastAsia="Calibri"/>
        </w:rPr>
      </w:pPr>
      <w:bookmarkStart w:id="23" w:name="_Hlk131522588"/>
      <w:r w:rsidRPr="00E23CED">
        <w:rPr>
          <w:rFonts w:eastAsia="Calibri" w:cs="Calibri"/>
        </w:rPr>
        <w:t>T</w:t>
      </w:r>
      <w:r w:rsidR="00A36F37" w:rsidRPr="00E23CED">
        <w:rPr>
          <w:rFonts w:eastAsia="Calibri" w:cs="Calibri"/>
        </w:rPr>
        <w:t xml:space="preserve">he following </w:t>
      </w:r>
      <w:r w:rsidR="00A36F37" w:rsidRPr="00E23CED">
        <w:rPr>
          <w:rFonts w:eastAsia="Calibri"/>
        </w:rPr>
        <w:t xml:space="preserve">sections </w:t>
      </w:r>
      <w:r w:rsidRPr="00E23CED">
        <w:rPr>
          <w:rFonts w:eastAsia="Calibri"/>
        </w:rPr>
        <w:t>provide</w:t>
      </w:r>
      <w:r w:rsidR="00DE4101" w:rsidRPr="00E23CED">
        <w:rPr>
          <w:rFonts w:eastAsia="Calibri"/>
        </w:rPr>
        <w:t xml:space="preserve">: </w:t>
      </w:r>
    </w:p>
    <w:p w14:paraId="0B2F1E33" w14:textId="1408C850" w:rsidR="00F933BF" w:rsidRPr="00E23CED" w:rsidRDefault="00F8086F" w:rsidP="00F44AE8">
      <w:pPr>
        <w:pStyle w:val="Bullet"/>
        <w:rPr>
          <w:rFonts w:eastAsia="Calibri"/>
        </w:rPr>
      </w:pPr>
      <w:r w:rsidRPr="00E23CED">
        <w:t>information</w:t>
      </w:r>
      <w:r w:rsidRPr="00E23CED">
        <w:rPr>
          <w:rFonts w:eastAsia="Calibri"/>
        </w:rPr>
        <w:t xml:space="preserve"> on </w:t>
      </w:r>
      <w:r w:rsidR="006213A0" w:rsidRPr="00E23CED">
        <w:rPr>
          <w:rFonts w:eastAsia="Calibri"/>
        </w:rPr>
        <w:t xml:space="preserve">the </w:t>
      </w:r>
      <w:r w:rsidRPr="00E23CED">
        <w:rPr>
          <w:rFonts w:eastAsia="Calibri"/>
        </w:rPr>
        <w:t>attributes</w:t>
      </w:r>
      <w:r w:rsidR="008876EF" w:rsidRPr="00E23CED">
        <w:rPr>
          <w:rFonts w:eastAsia="Calibri"/>
        </w:rPr>
        <w:t xml:space="preserve"> </w:t>
      </w:r>
      <w:r w:rsidR="006213A0" w:rsidRPr="00E23CED">
        <w:rPr>
          <w:rFonts w:eastAsia="Calibri"/>
        </w:rPr>
        <w:t xml:space="preserve">to which </w:t>
      </w:r>
      <w:r w:rsidR="00F933BF" w:rsidRPr="00E23CED">
        <w:rPr>
          <w:rFonts w:eastAsia="Calibri"/>
        </w:rPr>
        <w:t>c</w:t>
      </w:r>
      <w:r w:rsidR="00096648" w:rsidRPr="00E23CED">
        <w:rPr>
          <w:rFonts w:eastAsia="Calibri"/>
        </w:rPr>
        <w:t>lause</w:t>
      </w:r>
      <w:r w:rsidR="006213A0" w:rsidRPr="00E23CED">
        <w:rPr>
          <w:rFonts w:eastAsia="Calibri"/>
        </w:rPr>
        <w:t xml:space="preserve"> </w:t>
      </w:r>
      <w:r w:rsidR="008876EF" w:rsidRPr="00E23CED">
        <w:rPr>
          <w:rFonts w:eastAsia="Calibri"/>
        </w:rPr>
        <w:t xml:space="preserve">3.13 </w:t>
      </w:r>
      <w:r w:rsidR="006213A0" w:rsidRPr="00E23CED">
        <w:rPr>
          <w:rFonts w:eastAsia="Calibri"/>
        </w:rPr>
        <w:t>applies</w:t>
      </w:r>
      <w:r w:rsidR="00504CBC" w:rsidRPr="00E23CED">
        <w:rPr>
          <w:rFonts w:eastAsia="Calibri"/>
        </w:rPr>
        <w:t>,</w:t>
      </w:r>
      <w:r w:rsidR="00DE4101" w:rsidRPr="00E23CED">
        <w:rPr>
          <w:rFonts w:eastAsia="Calibri"/>
        </w:rPr>
        <w:t xml:space="preserve"> and </w:t>
      </w:r>
      <w:r w:rsidR="006213A0" w:rsidRPr="00E23CED">
        <w:rPr>
          <w:rFonts w:eastAsia="Calibri"/>
        </w:rPr>
        <w:t>the nutrien</w:t>
      </w:r>
      <w:r w:rsidR="00DE4101" w:rsidRPr="00E23CED">
        <w:rPr>
          <w:rFonts w:eastAsia="Calibri"/>
        </w:rPr>
        <w:t>ts</w:t>
      </w:r>
      <w:r w:rsidR="00F60155" w:rsidRPr="00E23CED">
        <w:rPr>
          <w:rFonts w:eastAsia="Calibri"/>
        </w:rPr>
        <w:t xml:space="preserve"> N and P</w:t>
      </w:r>
      <w:r w:rsidR="006213A0" w:rsidRPr="00E23CED">
        <w:rPr>
          <w:rFonts w:eastAsia="Calibri"/>
        </w:rPr>
        <w:t xml:space="preserve"> </w:t>
      </w:r>
    </w:p>
    <w:p w14:paraId="419FF656" w14:textId="10BF6BB8" w:rsidR="00F933BF" w:rsidRPr="00E23CED" w:rsidRDefault="006213A0" w:rsidP="00F44AE8">
      <w:pPr>
        <w:pStyle w:val="Bullet"/>
        <w:rPr>
          <w:rFonts w:eastAsia="Calibri"/>
        </w:rPr>
      </w:pPr>
      <w:r w:rsidRPr="00E23CED">
        <w:rPr>
          <w:rFonts w:eastAsia="Calibri"/>
        </w:rPr>
        <w:t xml:space="preserve">explanations of the meaning of </w:t>
      </w:r>
      <w:r w:rsidR="00DE4101" w:rsidRPr="00E23CED">
        <w:rPr>
          <w:rFonts w:eastAsia="Calibri"/>
        </w:rPr>
        <w:t>i</w:t>
      </w:r>
      <w:r w:rsidRPr="00E23CED">
        <w:rPr>
          <w:rFonts w:eastAsia="Calibri"/>
        </w:rPr>
        <w:t>nstream concentrations and exceedance criteria and related terms</w:t>
      </w:r>
    </w:p>
    <w:p w14:paraId="7AE97AD7" w14:textId="545E52EB" w:rsidR="00EA0A66" w:rsidRPr="00E23CED" w:rsidRDefault="006213A0" w:rsidP="00F44AE8">
      <w:pPr>
        <w:pStyle w:val="Bullet"/>
        <w:rPr>
          <w:rFonts w:eastAsia="Calibri" w:cs="Calibri"/>
        </w:rPr>
      </w:pPr>
      <w:r w:rsidRPr="00E23CED">
        <w:rPr>
          <w:rFonts w:eastAsia="Calibri"/>
        </w:rPr>
        <w:t>interpretations</w:t>
      </w:r>
      <w:r w:rsidRPr="00E23CED">
        <w:rPr>
          <w:rFonts w:eastAsia="Calibri" w:cs="Calibri"/>
        </w:rPr>
        <w:t xml:space="preserve"> of upstream contributing water bodies and downstream receiving environments</w:t>
      </w:r>
      <w:r w:rsidR="008876EF" w:rsidRPr="00E23CED">
        <w:rPr>
          <w:rFonts w:eastAsia="Calibri" w:cs="Calibri"/>
        </w:rPr>
        <w:t xml:space="preserve">. </w:t>
      </w:r>
    </w:p>
    <w:bookmarkEnd w:id="23"/>
    <w:p w14:paraId="538913EE" w14:textId="2F0C56FD" w:rsidR="00F8086F" w:rsidRPr="00E23CED" w:rsidRDefault="008876EF" w:rsidP="00F44AE8">
      <w:pPr>
        <w:pStyle w:val="BodyText"/>
      </w:pPr>
      <w:r w:rsidRPr="00E23CED">
        <w:rPr>
          <w:rFonts w:eastAsia="Calibri" w:cs="Calibri"/>
        </w:rPr>
        <w:t xml:space="preserve">For information on </w:t>
      </w:r>
      <w:r w:rsidR="00F8086F" w:rsidRPr="00E23CED">
        <w:rPr>
          <w:rFonts w:eastAsia="Calibri" w:cs="Calibri"/>
        </w:rPr>
        <w:t xml:space="preserve">how a TAS is determined under the NOF process, </w:t>
      </w:r>
      <w:r w:rsidR="00F933BF" w:rsidRPr="00E23CED">
        <w:rPr>
          <w:rFonts w:eastAsia="Calibri" w:cs="Calibri"/>
        </w:rPr>
        <w:t>see</w:t>
      </w:r>
      <w:r w:rsidR="00F8086F" w:rsidRPr="00E23CED">
        <w:rPr>
          <w:rFonts w:eastAsia="Calibri" w:cs="Calibri"/>
        </w:rPr>
        <w:t xml:space="preserve"> </w:t>
      </w:r>
      <w:hyperlink r:id="rId49" w:history="1">
        <w:r w:rsidR="00D72D69" w:rsidRPr="00E23CED">
          <w:rPr>
            <w:rStyle w:val="Hyperlink"/>
            <w:i/>
            <w:iCs/>
          </w:rPr>
          <w:t>He Ārahitanga mō Te</w:t>
        </w:r>
        <w:r w:rsidR="00A35730" w:rsidRPr="00E23CED">
          <w:rPr>
            <w:rStyle w:val="Hyperlink"/>
            <w:i/>
            <w:iCs/>
          </w:rPr>
          <w:t> </w:t>
        </w:r>
        <w:r w:rsidR="00D72D69" w:rsidRPr="00E23CED">
          <w:rPr>
            <w:rStyle w:val="Hyperlink"/>
            <w:i/>
            <w:iCs/>
          </w:rPr>
          <w:t>Anga Whāinga ā-Motu o te NPS-FM: Guidance on the National Objectives Framework of the NPS-FM</w:t>
        </w:r>
      </w:hyperlink>
      <w:r w:rsidR="00D72D69" w:rsidRPr="00E23CED">
        <w:rPr>
          <w:rStyle w:val="Hyperlink"/>
        </w:rPr>
        <w:t xml:space="preserve"> </w:t>
      </w:r>
      <w:r w:rsidR="00495DD5" w:rsidRPr="00E23CED">
        <w:t>(Ministry for the Environment, 2023).</w:t>
      </w:r>
    </w:p>
    <w:p w14:paraId="4996B6A9" w14:textId="1EA16A90" w:rsidR="006C1908" w:rsidRPr="00E23CED" w:rsidRDefault="006C1908" w:rsidP="00F44AE8">
      <w:pPr>
        <w:pStyle w:val="Heading3"/>
      </w:pPr>
      <w:r w:rsidRPr="00E23CED">
        <w:t>2.1.1</w:t>
      </w:r>
      <w:r w:rsidRPr="00E23CED">
        <w:tab/>
        <w:t>Attributes</w:t>
      </w:r>
      <w:r w:rsidR="003A5B52" w:rsidRPr="00E23CED">
        <w:t xml:space="preserve"> </w:t>
      </w:r>
    </w:p>
    <w:p w14:paraId="35EA586C" w14:textId="77777777" w:rsidR="006C1908" w:rsidRPr="00E23CED" w:rsidRDefault="006C1908" w:rsidP="00F44AE8">
      <w:pPr>
        <w:pStyle w:val="Heading4"/>
        <w:spacing w:before="240"/>
      </w:pPr>
      <w:r w:rsidRPr="00E23CED">
        <w:t xml:space="preserve">Nutrient attributes </w:t>
      </w:r>
    </w:p>
    <w:p w14:paraId="7A4EF7B4" w14:textId="05E3DCA5" w:rsidR="006C1908" w:rsidRPr="00E23CED" w:rsidRDefault="006C1908" w:rsidP="00F44AE8">
      <w:pPr>
        <w:pStyle w:val="BodyText"/>
      </w:pPr>
      <w:r w:rsidRPr="00E23CED" w:rsidDel="00B462AE">
        <w:t>N</w:t>
      </w:r>
      <w:r w:rsidRPr="00E23CED">
        <w:t xml:space="preserve">utrient attributes referred to in </w:t>
      </w:r>
      <w:r w:rsidR="00F933BF" w:rsidRPr="00E23CED">
        <w:t>c</w:t>
      </w:r>
      <w:r w:rsidR="00096648" w:rsidRPr="00E23CED">
        <w:t>lause</w:t>
      </w:r>
      <w:r w:rsidRPr="00E23CED">
        <w:t xml:space="preserve"> 3.13(1) are measures of different forms of </w:t>
      </w:r>
      <w:r w:rsidR="007708EC" w:rsidRPr="00E23CED">
        <w:t xml:space="preserve">N </w:t>
      </w:r>
      <w:r w:rsidRPr="00E23CED">
        <w:t xml:space="preserve">and </w:t>
      </w:r>
      <w:r w:rsidR="007708EC" w:rsidRPr="00E23CED">
        <w:t xml:space="preserve">P </w:t>
      </w:r>
      <w:r w:rsidRPr="00E23CED">
        <w:t xml:space="preserve">in the water column. They were included in </w:t>
      </w:r>
      <w:r w:rsidR="00264532" w:rsidRPr="00E23CED">
        <w:t>a</w:t>
      </w:r>
      <w:r w:rsidR="008D340A" w:rsidRPr="00E23CED">
        <w:t xml:space="preserve">ppendix 2A </w:t>
      </w:r>
      <w:r w:rsidR="007708EC" w:rsidRPr="00E23CED">
        <w:t xml:space="preserve">and </w:t>
      </w:r>
      <w:r w:rsidR="008D340A" w:rsidRPr="00E23CED">
        <w:t>2B</w:t>
      </w:r>
      <w:r w:rsidRPr="00E23CED">
        <w:t xml:space="preserve"> </w:t>
      </w:r>
      <w:proofErr w:type="gramStart"/>
      <w:r w:rsidRPr="00E23CED">
        <w:t>on</w:t>
      </w:r>
      <w:r w:rsidR="00752393" w:rsidRPr="00E23CED">
        <w:t xml:space="preserve"> the</w:t>
      </w:r>
      <w:r w:rsidRPr="00E23CED">
        <w:t xml:space="preserve"> basis of</w:t>
      </w:r>
      <w:proofErr w:type="gramEnd"/>
      <w:r w:rsidRPr="00E23CED">
        <w:t xml:space="preserve"> sufficient evidence of their effects on ecosystem health. They are:</w:t>
      </w:r>
    </w:p>
    <w:p w14:paraId="0572B78A" w14:textId="247E510B" w:rsidR="006C1908" w:rsidRPr="00E23CED" w:rsidRDefault="006C1908" w:rsidP="00F44AE8">
      <w:pPr>
        <w:pStyle w:val="Bullet"/>
        <w:rPr>
          <w:rFonts w:eastAsia="Calibri"/>
        </w:rPr>
      </w:pPr>
      <w:r w:rsidRPr="00E23CED">
        <w:rPr>
          <w:rFonts w:eastAsia="Calibri"/>
        </w:rPr>
        <w:t xml:space="preserve">total nitrogen </w:t>
      </w:r>
      <w:r w:rsidR="00E33BDB" w:rsidRPr="00E23CED">
        <w:rPr>
          <w:rFonts w:eastAsia="Calibri"/>
        </w:rPr>
        <w:t>(T</w:t>
      </w:r>
      <w:r w:rsidR="00171FFF" w:rsidRPr="00E23CED">
        <w:rPr>
          <w:rFonts w:eastAsia="Calibri"/>
        </w:rPr>
        <w:t>N</w:t>
      </w:r>
      <w:r w:rsidR="00E33BDB" w:rsidRPr="00E23CED">
        <w:rPr>
          <w:rFonts w:eastAsia="Calibri"/>
        </w:rPr>
        <w:t>)</w:t>
      </w:r>
      <w:r w:rsidR="00171FFF" w:rsidRPr="00E23CED">
        <w:rPr>
          <w:rFonts w:eastAsia="Calibri"/>
        </w:rPr>
        <w:t xml:space="preserve"> </w:t>
      </w:r>
      <w:r w:rsidRPr="00E23CED">
        <w:rPr>
          <w:rFonts w:eastAsia="Calibri"/>
        </w:rPr>
        <w:t>(</w:t>
      </w:r>
      <w:r w:rsidR="00264532" w:rsidRPr="00E23CED">
        <w:rPr>
          <w:rFonts w:eastAsia="Calibri"/>
        </w:rPr>
        <w:t>a</w:t>
      </w:r>
      <w:r w:rsidRPr="00E23CED">
        <w:rPr>
          <w:rFonts w:eastAsia="Calibri"/>
        </w:rPr>
        <w:t xml:space="preserve">ppendix 2A, </w:t>
      </w:r>
      <w:r w:rsidR="00264532" w:rsidRPr="00E23CED">
        <w:rPr>
          <w:rFonts w:eastAsia="Calibri"/>
        </w:rPr>
        <w:t>t</w:t>
      </w:r>
      <w:r w:rsidRPr="00E23CED">
        <w:rPr>
          <w:rFonts w:eastAsia="Calibri"/>
        </w:rPr>
        <w:t>able 3, applicable to lakes)</w:t>
      </w:r>
    </w:p>
    <w:p w14:paraId="1CF7CF80" w14:textId="34BEB472" w:rsidR="006C1908" w:rsidRPr="00E23CED" w:rsidRDefault="006C1908" w:rsidP="00F44AE8">
      <w:pPr>
        <w:pStyle w:val="Bullet"/>
        <w:rPr>
          <w:rFonts w:eastAsia="Calibri"/>
        </w:rPr>
      </w:pPr>
      <w:r w:rsidRPr="00E23CED">
        <w:rPr>
          <w:rFonts w:eastAsia="Calibri"/>
        </w:rPr>
        <w:t xml:space="preserve">total phosphorus </w:t>
      </w:r>
      <w:r w:rsidR="00E33BDB" w:rsidRPr="00E23CED">
        <w:rPr>
          <w:rFonts w:eastAsia="Calibri"/>
        </w:rPr>
        <w:t>(T</w:t>
      </w:r>
      <w:r w:rsidR="00171FFF" w:rsidRPr="00E23CED">
        <w:rPr>
          <w:rFonts w:eastAsia="Calibri"/>
        </w:rPr>
        <w:t>P</w:t>
      </w:r>
      <w:r w:rsidR="00E33BDB" w:rsidRPr="00E23CED">
        <w:rPr>
          <w:rFonts w:eastAsia="Calibri"/>
        </w:rPr>
        <w:t>)</w:t>
      </w:r>
      <w:r w:rsidR="00171FFF" w:rsidRPr="00E23CED">
        <w:rPr>
          <w:rFonts w:eastAsia="Calibri"/>
        </w:rPr>
        <w:t xml:space="preserve"> </w:t>
      </w:r>
      <w:r w:rsidRPr="00E23CED">
        <w:rPr>
          <w:rFonts w:eastAsia="Calibri"/>
        </w:rPr>
        <w:t>(</w:t>
      </w:r>
      <w:r w:rsidR="00264532" w:rsidRPr="00E23CED">
        <w:rPr>
          <w:rFonts w:eastAsia="Calibri"/>
        </w:rPr>
        <w:t>a</w:t>
      </w:r>
      <w:r w:rsidRPr="00E23CED">
        <w:rPr>
          <w:rFonts w:eastAsia="Calibri"/>
        </w:rPr>
        <w:t xml:space="preserve">ppendix 2A, </w:t>
      </w:r>
      <w:r w:rsidR="00264532" w:rsidRPr="00E23CED">
        <w:rPr>
          <w:rFonts w:eastAsia="Calibri"/>
        </w:rPr>
        <w:t>t</w:t>
      </w:r>
      <w:r w:rsidRPr="00E23CED">
        <w:rPr>
          <w:rFonts w:eastAsia="Calibri"/>
        </w:rPr>
        <w:t>able 4, applicable to lakes)</w:t>
      </w:r>
    </w:p>
    <w:p w14:paraId="69E014F9" w14:textId="20A9D2AF" w:rsidR="006C1908" w:rsidRPr="00E23CED" w:rsidRDefault="006C1908" w:rsidP="00F44AE8">
      <w:pPr>
        <w:pStyle w:val="Bullet"/>
        <w:rPr>
          <w:rFonts w:eastAsia="Calibri"/>
        </w:rPr>
      </w:pPr>
      <w:r w:rsidRPr="00E23CED">
        <w:rPr>
          <w:rFonts w:eastAsia="Calibri"/>
        </w:rPr>
        <w:t>ammonia (toxicity) (</w:t>
      </w:r>
      <w:r w:rsidR="00264532" w:rsidRPr="00E23CED">
        <w:rPr>
          <w:rFonts w:eastAsia="Calibri"/>
        </w:rPr>
        <w:t>a</w:t>
      </w:r>
      <w:r w:rsidRPr="00E23CED">
        <w:rPr>
          <w:rFonts w:eastAsia="Calibri"/>
        </w:rPr>
        <w:t xml:space="preserve">ppendix 2A, </w:t>
      </w:r>
      <w:r w:rsidR="00264532" w:rsidRPr="00E23CED">
        <w:rPr>
          <w:rFonts w:eastAsia="Calibri"/>
        </w:rPr>
        <w:t>t</w:t>
      </w:r>
      <w:r w:rsidRPr="00E23CED">
        <w:rPr>
          <w:rFonts w:eastAsia="Calibri"/>
        </w:rPr>
        <w:t>able 5, applicable to rivers and lakes)</w:t>
      </w:r>
    </w:p>
    <w:p w14:paraId="54918C7E" w14:textId="1A63E607" w:rsidR="006C1908" w:rsidRPr="00E23CED" w:rsidRDefault="006C1908" w:rsidP="00F44AE8">
      <w:pPr>
        <w:pStyle w:val="Bullet"/>
        <w:rPr>
          <w:rFonts w:eastAsia="Calibri"/>
        </w:rPr>
      </w:pPr>
      <w:r w:rsidRPr="00E23CED">
        <w:rPr>
          <w:rFonts w:eastAsia="Calibri"/>
        </w:rPr>
        <w:t>nitrate (toxicity) (</w:t>
      </w:r>
      <w:r w:rsidR="00264532" w:rsidRPr="00E23CED">
        <w:rPr>
          <w:rFonts w:eastAsia="Calibri"/>
        </w:rPr>
        <w:t>a</w:t>
      </w:r>
      <w:r w:rsidRPr="00E23CED">
        <w:rPr>
          <w:rFonts w:eastAsia="Calibri"/>
        </w:rPr>
        <w:t xml:space="preserve">ppendix 2A, </w:t>
      </w:r>
      <w:r w:rsidR="00264532" w:rsidRPr="00E23CED">
        <w:rPr>
          <w:rFonts w:eastAsia="Calibri"/>
        </w:rPr>
        <w:t>t</w:t>
      </w:r>
      <w:r w:rsidRPr="00E23CED">
        <w:rPr>
          <w:rFonts w:eastAsia="Calibri"/>
        </w:rPr>
        <w:t>able 6, applicable to rivers)</w:t>
      </w:r>
    </w:p>
    <w:p w14:paraId="6EC79729" w14:textId="0E1198C0" w:rsidR="006C1908" w:rsidRPr="00E23CED" w:rsidRDefault="006C1908" w:rsidP="00F44AE8">
      <w:pPr>
        <w:pStyle w:val="Bullet"/>
        <w:rPr>
          <w:rFonts w:eastAsia="Calibri"/>
        </w:rPr>
      </w:pPr>
      <w:r w:rsidRPr="00E23CED">
        <w:rPr>
          <w:rFonts w:eastAsia="Calibri"/>
        </w:rPr>
        <w:t>dissolved reactive phosphorus (</w:t>
      </w:r>
      <w:r w:rsidR="00264532" w:rsidRPr="00E23CED">
        <w:rPr>
          <w:rFonts w:eastAsia="Calibri"/>
        </w:rPr>
        <w:t>a</w:t>
      </w:r>
      <w:r w:rsidRPr="00E23CED">
        <w:rPr>
          <w:rFonts w:eastAsia="Calibri"/>
        </w:rPr>
        <w:t xml:space="preserve">ppendix 2B, </w:t>
      </w:r>
      <w:r w:rsidR="00264532" w:rsidRPr="00E23CED">
        <w:rPr>
          <w:rFonts w:eastAsia="Calibri"/>
        </w:rPr>
        <w:t>t</w:t>
      </w:r>
      <w:r w:rsidRPr="00E23CED">
        <w:rPr>
          <w:rFonts w:eastAsia="Calibri"/>
        </w:rPr>
        <w:t>able 20, applicable to rivers).</w:t>
      </w:r>
    </w:p>
    <w:p w14:paraId="44F604CD" w14:textId="65B2A157" w:rsidR="006C1908" w:rsidRPr="00E23CED" w:rsidRDefault="006C1908" w:rsidP="00F44AE8">
      <w:pPr>
        <w:pStyle w:val="BodyText"/>
      </w:pPr>
      <w:r w:rsidRPr="00E23CED">
        <w:t>Setting a TAS for</w:t>
      </w:r>
      <w:r w:rsidR="00752393" w:rsidRPr="00E23CED">
        <w:t xml:space="preserve"> these</w:t>
      </w:r>
      <w:r w:rsidRPr="00E23CED">
        <w:t xml:space="preserve"> nutrient attributes usually requires selecting the relevant numeric </w:t>
      </w:r>
      <w:r w:rsidR="006D5E4F" w:rsidRPr="00E23CED">
        <w:t xml:space="preserve">metrics </w:t>
      </w:r>
      <w:r w:rsidR="00F933BF" w:rsidRPr="00E23CED">
        <w:t xml:space="preserve">to </w:t>
      </w:r>
      <w:r w:rsidR="006D5E4F" w:rsidRPr="00E23CED">
        <w:t>define a band</w:t>
      </w:r>
      <w:r w:rsidRPr="00E23CED">
        <w:t xml:space="preserve"> from</w:t>
      </w:r>
      <w:r w:rsidR="006D5E4F" w:rsidRPr="00E23CED">
        <w:t xml:space="preserve"> the</w:t>
      </w:r>
      <w:r w:rsidR="008D340A" w:rsidRPr="00E23CED">
        <w:t xml:space="preserve"> specific</w:t>
      </w:r>
      <w:r w:rsidRPr="00E23CED" w:rsidDel="008D340A">
        <w:t xml:space="preserve"> </w:t>
      </w:r>
      <w:r w:rsidRPr="00E23CED">
        <w:t xml:space="preserve">attribute table. The </w:t>
      </w:r>
      <w:r w:rsidR="00BE0CCE" w:rsidRPr="00E23CED">
        <w:t xml:space="preserve">numeric </w:t>
      </w:r>
      <w:r w:rsidR="006D5E4F" w:rsidRPr="00E23CED">
        <w:t xml:space="preserve">metrics </w:t>
      </w:r>
      <w:r w:rsidRPr="00E23CED">
        <w:t>selected must achieve the</w:t>
      </w:r>
      <w:r w:rsidR="006D5E4F" w:rsidRPr="00E23CED">
        <w:t xml:space="preserve"> defined</w:t>
      </w:r>
      <w:r w:rsidRPr="00E23CED">
        <w:t xml:space="preserve"> environmental outcomes</w:t>
      </w:r>
      <w:r w:rsidR="00F933BF" w:rsidRPr="00E23CED">
        <w:t>,</w:t>
      </w:r>
      <w:r w:rsidRPr="00E23CED">
        <w:rPr>
          <w:rStyle w:val="FootnoteReference"/>
          <w:rFonts w:eastAsia="Calibri" w:cs="Calibri"/>
        </w:rPr>
        <w:footnoteReference w:id="2"/>
      </w:r>
      <w:r w:rsidR="005C17A0" w:rsidRPr="00E23CED">
        <w:t xml:space="preserve"> including</w:t>
      </w:r>
      <w:r w:rsidR="006D5E4F" w:rsidRPr="00E23CED">
        <w:t xml:space="preserve"> meeting</w:t>
      </w:r>
      <w:r w:rsidR="005C17A0" w:rsidRPr="00E23CED">
        <w:t xml:space="preserve"> </w:t>
      </w:r>
      <w:r w:rsidR="007C55CE" w:rsidRPr="00E23CED">
        <w:t>any relevant national bottom lines</w:t>
      </w:r>
      <w:r w:rsidR="005F46FD" w:rsidRPr="00E23CED">
        <w:t>, as a minimum</w:t>
      </w:r>
      <w:r w:rsidRPr="00E23CED">
        <w:t xml:space="preserve">. </w:t>
      </w:r>
    </w:p>
    <w:p w14:paraId="31A51488" w14:textId="59BAFABC" w:rsidR="006C1908" w:rsidRPr="00E23CED" w:rsidRDefault="006C1908" w:rsidP="006C1908">
      <w:pPr>
        <w:pStyle w:val="BodyText"/>
        <w:rPr>
          <w:rFonts w:eastAsia="Calibri" w:cs="Calibri"/>
        </w:rPr>
      </w:pPr>
      <w:r w:rsidRPr="00E23CED">
        <w:rPr>
          <w:rFonts w:eastAsia="Calibri" w:cs="Calibri"/>
        </w:rPr>
        <w:t xml:space="preserve">Under </w:t>
      </w:r>
      <w:r w:rsidR="00F933BF" w:rsidRPr="00E23CED">
        <w:rPr>
          <w:rFonts w:eastAsia="Calibri" w:cs="Calibri"/>
        </w:rPr>
        <w:t>c</w:t>
      </w:r>
      <w:r w:rsidR="00096648" w:rsidRPr="00E23CED">
        <w:rPr>
          <w:rFonts w:eastAsia="Calibri" w:cs="Calibri"/>
        </w:rPr>
        <w:t>lause</w:t>
      </w:r>
      <w:r w:rsidRPr="00E23CED">
        <w:rPr>
          <w:rFonts w:eastAsia="Calibri" w:cs="Calibri"/>
        </w:rPr>
        <w:t xml:space="preserve"> 3.13(3)</w:t>
      </w:r>
      <w:r w:rsidR="0007172B" w:rsidRPr="00E23CED">
        <w:rPr>
          <w:rFonts w:eastAsia="Calibri" w:cs="Calibri"/>
        </w:rPr>
        <w:t>,</w:t>
      </w:r>
      <w:r w:rsidRPr="00E23CED">
        <w:rPr>
          <w:rFonts w:eastAsia="Calibri" w:cs="Calibri"/>
        </w:rPr>
        <w:t xml:space="preserve"> regional councils may adopt nutrient forms not listed in</w:t>
      </w:r>
      <w:r w:rsidR="00B41C13" w:rsidRPr="00E23CED">
        <w:rPr>
          <w:rFonts w:eastAsia="Calibri" w:cs="Calibri"/>
        </w:rPr>
        <w:t xml:space="preserve"> the</w:t>
      </w:r>
      <w:r w:rsidRPr="00E23CED">
        <w:rPr>
          <w:rFonts w:eastAsia="Calibri" w:cs="Calibri"/>
        </w:rPr>
        <w:t xml:space="preserve"> </w:t>
      </w:r>
      <w:r w:rsidR="00264532" w:rsidRPr="00E23CED">
        <w:rPr>
          <w:rFonts w:eastAsia="Calibri" w:cs="Calibri"/>
        </w:rPr>
        <w:t>a</w:t>
      </w:r>
      <w:r w:rsidR="008D340A" w:rsidRPr="00E23CED">
        <w:rPr>
          <w:rFonts w:eastAsia="Calibri" w:cs="Calibri"/>
        </w:rPr>
        <w:t>ppendix 2A or 2B</w:t>
      </w:r>
      <w:r w:rsidR="00B41C13" w:rsidRPr="00E23CED">
        <w:rPr>
          <w:rFonts w:eastAsia="Calibri" w:cs="Calibri"/>
        </w:rPr>
        <w:t xml:space="preserve"> attribute tables</w:t>
      </w:r>
      <w:r w:rsidRPr="00E23CED">
        <w:rPr>
          <w:rFonts w:eastAsia="Calibri" w:cs="Calibri"/>
        </w:rPr>
        <w:t>,</w:t>
      </w:r>
      <w:r w:rsidRPr="00E23CED" w:rsidDel="0085617F">
        <w:rPr>
          <w:rFonts w:eastAsia="Calibri" w:cs="Calibri"/>
        </w:rPr>
        <w:t xml:space="preserve"> </w:t>
      </w:r>
      <w:r w:rsidRPr="00E23CED">
        <w:rPr>
          <w:rFonts w:eastAsia="Calibri" w:cs="Calibri"/>
        </w:rPr>
        <w:t>such as dissolved inorganic nitrogen (DIN), or TN and TP in rivers. Regional councils may also identify TASs for</w:t>
      </w:r>
      <w:r w:rsidR="00B41C13" w:rsidRPr="00E23CED">
        <w:rPr>
          <w:rFonts w:eastAsia="Calibri" w:cs="Calibri"/>
        </w:rPr>
        <w:t xml:space="preserve"> these forms of</w:t>
      </w:r>
      <w:r w:rsidRPr="00E23CED">
        <w:rPr>
          <w:rFonts w:eastAsia="Calibri" w:cs="Calibri"/>
        </w:rPr>
        <w:t xml:space="preserve"> nutrient</w:t>
      </w:r>
      <w:r w:rsidR="00B41C13" w:rsidRPr="00E23CED">
        <w:rPr>
          <w:rFonts w:eastAsia="Calibri" w:cs="Calibri"/>
        </w:rPr>
        <w:t xml:space="preserve">s (N </w:t>
      </w:r>
      <w:r w:rsidR="00F933BF" w:rsidRPr="00E23CED">
        <w:rPr>
          <w:rFonts w:eastAsia="Calibri" w:cs="Calibri"/>
        </w:rPr>
        <w:t>and</w:t>
      </w:r>
      <w:r w:rsidR="00B41C13" w:rsidRPr="00E23CED">
        <w:rPr>
          <w:rFonts w:eastAsia="Calibri" w:cs="Calibri"/>
        </w:rPr>
        <w:t xml:space="preserve"> P)</w:t>
      </w:r>
      <w:r w:rsidRPr="00E23CED">
        <w:rPr>
          <w:rFonts w:eastAsia="Calibri" w:cs="Calibri"/>
        </w:rPr>
        <w:t xml:space="preserve"> in freshwater body types not covered by the current</w:t>
      </w:r>
      <w:r w:rsidR="00B41C13" w:rsidRPr="00E23CED">
        <w:rPr>
          <w:rFonts w:eastAsia="Calibri" w:cs="Calibri"/>
        </w:rPr>
        <w:t xml:space="preserve"> nutrient </w:t>
      </w:r>
      <w:r w:rsidRPr="00E23CED">
        <w:rPr>
          <w:rFonts w:eastAsia="Calibri" w:cs="Calibri"/>
        </w:rPr>
        <w:t>attribute</w:t>
      </w:r>
      <w:r w:rsidR="00B41C13" w:rsidRPr="00E23CED">
        <w:rPr>
          <w:rFonts w:eastAsia="Calibri" w:cs="Calibri"/>
        </w:rPr>
        <w:t>s</w:t>
      </w:r>
      <w:r w:rsidRPr="00E23CED">
        <w:rPr>
          <w:rFonts w:eastAsia="Calibri" w:cs="Calibri"/>
        </w:rPr>
        <w:t>, such as</w:t>
      </w:r>
      <w:r w:rsidR="00B41C13" w:rsidRPr="00E23CED">
        <w:rPr>
          <w:rFonts w:eastAsia="Calibri" w:cs="Calibri"/>
        </w:rPr>
        <w:t xml:space="preserve"> for integrated management of</w:t>
      </w:r>
      <w:r w:rsidRPr="00E23CED">
        <w:rPr>
          <w:rFonts w:eastAsia="Calibri" w:cs="Calibri"/>
        </w:rPr>
        <w:t xml:space="preserve"> aquifers, wetlands, estuaries or other coastal environments.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31487" w:rsidRPr="00E23CED" w14:paraId="07614C0F" w14:textId="77777777" w:rsidTr="00E31487">
        <w:tc>
          <w:tcPr>
            <w:tcW w:w="0" w:type="auto"/>
            <w:shd w:val="clear" w:color="auto" w:fill="D2DDE2"/>
          </w:tcPr>
          <w:p w14:paraId="3F055347" w14:textId="4C8D4BCA" w:rsidR="00E31487" w:rsidRPr="00E23CED" w:rsidRDefault="00E31487" w:rsidP="00E31487">
            <w:pPr>
              <w:pStyle w:val="Boxheading0"/>
            </w:pPr>
            <w:r w:rsidRPr="00E23CED">
              <w:lastRenderedPageBreak/>
              <w:t xml:space="preserve">Nitrate and ammonia attributes: </w:t>
            </w:r>
            <w:r w:rsidR="00994349" w:rsidRPr="00E23CED">
              <w:t>P</w:t>
            </w:r>
            <w:r w:rsidRPr="00E23CED">
              <w:t xml:space="preserve">rotection against toxicity not ecosystem health </w:t>
            </w:r>
          </w:p>
          <w:p w14:paraId="21CE6E11" w14:textId="5D2BD618" w:rsidR="00E31487" w:rsidRPr="00E23CED" w:rsidRDefault="00E31487" w:rsidP="00E31487">
            <w:pPr>
              <w:pStyle w:val="Boxtext"/>
              <w:spacing w:after="240"/>
            </w:pPr>
            <w:r w:rsidRPr="00E23CED">
              <w:t>Nitrate (toxicity) and ammonia (toxicity) are nutrient toxicity attributes in appendix 2A to manage toxicity impacts on freshwater species. This means limits on resource use must be set (under clause 3.12) to achieve</w:t>
            </w:r>
            <w:r w:rsidR="00451A18" w:rsidRPr="00E23CED">
              <w:t xml:space="preserve"> the</w:t>
            </w:r>
            <w:r w:rsidRPr="00E23CED">
              <w:t xml:space="preserve"> </w:t>
            </w:r>
            <w:r w:rsidR="00A45A04" w:rsidRPr="00E23CED">
              <w:t>target attribute states (</w:t>
            </w:r>
            <w:r w:rsidRPr="00E23CED">
              <w:t>TASs</w:t>
            </w:r>
            <w:r w:rsidR="00A45A04" w:rsidRPr="00E23CED">
              <w:t>)</w:t>
            </w:r>
            <w:r w:rsidRPr="00E23CED">
              <w:t xml:space="preserve"> identified for them (under clause 3.11). However, the concentrations in appendix 2A, tables 5 and 6, and especially the bottom lines, are not intended to protect other and all aspects of ecosystem health. Other aspects of ecosystem health are addressed through ensuring other TAS are achieved, such as those for trophic state attributes and other attributes affected by nutrients. Instream concentrations and exceedance criteria set under clause 3.13 for nitrogen</w:t>
            </w:r>
            <w:r w:rsidR="001C0E43" w:rsidRPr="00E23CED">
              <w:t>,</w:t>
            </w:r>
            <w:r w:rsidRPr="00E23CED">
              <w:t xml:space="preserve"> to achieve TASs for trophic state attributes (eg, periphyton)</w:t>
            </w:r>
            <w:r w:rsidR="001C0E43" w:rsidRPr="00E23CED">
              <w:t>,</w:t>
            </w:r>
            <w:r w:rsidRPr="00E23CED">
              <w:t xml:space="preserve"> will always be lower than the bottom line TASs for nitrate (toxicity) and ammonia (toxicity). </w:t>
            </w:r>
          </w:p>
        </w:tc>
      </w:tr>
    </w:tbl>
    <w:p w14:paraId="3FDBDA1E" w14:textId="77777777" w:rsidR="006C1908" w:rsidRPr="00E23CED" w:rsidRDefault="006C1908" w:rsidP="00E31487">
      <w:pPr>
        <w:pStyle w:val="Heading4"/>
        <w:spacing w:before="480"/>
      </w:pPr>
      <w:r w:rsidRPr="00E23CED">
        <w:t xml:space="preserve">Attributes affected by </w:t>
      </w:r>
      <w:proofErr w:type="gramStart"/>
      <w:r w:rsidRPr="00E23CED">
        <w:t>nutrients</w:t>
      </w:r>
      <w:proofErr w:type="gramEnd"/>
      <w:r w:rsidRPr="00E23CED">
        <w:t xml:space="preserve"> </w:t>
      </w:r>
    </w:p>
    <w:p w14:paraId="704B7648" w14:textId="4CF8617F" w:rsidR="006C1908" w:rsidRPr="00E23CED" w:rsidRDefault="00096648" w:rsidP="00F44AE8">
      <w:pPr>
        <w:pStyle w:val="BodyText"/>
      </w:pPr>
      <w:r w:rsidRPr="00E23CED">
        <w:t>Clause</w:t>
      </w:r>
      <w:r w:rsidR="006C1908" w:rsidRPr="00E23CED">
        <w:t xml:space="preserve"> 3.13 applies to all attributes that could be affected by nutrients. Examples of nutrient-affected attributes are given in </w:t>
      </w:r>
      <w:r w:rsidR="00264532" w:rsidRPr="00E23CED">
        <w:t>c</w:t>
      </w:r>
      <w:r w:rsidRPr="00E23CED">
        <w:t>lause</w:t>
      </w:r>
      <w:r w:rsidR="006C1908" w:rsidRPr="00E23CED">
        <w:t xml:space="preserve"> 3.13(5):</w:t>
      </w:r>
    </w:p>
    <w:p w14:paraId="617E1831" w14:textId="3C3EDDF8" w:rsidR="006C1908" w:rsidRPr="00E23CED" w:rsidRDefault="006C1908" w:rsidP="00F44AE8">
      <w:pPr>
        <w:pStyle w:val="Bullet"/>
      </w:pPr>
      <w:r w:rsidRPr="00E23CED">
        <w:t>periphyton (</w:t>
      </w:r>
      <w:r w:rsidR="00264532" w:rsidRPr="00E23CED">
        <w:t>a</w:t>
      </w:r>
      <w:r w:rsidRPr="00E23CED">
        <w:t xml:space="preserve">ppendix 2A, </w:t>
      </w:r>
      <w:r w:rsidR="00264532" w:rsidRPr="00E23CED">
        <w:t>t</w:t>
      </w:r>
      <w:r w:rsidRPr="00E23CED">
        <w:t>able 2</w:t>
      </w:r>
      <w:r w:rsidR="00085492" w:rsidRPr="00E23CED">
        <w:t>, applicable to rivers</w:t>
      </w:r>
      <w:r w:rsidRPr="00E23CED">
        <w:t>)</w:t>
      </w:r>
    </w:p>
    <w:p w14:paraId="3D72F1CF" w14:textId="63A1554E" w:rsidR="006C1908" w:rsidRPr="00E23CED" w:rsidRDefault="006C1908" w:rsidP="00F44AE8">
      <w:pPr>
        <w:pStyle w:val="Bullet"/>
      </w:pPr>
      <w:r w:rsidRPr="00E23CED">
        <w:t>dissolved oxygen (</w:t>
      </w:r>
      <w:r w:rsidR="00264532" w:rsidRPr="00E23CED">
        <w:t>a</w:t>
      </w:r>
      <w:r w:rsidRPr="00E23CED">
        <w:t xml:space="preserve">ppendix 2A, </w:t>
      </w:r>
      <w:r w:rsidR="00264532" w:rsidRPr="00E23CED">
        <w:t>t</w:t>
      </w:r>
      <w:r w:rsidRPr="00E23CED">
        <w:t xml:space="preserve">able 7 and </w:t>
      </w:r>
      <w:r w:rsidR="00264532" w:rsidRPr="00E23CED">
        <w:t>a</w:t>
      </w:r>
      <w:r w:rsidRPr="00E23CED">
        <w:t>ppendix 2B</w:t>
      </w:r>
      <w:r w:rsidR="00085492" w:rsidRPr="00E23CED">
        <w:t>,</w:t>
      </w:r>
      <w:r w:rsidRPr="00E23CED">
        <w:t xml:space="preserve"> </w:t>
      </w:r>
      <w:r w:rsidR="00264532" w:rsidRPr="00E23CED">
        <w:t>t</w:t>
      </w:r>
      <w:r w:rsidRPr="00E23CED">
        <w:t>able 17,</w:t>
      </w:r>
      <w:r w:rsidR="00085492" w:rsidRPr="00E23CED">
        <w:t xml:space="preserve"> applicable to rivers and </w:t>
      </w:r>
      <w:r w:rsidR="00264532" w:rsidRPr="00E23CED">
        <w:t>a</w:t>
      </w:r>
      <w:r w:rsidR="00085492" w:rsidRPr="00E23CED">
        <w:t xml:space="preserve">ppendix 2B </w:t>
      </w:r>
      <w:r w:rsidR="00264532" w:rsidRPr="00E23CED">
        <w:t>t</w:t>
      </w:r>
      <w:r w:rsidR="00085492" w:rsidRPr="00E23CED">
        <w:t>ables,</w:t>
      </w:r>
      <w:r w:rsidRPr="00E23CED">
        <w:t xml:space="preserve"> 18 and 19</w:t>
      </w:r>
      <w:r w:rsidR="00C77EA3" w:rsidRPr="00E23CED">
        <w:t>, applicable to lakes</w:t>
      </w:r>
      <w:r w:rsidRPr="00E23CED">
        <w:t>)</w:t>
      </w:r>
    </w:p>
    <w:p w14:paraId="7DB35C26" w14:textId="38ED8603" w:rsidR="006C1908" w:rsidRPr="00E23CED" w:rsidRDefault="006C1908" w:rsidP="00F44AE8">
      <w:pPr>
        <w:pStyle w:val="Bullet"/>
      </w:pPr>
      <w:r w:rsidRPr="00E23CED">
        <w:t>submerged plants (invasive species) (</w:t>
      </w:r>
      <w:r w:rsidR="00264532" w:rsidRPr="00E23CED">
        <w:t>a</w:t>
      </w:r>
      <w:r w:rsidRPr="00E23CED">
        <w:t xml:space="preserve">ppendix 2B, </w:t>
      </w:r>
      <w:r w:rsidR="00264532" w:rsidRPr="00E23CED">
        <w:t>t</w:t>
      </w:r>
      <w:r w:rsidRPr="00E23CED">
        <w:t>able 12</w:t>
      </w:r>
      <w:r w:rsidR="00C77EA3" w:rsidRPr="00E23CED">
        <w:t>, applicable to lakes</w:t>
      </w:r>
      <w:r w:rsidRPr="00E23CED">
        <w:t>)</w:t>
      </w:r>
    </w:p>
    <w:p w14:paraId="64E328B8" w14:textId="6D553530" w:rsidR="006C1908" w:rsidRPr="00E23CED" w:rsidRDefault="006C1908" w:rsidP="00F44AE8">
      <w:pPr>
        <w:pStyle w:val="Bullet"/>
      </w:pPr>
      <w:r w:rsidRPr="00E23CED">
        <w:t>fish</w:t>
      </w:r>
      <w:r w:rsidR="00C77EA3" w:rsidRPr="00E23CED">
        <w:t xml:space="preserve"> (rivers)</w:t>
      </w:r>
      <w:r w:rsidRPr="00E23CED" w:rsidDel="00C77EA3">
        <w:t xml:space="preserve"> (</w:t>
      </w:r>
      <w:r w:rsidR="00264532" w:rsidRPr="00E23CED">
        <w:t>a</w:t>
      </w:r>
      <w:r w:rsidRPr="00E23CED">
        <w:t xml:space="preserve">ppendix 2B, </w:t>
      </w:r>
      <w:r w:rsidR="00264532" w:rsidRPr="00E23CED">
        <w:t>t</w:t>
      </w:r>
      <w:r w:rsidRPr="00E23CED">
        <w:t>able 13</w:t>
      </w:r>
      <w:r w:rsidR="00C77EA3" w:rsidRPr="00E23CED">
        <w:t xml:space="preserve">, applicable to </w:t>
      </w:r>
      <w:r w:rsidR="00F85CC9" w:rsidRPr="00E23CED">
        <w:t xml:space="preserve">wadeable </w:t>
      </w:r>
      <w:r w:rsidR="00C77EA3" w:rsidRPr="00E23CED">
        <w:t>rivers</w:t>
      </w:r>
      <w:r w:rsidRPr="00E23CED">
        <w:t>)</w:t>
      </w:r>
    </w:p>
    <w:p w14:paraId="799E120D" w14:textId="38817517" w:rsidR="006C1908" w:rsidRPr="00E23CED" w:rsidRDefault="006C1908" w:rsidP="00F44AE8">
      <w:pPr>
        <w:pStyle w:val="Bullet"/>
      </w:pPr>
      <w:r w:rsidRPr="00E23CED">
        <w:t>macroinvertebrates (</w:t>
      </w:r>
      <w:r w:rsidR="00264532" w:rsidRPr="00E23CED">
        <w:t>a</w:t>
      </w:r>
      <w:r w:rsidRPr="00E23CED">
        <w:t xml:space="preserve">ppendix 2B, </w:t>
      </w:r>
      <w:r w:rsidR="00264532" w:rsidRPr="00E23CED">
        <w:t>t</w:t>
      </w:r>
      <w:r w:rsidRPr="00E23CED">
        <w:t>ables 14 and 15</w:t>
      </w:r>
      <w:r w:rsidR="00C77EA3" w:rsidRPr="00E23CED">
        <w:t>, applicable to wadeable rivers</w:t>
      </w:r>
      <w:r w:rsidRPr="00E23CED">
        <w:t>)</w:t>
      </w:r>
    </w:p>
    <w:p w14:paraId="40277C8D" w14:textId="24DBF573" w:rsidR="006C1908" w:rsidRPr="00E23CED" w:rsidRDefault="006C1908" w:rsidP="00F44AE8">
      <w:pPr>
        <w:pStyle w:val="Bullet"/>
      </w:pPr>
      <w:r w:rsidRPr="00E23CED">
        <w:t>ecosystem metabolism (</w:t>
      </w:r>
      <w:r w:rsidR="00264532" w:rsidRPr="00E23CED">
        <w:t>a</w:t>
      </w:r>
      <w:r w:rsidRPr="00E23CED">
        <w:t xml:space="preserve">ppendix 2B, </w:t>
      </w:r>
      <w:r w:rsidR="00264532" w:rsidRPr="00E23CED">
        <w:t>t</w:t>
      </w:r>
      <w:r w:rsidRPr="00E23CED">
        <w:t>able 21</w:t>
      </w:r>
      <w:r w:rsidR="00C77EA3" w:rsidRPr="00E23CED">
        <w:t>, applicable to rivers</w:t>
      </w:r>
      <w:r w:rsidRPr="00E23CED">
        <w:t xml:space="preserve">). </w:t>
      </w:r>
    </w:p>
    <w:p w14:paraId="0A894A3F" w14:textId="52139730" w:rsidR="006C1908" w:rsidRPr="00E23CED" w:rsidRDefault="006C1908" w:rsidP="00F44AE8">
      <w:pPr>
        <w:pStyle w:val="BodyText"/>
      </w:pPr>
      <w:r w:rsidRPr="00E23CED">
        <w:t>Each attribute represents a component of</w:t>
      </w:r>
      <w:r w:rsidR="00A72E38" w:rsidRPr="00E23CED">
        <w:t xml:space="preserve"> either lake or river</w:t>
      </w:r>
      <w:r w:rsidRPr="00E23CED">
        <w:t xml:space="preserve"> ecosystem health</w:t>
      </w:r>
      <w:r w:rsidR="00B9683C" w:rsidRPr="00E23CED">
        <w:t>,</w:t>
      </w:r>
      <w:r w:rsidRPr="00E23CED">
        <w:t xml:space="preserve"> as listed in </w:t>
      </w:r>
      <w:r w:rsidR="00264532" w:rsidRPr="00E23CED">
        <w:t>a</w:t>
      </w:r>
      <w:r w:rsidRPr="00E23CED">
        <w:t>ppendix 1A of the NPS-FM (ie, water quality, aquatic life or ecosystem processes</w:t>
      </w:r>
      <w:r w:rsidR="00BC116A" w:rsidRPr="00E23CED">
        <w:t>)</w:t>
      </w:r>
      <w:r w:rsidRPr="00E23CED">
        <w:t xml:space="preserve">. </w:t>
      </w:r>
      <w:r w:rsidR="00650A8E" w:rsidRPr="00E23CED">
        <w:t>Each attribute is represented by an</w:t>
      </w:r>
      <w:r w:rsidRPr="00E23CED">
        <w:t xml:space="preserve"> ecosystem constituent </w:t>
      </w:r>
      <w:r w:rsidR="00650A8E" w:rsidRPr="00E23CED">
        <w:t>(</w:t>
      </w:r>
      <w:r w:rsidR="00564715" w:rsidRPr="00E23CED">
        <w:t>ie</w:t>
      </w:r>
      <w:r w:rsidR="00650A8E" w:rsidRPr="00E23CED">
        <w:t>, a biological assemblage or process that is part of a river</w:t>
      </w:r>
      <w:r w:rsidR="00A72E38" w:rsidRPr="00E23CED">
        <w:t xml:space="preserve"> or lake</w:t>
      </w:r>
      <w:r w:rsidR="00650A8E" w:rsidRPr="00E23CED">
        <w:t xml:space="preserve"> ecosystem, such as fish</w:t>
      </w:r>
      <w:r w:rsidR="009B759C" w:rsidRPr="00E23CED">
        <w:t>, macroinvertebrates, metabolism</w:t>
      </w:r>
      <w:r w:rsidR="00650A8E" w:rsidRPr="00E23CED">
        <w:t>)</w:t>
      </w:r>
      <w:r w:rsidRPr="00E23CED">
        <w:t xml:space="preserve">. Ultimately, all are </w:t>
      </w:r>
      <w:r w:rsidR="00BD585A" w:rsidRPr="00E23CED">
        <w:t xml:space="preserve">affected </w:t>
      </w:r>
      <w:r w:rsidRPr="00E23CED">
        <w:t xml:space="preserve">by nutrient enrichment either directly or indirectly. </w:t>
      </w:r>
    </w:p>
    <w:p w14:paraId="4FF216FF" w14:textId="64097C15" w:rsidR="006C1908" w:rsidRPr="00E23CED" w:rsidRDefault="006C1908" w:rsidP="006C1908">
      <w:pPr>
        <w:pStyle w:val="BodyText"/>
      </w:pPr>
      <w:r w:rsidRPr="00E23CED">
        <w:t xml:space="preserve">See </w:t>
      </w:r>
      <w:hyperlink w:anchor="_3.3__Deriving" w:history="1">
        <w:r w:rsidR="00214915" w:rsidRPr="00E23CED">
          <w:rPr>
            <w:rStyle w:val="Hyperlink"/>
          </w:rPr>
          <w:t>section 3.3 Deriving nutrient criteria for rivers</w:t>
        </w:r>
      </w:hyperlink>
      <w:r w:rsidR="00EE5F42" w:rsidRPr="00E23CED">
        <w:t xml:space="preserve">, </w:t>
      </w:r>
      <w:r w:rsidRPr="00E23CED">
        <w:t>for more information on these attributes.</w:t>
      </w:r>
    </w:p>
    <w:p w14:paraId="7B01089E" w14:textId="7F891F5F" w:rsidR="006C1908" w:rsidRPr="00E23CED" w:rsidRDefault="00F837F5" w:rsidP="006C1908">
      <w:pPr>
        <w:pStyle w:val="BodyText"/>
        <w:rPr>
          <w:rFonts w:eastAsia="Calibri" w:cs="Calibri"/>
        </w:rPr>
      </w:pPr>
      <w:r w:rsidRPr="00E23CED">
        <w:rPr>
          <w:rFonts w:eastAsia="Calibri" w:cs="Calibri"/>
        </w:rPr>
        <w:t>Relative to earlier versions,</w:t>
      </w:r>
      <w:r w:rsidR="006C1908" w:rsidRPr="00E23CED">
        <w:rPr>
          <w:rFonts w:eastAsia="Calibri" w:cs="Calibri"/>
        </w:rPr>
        <w:t xml:space="preserve"> the </w:t>
      </w:r>
      <w:r w:rsidR="00A72E38" w:rsidRPr="00E23CED">
        <w:rPr>
          <w:rFonts w:eastAsia="Calibri" w:cs="Calibri"/>
        </w:rPr>
        <w:t>Feb</w:t>
      </w:r>
      <w:r w:rsidR="00451D8F" w:rsidRPr="00E23CED">
        <w:rPr>
          <w:rFonts w:eastAsia="Calibri" w:cs="Calibri"/>
        </w:rPr>
        <w:t>ruary</w:t>
      </w:r>
      <w:r w:rsidR="00A72E38" w:rsidRPr="00E23CED">
        <w:rPr>
          <w:rFonts w:eastAsia="Calibri" w:cs="Calibri"/>
        </w:rPr>
        <w:t xml:space="preserve"> 2023</w:t>
      </w:r>
      <w:r w:rsidR="006C1908" w:rsidRPr="00E23CED">
        <w:rPr>
          <w:rFonts w:eastAsia="Calibri" w:cs="Calibri"/>
        </w:rPr>
        <w:t xml:space="preserve"> </w:t>
      </w:r>
      <w:r w:rsidR="001B24D3" w:rsidRPr="00E23CED">
        <w:rPr>
          <w:rFonts w:eastAsia="Calibri" w:cs="Calibri"/>
        </w:rPr>
        <w:t xml:space="preserve">version of </w:t>
      </w:r>
      <w:r w:rsidR="00451D8F" w:rsidRPr="00E23CED">
        <w:rPr>
          <w:rFonts w:eastAsia="Calibri" w:cs="Calibri"/>
        </w:rPr>
        <w:t>c</w:t>
      </w:r>
      <w:r w:rsidR="00096648" w:rsidRPr="00E23CED">
        <w:rPr>
          <w:rFonts w:eastAsia="Calibri" w:cs="Calibri"/>
        </w:rPr>
        <w:t>lause</w:t>
      </w:r>
      <w:r w:rsidR="006C1908" w:rsidRPr="00E23CED">
        <w:rPr>
          <w:rFonts w:eastAsia="Calibri" w:cs="Calibri"/>
        </w:rPr>
        <w:t xml:space="preserve"> 3.13 </w:t>
      </w:r>
      <w:r w:rsidR="000306DD" w:rsidRPr="00E23CED">
        <w:rPr>
          <w:rFonts w:eastAsia="Calibri" w:cs="Calibri"/>
        </w:rPr>
        <w:t>has an</w:t>
      </w:r>
      <w:r w:rsidR="006C1908" w:rsidRPr="00E23CED">
        <w:rPr>
          <w:rFonts w:eastAsia="Calibri" w:cs="Calibri"/>
        </w:rPr>
        <w:t xml:space="preserve"> </w:t>
      </w:r>
      <w:r w:rsidR="00334B69" w:rsidRPr="00E23CED">
        <w:rPr>
          <w:rFonts w:eastAsia="Calibri" w:cs="Calibri"/>
        </w:rPr>
        <w:t>expanded</w:t>
      </w:r>
      <w:r w:rsidR="006C1908" w:rsidRPr="00E23CED">
        <w:rPr>
          <w:rFonts w:eastAsia="Calibri" w:cs="Calibri"/>
        </w:rPr>
        <w:t xml:space="preserve"> </w:t>
      </w:r>
      <w:r w:rsidR="00A831FB" w:rsidRPr="00E23CED">
        <w:rPr>
          <w:rFonts w:eastAsia="Calibri" w:cs="Calibri"/>
        </w:rPr>
        <w:t xml:space="preserve">and clearer </w:t>
      </w:r>
      <w:r w:rsidR="006C1908" w:rsidRPr="00E23CED">
        <w:rPr>
          <w:rFonts w:eastAsia="Calibri" w:cs="Calibri"/>
        </w:rPr>
        <w:t>emphasis on</w:t>
      </w:r>
      <w:r w:rsidR="00477961" w:rsidRPr="00E23CED">
        <w:rPr>
          <w:rFonts w:eastAsia="Calibri" w:cs="Calibri"/>
        </w:rPr>
        <w:t xml:space="preserve"> other </w:t>
      </w:r>
      <w:r w:rsidR="00477961" w:rsidRPr="00E23CED" w:rsidDel="0007156D">
        <w:rPr>
          <w:rFonts w:eastAsia="Calibri" w:cs="Calibri"/>
        </w:rPr>
        <w:t>attributes</w:t>
      </w:r>
      <w:r w:rsidR="00D64207" w:rsidRPr="00E23CED">
        <w:rPr>
          <w:rFonts w:eastAsia="Calibri" w:cs="Calibri"/>
        </w:rPr>
        <w:t>,</w:t>
      </w:r>
      <w:r w:rsidR="00477961" w:rsidRPr="00E23CED">
        <w:rPr>
          <w:rFonts w:eastAsia="Calibri" w:cs="Calibri"/>
        </w:rPr>
        <w:t xml:space="preserve"> </w:t>
      </w:r>
      <w:r w:rsidR="00451D8F" w:rsidRPr="00E23CED">
        <w:rPr>
          <w:rFonts w:eastAsia="Calibri" w:cs="Calibri"/>
        </w:rPr>
        <w:t xml:space="preserve">as well as </w:t>
      </w:r>
      <w:r w:rsidR="006C1908" w:rsidRPr="00E23CED">
        <w:rPr>
          <w:rFonts w:eastAsia="Calibri" w:cs="Calibri"/>
        </w:rPr>
        <w:t>periphyton</w:t>
      </w:r>
      <w:r w:rsidR="00D64207" w:rsidRPr="00E23CED">
        <w:rPr>
          <w:rFonts w:eastAsia="Calibri" w:cs="Calibri"/>
        </w:rPr>
        <w:t>,</w:t>
      </w:r>
      <w:r w:rsidR="00DD23B1" w:rsidRPr="00E23CED">
        <w:rPr>
          <w:rFonts w:eastAsia="Calibri" w:cs="Calibri"/>
        </w:rPr>
        <w:t xml:space="preserve"> to </w:t>
      </w:r>
      <w:r w:rsidR="00080874" w:rsidRPr="00E23CED">
        <w:rPr>
          <w:rFonts w:eastAsia="Calibri" w:cs="Calibri"/>
        </w:rPr>
        <w:t>manage</w:t>
      </w:r>
      <w:r w:rsidR="00DD23B1" w:rsidRPr="00E23CED">
        <w:rPr>
          <w:rFonts w:eastAsia="Calibri" w:cs="Calibri"/>
        </w:rPr>
        <w:t xml:space="preserve"> the effects</w:t>
      </w:r>
      <w:r w:rsidR="0007156D" w:rsidRPr="00E23CED">
        <w:rPr>
          <w:rFonts w:eastAsia="Calibri" w:cs="Calibri"/>
        </w:rPr>
        <w:t xml:space="preserve"> of </w:t>
      </w:r>
      <w:r w:rsidR="007D6841" w:rsidRPr="00E23CED">
        <w:rPr>
          <w:rFonts w:eastAsia="Calibri" w:cs="Calibri"/>
        </w:rPr>
        <w:t>elevated nutrients</w:t>
      </w:r>
      <w:r w:rsidR="00DD23B1" w:rsidRPr="00E23CED">
        <w:rPr>
          <w:rFonts w:eastAsia="Calibri" w:cs="Calibri"/>
        </w:rPr>
        <w:t xml:space="preserve"> on </w:t>
      </w:r>
      <w:r w:rsidR="00976EAB" w:rsidRPr="00E23CED">
        <w:rPr>
          <w:rFonts w:eastAsia="Calibri" w:cs="Calibri"/>
        </w:rPr>
        <w:t>freshwater systems and downstream receiving environments</w:t>
      </w:r>
      <w:r w:rsidR="006C1908" w:rsidRPr="00E23CED">
        <w:rPr>
          <w:rFonts w:eastAsia="Calibri" w:cs="Calibri"/>
        </w:rPr>
        <w:t>. In setting the nutrient criteria for a water body, regional councils should identify</w:t>
      </w:r>
      <w:r w:rsidR="00CC5EC3" w:rsidRPr="00E23CED">
        <w:rPr>
          <w:rFonts w:eastAsia="Calibri" w:cs="Calibri"/>
        </w:rPr>
        <w:t xml:space="preserve"> criteria</w:t>
      </w:r>
      <w:r w:rsidR="00177609" w:rsidRPr="00E23CED">
        <w:rPr>
          <w:rFonts w:eastAsia="Calibri" w:cs="Calibri"/>
        </w:rPr>
        <w:t xml:space="preserve"> that</w:t>
      </w:r>
      <w:r w:rsidR="00565168" w:rsidRPr="00E23CED">
        <w:rPr>
          <w:rFonts w:eastAsia="Calibri" w:cs="Calibri"/>
        </w:rPr>
        <w:t xml:space="preserve"> achieve</w:t>
      </w:r>
      <w:r w:rsidR="00DD23B1" w:rsidRPr="00E23CED">
        <w:rPr>
          <w:rFonts w:eastAsia="Calibri" w:cs="Calibri"/>
        </w:rPr>
        <w:t xml:space="preserve"> the</w:t>
      </w:r>
      <w:r w:rsidR="00565168" w:rsidRPr="00E23CED">
        <w:rPr>
          <w:rFonts w:eastAsia="Calibri" w:cs="Calibri"/>
        </w:rPr>
        <w:t xml:space="preserve"> TAS</w:t>
      </w:r>
      <w:r w:rsidR="002D5560" w:rsidRPr="00E23CED">
        <w:rPr>
          <w:rFonts w:eastAsia="Calibri" w:cs="Calibri"/>
        </w:rPr>
        <w:t> </w:t>
      </w:r>
      <w:r w:rsidR="00565168" w:rsidRPr="00E23CED">
        <w:rPr>
          <w:rFonts w:eastAsia="Calibri" w:cs="Calibri"/>
        </w:rPr>
        <w:t xml:space="preserve">for </w:t>
      </w:r>
      <w:r w:rsidR="006C1908" w:rsidRPr="00E23CED">
        <w:rPr>
          <w:rFonts w:eastAsia="Calibri" w:cs="Calibri"/>
        </w:rPr>
        <w:t xml:space="preserve">the attribute that is most sensitive to the effects of nutrient enrichment. </w:t>
      </w:r>
    </w:p>
    <w:p w14:paraId="71B4906E" w14:textId="57C27948" w:rsidR="006C1908" w:rsidRPr="00E23CED" w:rsidRDefault="006C1908" w:rsidP="006C1908">
      <w:pPr>
        <w:pStyle w:val="Heading4"/>
      </w:pPr>
      <w:r w:rsidRPr="00E23CED">
        <w:t>Attributes other than those listed in the NPS-FM</w:t>
      </w:r>
      <w:r w:rsidR="00DD23B1" w:rsidRPr="00E23CED">
        <w:t xml:space="preserve"> as being nutrient</w:t>
      </w:r>
      <w:r w:rsidR="00F44AE8" w:rsidRPr="00E23CED">
        <w:t> </w:t>
      </w:r>
      <w:proofErr w:type="gramStart"/>
      <w:r w:rsidR="00DD23B1" w:rsidRPr="00E23CED">
        <w:t>affected</w:t>
      </w:r>
      <w:proofErr w:type="gramEnd"/>
    </w:p>
    <w:p w14:paraId="6E217FDB" w14:textId="7F4ABC04" w:rsidR="001D3B2D" w:rsidRPr="00E23CED" w:rsidRDefault="00B9538D" w:rsidP="00F44AE8">
      <w:pPr>
        <w:pStyle w:val="BodyText"/>
        <w:rPr>
          <w:rFonts w:cstheme="minorHAnsi"/>
          <w:b/>
          <w:bCs/>
        </w:rPr>
      </w:pPr>
      <w:bookmarkStart w:id="24" w:name="_Hlk131524846"/>
      <w:r w:rsidRPr="00E23CED">
        <w:t xml:space="preserve">Regional councils and communities </w:t>
      </w:r>
      <w:r w:rsidR="009B759C" w:rsidRPr="00E23CED">
        <w:t>may identify</w:t>
      </w:r>
      <w:r w:rsidR="006C1908" w:rsidRPr="00E23CED">
        <w:t xml:space="preserve"> attributes other than those listed in the NPS</w:t>
      </w:r>
      <w:r w:rsidR="00F44AE8" w:rsidRPr="00E23CED">
        <w:noBreakHyphen/>
      </w:r>
      <w:r w:rsidR="006C1908" w:rsidRPr="00E23CED">
        <w:t>FM</w:t>
      </w:r>
      <w:r w:rsidR="0007156D" w:rsidRPr="00E23CED">
        <w:t xml:space="preserve"> (</w:t>
      </w:r>
      <w:r w:rsidR="00451D8F" w:rsidRPr="00E23CED">
        <w:t>c</w:t>
      </w:r>
      <w:r w:rsidR="00096648" w:rsidRPr="00E23CED">
        <w:t>lause</w:t>
      </w:r>
      <w:r w:rsidR="0007156D" w:rsidRPr="00E23CED">
        <w:t xml:space="preserve"> 3.13(5))</w:t>
      </w:r>
      <w:r w:rsidR="006C1908" w:rsidRPr="00E23CED">
        <w:t xml:space="preserve"> </w:t>
      </w:r>
      <w:r w:rsidRPr="00E23CED">
        <w:t>as attributes affected by nutrients and may adopt nutrient criteria to manage them</w:t>
      </w:r>
      <w:r w:rsidR="006C1908" w:rsidRPr="00E23CED">
        <w:t xml:space="preserve">. </w:t>
      </w:r>
      <w:bookmarkEnd w:id="24"/>
      <w:r w:rsidR="006C1908" w:rsidRPr="00E23CED">
        <w:t xml:space="preserve">An example </w:t>
      </w:r>
      <w:r w:rsidR="00E0002E" w:rsidRPr="00E23CED">
        <w:t>could be</w:t>
      </w:r>
      <w:r w:rsidR="006C1908" w:rsidRPr="00E23CED">
        <w:t xml:space="preserve"> the coverage of stream beds by macrophytes. Similarly, other compulsory values</w:t>
      </w:r>
      <w:r w:rsidR="0007156D" w:rsidRPr="00E23CED">
        <w:t xml:space="preserve"> linked to ecosystem health outcomes</w:t>
      </w:r>
      <w:r w:rsidR="006C1908" w:rsidRPr="00E23CED">
        <w:t xml:space="preserve"> may also be affected by nutrient</w:t>
      </w:r>
      <w:r w:rsidR="0007156D" w:rsidRPr="00E23CED">
        <w:t xml:space="preserve"> management</w:t>
      </w:r>
      <w:r w:rsidR="00DC7D59" w:rsidRPr="00E23CED">
        <w:t>,</w:t>
      </w:r>
      <w:r w:rsidR="006C1908" w:rsidRPr="00E23CED">
        <w:t xml:space="preserve"> such as</w:t>
      </w:r>
      <w:r w:rsidR="0007156D" w:rsidRPr="00E23CED">
        <w:t xml:space="preserve"> </w:t>
      </w:r>
      <w:r w:rsidR="006C1908" w:rsidRPr="00E23CED">
        <w:t>mahinga kai</w:t>
      </w:r>
      <w:r w:rsidR="00DF1A8F" w:rsidRPr="00E23CED">
        <w:t xml:space="preserve"> and</w:t>
      </w:r>
      <w:r w:rsidR="006C1908" w:rsidRPr="00E23CED" w:rsidDel="0007156D">
        <w:t xml:space="preserve"> </w:t>
      </w:r>
      <w:r w:rsidR="00D97C61" w:rsidRPr="00E23CED">
        <w:t>t</w:t>
      </w:r>
      <w:r w:rsidR="006C1908" w:rsidRPr="00E23CED">
        <w:t xml:space="preserve">raditional gathering of freshwater species. </w:t>
      </w:r>
    </w:p>
    <w:p w14:paraId="642F784B" w14:textId="3181D87A" w:rsidR="00EF051F" w:rsidRPr="00E23CED" w:rsidRDefault="00EF051F" w:rsidP="002A2173">
      <w:pPr>
        <w:pStyle w:val="Heading3"/>
        <w:tabs>
          <w:tab w:val="clear" w:pos="851"/>
          <w:tab w:val="left" w:pos="964"/>
        </w:tabs>
      </w:pPr>
      <w:bookmarkStart w:id="25" w:name="_2.1.2__Nitrogen"/>
      <w:bookmarkStart w:id="26" w:name="_Ref140421971"/>
      <w:bookmarkStart w:id="27" w:name="_Ref140427346"/>
      <w:bookmarkEnd w:id="25"/>
      <w:r w:rsidRPr="00E23CED">
        <w:lastRenderedPageBreak/>
        <w:t>2.1.2</w:t>
      </w:r>
      <w:r w:rsidR="00F37A09" w:rsidRPr="00E23CED">
        <w:t xml:space="preserve"> </w:t>
      </w:r>
      <w:r w:rsidR="002A2173" w:rsidRPr="00E23CED">
        <w:tab/>
      </w:r>
      <w:r w:rsidRPr="00E23CED">
        <w:t>Nitrogen and phosphorus</w:t>
      </w:r>
      <w:bookmarkEnd w:id="26"/>
      <w:bookmarkEnd w:id="27"/>
    </w:p>
    <w:p w14:paraId="12881836" w14:textId="119323D4" w:rsidR="00F8086F" w:rsidRPr="00E23CED" w:rsidRDefault="00F8086F" w:rsidP="00F44AE8">
      <w:pPr>
        <w:pStyle w:val="Heading4"/>
        <w:spacing w:before="240"/>
      </w:pPr>
      <w:r w:rsidRPr="00E23CED">
        <w:t>Nitrogen and phosph</w:t>
      </w:r>
      <w:r w:rsidR="00CE4AD0" w:rsidRPr="00E23CED">
        <w:t>o</w:t>
      </w:r>
      <w:r w:rsidRPr="00E23CED">
        <w:t>rus in freshwaters</w:t>
      </w:r>
    </w:p>
    <w:p w14:paraId="3AD9A756" w14:textId="2D698213" w:rsidR="00B64EAE" w:rsidRPr="00E23CED" w:rsidRDefault="001D3B2D" w:rsidP="00F44AE8">
      <w:pPr>
        <w:pStyle w:val="BodyText"/>
      </w:pPr>
      <w:r w:rsidRPr="00E23CED">
        <w:rPr>
          <w:spacing w:val="-2"/>
        </w:rPr>
        <w:t>N</w:t>
      </w:r>
      <w:r w:rsidR="001C7B98" w:rsidRPr="00E23CED">
        <w:rPr>
          <w:spacing w:val="-2"/>
        </w:rPr>
        <w:t xml:space="preserve">itrogen </w:t>
      </w:r>
      <w:r w:rsidR="003F0390" w:rsidRPr="00E23CED">
        <w:rPr>
          <w:spacing w:val="-2"/>
        </w:rPr>
        <w:t xml:space="preserve">(N) and </w:t>
      </w:r>
      <w:r w:rsidR="001B4459" w:rsidRPr="00E23CED">
        <w:rPr>
          <w:spacing w:val="-2"/>
        </w:rPr>
        <w:t xml:space="preserve">phosphorus </w:t>
      </w:r>
      <w:r w:rsidR="003F0390" w:rsidRPr="00E23CED">
        <w:rPr>
          <w:spacing w:val="-2"/>
        </w:rPr>
        <w:t xml:space="preserve">(P) are </w:t>
      </w:r>
      <w:r w:rsidR="001C7B98" w:rsidRPr="00E23CED">
        <w:rPr>
          <w:spacing w:val="-2"/>
        </w:rPr>
        <w:t>the foc</w:t>
      </w:r>
      <w:r w:rsidR="00475873" w:rsidRPr="00E23CED">
        <w:rPr>
          <w:spacing w:val="-2"/>
        </w:rPr>
        <w:t xml:space="preserve">us </w:t>
      </w:r>
      <w:r w:rsidR="001C7B98" w:rsidRPr="00E23CED">
        <w:rPr>
          <w:spacing w:val="-2"/>
        </w:rPr>
        <w:t xml:space="preserve">of </w:t>
      </w:r>
      <w:r w:rsidR="00451D8F" w:rsidRPr="00E23CED">
        <w:rPr>
          <w:spacing w:val="-2"/>
        </w:rPr>
        <w:t>c</w:t>
      </w:r>
      <w:r w:rsidR="00096648" w:rsidRPr="00E23CED">
        <w:rPr>
          <w:spacing w:val="-2"/>
        </w:rPr>
        <w:t>lause</w:t>
      </w:r>
      <w:r w:rsidR="001C7B98" w:rsidRPr="00E23CED">
        <w:rPr>
          <w:spacing w:val="-2"/>
        </w:rPr>
        <w:t xml:space="preserve"> 3.13 because </w:t>
      </w:r>
      <w:r w:rsidR="00935459" w:rsidRPr="00E23CED">
        <w:rPr>
          <w:spacing w:val="-2"/>
        </w:rPr>
        <w:t>they</w:t>
      </w:r>
      <w:r w:rsidR="001C7B98" w:rsidRPr="00E23CED">
        <w:rPr>
          <w:spacing w:val="-2"/>
        </w:rPr>
        <w:t xml:space="preserve"> are essential nutrients </w:t>
      </w:r>
      <w:r w:rsidR="003F0390" w:rsidRPr="00E23CED">
        <w:rPr>
          <w:spacing w:val="-2"/>
        </w:rPr>
        <w:t xml:space="preserve">for </w:t>
      </w:r>
      <w:r w:rsidR="00784F5D" w:rsidRPr="00E23CED">
        <w:rPr>
          <w:spacing w:val="-2"/>
        </w:rPr>
        <w:t>both primary (</w:t>
      </w:r>
      <w:r w:rsidR="00416FA9" w:rsidRPr="00E23CED">
        <w:rPr>
          <w:spacing w:val="-2"/>
        </w:rPr>
        <w:t>eg</w:t>
      </w:r>
      <w:r w:rsidR="00784F5D" w:rsidRPr="00E23CED">
        <w:rPr>
          <w:spacing w:val="-2"/>
        </w:rPr>
        <w:t>, phytoplankton, periphyton) and secondary (eg, macroinvertebrates</w:t>
      </w:r>
      <w:r w:rsidR="00784F5D" w:rsidRPr="00E23CED">
        <w:t>, fish) production in fresh waters</w:t>
      </w:r>
      <w:r w:rsidR="001B4459" w:rsidRPr="00E23CED">
        <w:t>. Natural (ie</w:t>
      </w:r>
      <w:r w:rsidR="00F23BE4" w:rsidRPr="00E23CED">
        <w:t>,</w:t>
      </w:r>
      <w:r w:rsidR="001B4459" w:rsidRPr="00E23CED">
        <w:t xml:space="preserve"> reference</w:t>
      </w:r>
      <w:r w:rsidR="00F23BE4" w:rsidRPr="00E23CED">
        <w:t>)</w:t>
      </w:r>
      <w:r w:rsidR="001B4459" w:rsidRPr="00E23CED">
        <w:t xml:space="preserve"> concentrations of N and P </w:t>
      </w:r>
      <w:r w:rsidR="00F23BE4" w:rsidRPr="00E23CED">
        <w:t xml:space="preserve">in </w:t>
      </w:r>
      <w:r w:rsidR="00784F5D" w:rsidRPr="00E23CED">
        <w:t>Aotearoa New</w:t>
      </w:r>
      <w:r w:rsidR="00F44AE8" w:rsidRPr="00E23CED">
        <w:t> </w:t>
      </w:r>
      <w:r w:rsidR="00784F5D" w:rsidRPr="00E23CED">
        <w:t xml:space="preserve">Zealand’s </w:t>
      </w:r>
      <w:r w:rsidR="00F23BE4" w:rsidRPr="00E23CED">
        <w:t xml:space="preserve">freshwaters </w:t>
      </w:r>
      <w:r w:rsidR="001B4459" w:rsidRPr="00E23CED">
        <w:t>vary across regions</w:t>
      </w:r>
      <w:r w:rsidR="00F23BE4" w:rsidRPr="00E23CED">
        <w:t xml:space="preserve"> depending on (among other things) </w:t>
      </w:r>
      <w:r w:rsidR="00784F5D" w:rsidRPr="00E23CED">
        <w:t xml:space="preserve">catchment </w:t>
      </w:r>
      <w:r w:rsidR="00F23BE4" w:rsidRPr="00E23CED">
        <w:t>climate, landcover and geology</w:t>
      </w:r>
      <w:r w:rsidR="001B4459" w:rsidRPr="00E23CED">
        <w:t xml:space="preserve"> </w:t>
      </w:r>
      <w:r w:rsidR="00F23BE4" w:rsidRPr="00E23CED">
        <w:t>(McDowell et al</w:t>
      </w:r>
      <w:r w:rsidR="00FE5650" w:rsidRPr="00E23CED">
        <w:t>,</w:t>
      </w:r>
      <w:r w:rsidR="00F23BE4" w:rsidRPr="00E23CED">
        <w:t xml:space="preserve"> 2013)</w:t>
      </w:r>
      <w:r w:rsidR="00784F5D" w:rsidRPr="00E23CED">
        <w:t xml:space="preserve">. </w:t>
      </w:r>
      <w:r w:rsidR="00C822B8" w:rsidRPr="00E23CED">
        <w:t>N</w:t>
      </w:r>
      <w:r w:rsidR="00784F5D" w:rsidRPr="00E23CED">
        <w:t>atural</w:t>
      </w:r>
      <w:r w:rsidR="00606242" w:rsidRPr="00E23CED">
        <w:t xml:space="preserve"> water</w:t>
      </w:r>
      <w:r w:rsidR="001D4CE7" w:rsidRPr="00E23CED">
        <w:t xml:space="preserve"> </w:t>
      </w:r>
      <w:r w:rsidR="00606242" w:rsidRPr="00E23CED">
        <w:t>body</w:t>
      </w:r>
      <w:r w:rsidR="00784F5D" w:rsidRPr="00E23CED">
        <w:t xml:space="preserve"> </w:t>
      </w:r>
      <w:r w:rsidR="00F23BE4" w:rsidRPr="00E23CED">
        <w:t xml:space="preserve">concentrations are usually low compared </w:t>
      </w:r>
      <w:r w:rsidR="00F90807" w:rsidRPr="00E23CED">
        <w:t xml:space="preserve">with </w:t>
      </w:r>
      <w:r w:rsidR="00F23BE4" w:rsidRPr="00E23CED">
        <w:t>those</w:t>
      </w:r>
      <w:r w:rsidR="00606242" w:rsidRPr="00E23CED">
        <w:t xml:space="preserve"> water</w:t>
      </w:r>
      <w:r w:rsidR="001D4CE7" w:rsidRPr="00E23CED">
        <w:t xml:space="preserve"> </w:t>
      </w:r>
      <w:r w:rsidR="00606242" w:rsidRPr="00E23CED">
        <w:t>bodies</w:t>
      </w:r>
      <w:r w:rsidR="00F23BE4" w:rsidRPr="00E23CED">
        <w:t xml:space="preserve"> associated with land-use intensification </w:t>
      </w:r>
      <w:r w:rsidR="002A75D1" w:rsidRPr="00E23CED">
        <w:t xml:space="preserve">over the past </w:t>
      </w:r>
      <w:r w:rsidR="00784F5D" w:rsidRPr="00E23CED">
        <w:t>two to three</w:t>
      </w:r>
      <w:r w:rsidR="002A75D1" w:rsidRPr="00E23CED">
        <w:t xml:space="preserve"> decades (Snelder et al</w:t>
      </w:r>
      <w:r w:rsidR="00BC3CF2" w:rsidRPr="00E23CED">
        <w:t>,</w:t>
      </w:r>
      <w:r w:rsidR="002A75D1" w:rsidRPr="00E23CED">
        <w:t xml:space="preserve"> 2018</w:t>
      </w:r>
      <w:r w:rsidR="00E96947" w:rsidRPr="00E23CED">
        <w:t>,</w:t>
      </w:r>
      <w:r w:rsidR="00BC3CF2" w:rsidRPr="00E23CED">
        <w:t xml:space="preserve"> </w:t>
      </w:r>
      <w:r w:rsidR="002A75D1" w:rsidRPr="00E23CED">
        <w:t>2022)</w:t>
      </w:r>
      <w:r w:rsidR="00091DBF" w:rsidRPr="00E23CED">
        <w:t xml:space="preserve">. </w:t>
      </w:r>
    </w:p>
    <w:p w14:paraId="571BFB6E" w14:textId="50BB41D9" w:rsidR="00EB6151" w:rsidRPr="00E23CED" w:rsidRDefault="00091DBF" w:rsidP="000B2375">
      <w:pPr>
        <w:pStyle w:val="BodyText"/>
      </w:pPr>
      <w:r w:rsidRPr="00E23CED">
        <w:t>Elevat</w:t>
      </w:r>
      <w:r w:rsidR="008F502A" w:rsidRPr="00E23CED">
        <w:t>ed</w:t>
      </w:r>
      <w:r w:rsidRPr="00E23CED">
        <w:t xml:space="preserve"> </w:t>
      </w:r>
      <w:r w:rsidR="00784F5D" w:rsidRPr="00E23CED">
        <w:t>N and P</w:t>
      </w:r>
      <w:r w:rsidR="00416FA9" w:rsidRPr="00E23CED">
        <w:t xml:space="preserve"> concentrations </w:t>
      </w:r>
      <w:r w:rsidR="00784F5D" w:rsidRPr="00E23CED">
        <w:t>in freshwater systems</w:t>
      </w:r>
      <w:r w:rsidR="00416FA9" w:rsidRPr="00E23CED">
        <w:t xml:space="preserve"> </w:t>
      </w:r>
      <w:r w:rsidR="00935459" w:rsidRPr="00E23CED">
        <w:t>typic</w:t>
      </w:r>
      <w:r w:rsidR="00784F5D" w:rsidRPr="00E23CED">
        <w:t>ally stimulate</w:t>
      </w:r>
      <w:r w:rsidR="00606242" w:rsidRPr="00E23CED">
        <w:t xml:space="preserve"> excess</w:t>
      </w:r>
      <w:r w:rsidR="00784F5D" w:rsidRPr="00E23CED">
        <w:t xml:space="preserve"> primary production</w:t>
      </w:r>
      <w:r w:rsidR="00416FA9" w:rsidRPr="00E23CED">
        <w:t xml:space="preserve">. Excessive primary production </w:t>
      </w:r>
      <w:r w:rsidR="00B64EAE" w:rsidRPr="00E23CED">
        <w:t xml:space="preserve">can, </w:t>
      </w:r>
      <w:r w:rsidR="00416FA9" w:rsidRPr="00E23CED">
        <w:t>in turn</w:t>
      </w:r>
      <w:r w:rsidR="00B64EAE" w:rsidRPr="00E23CED">
        <w:t>,</w:t>
      </w:r>
      <w:r w:rsidR="00784F5D" w:rsidRPr="00E23CED">
        <w:t xml:space="preserve"> </w:t>
      </w:r>
      <w:r w:rsidR="00416FA9" w:rsidRPr="00E23CED">
        <w:t xml:space="preserve">have consequences for </w:t>
      </w:r>
      <w:r w:rsidR="009B759C" w:rsidRPr="00E23CED">
        <w:t>the whole aquatic ecosystem</w:t>
      </w:r>
      <w:r w:rsidR="00416FA9" w:rsidRPr="00E23CED">
        <w:t xml:space="preserve">. </w:t>
      </w:r>
    </w:p>
    <w:p w14:paraId="70D11AF8" w14:textId="2DE49B6A" w:rsidR="00EB6151" w:rsidRPr="00E23CED" w:rsidRDefault="00416FA9" w:rsidP="00F44AE8">
      <w:pPr>
        <w:pStyle w:val="BodyText"/>
      </w:pPr>
      <w:r w:rsidRPr="00E23CED">
        <w:t xml:space="preserve">For example, </w:t>
      </w:r>
      <w:r w:rsidR="00B12896" w:rsidRPr="00E23CED">
        <w:t>under suitable growth conditions</w:t>
      </w:r>
      <w:r w:rsidR="003A5B52" w:rsidRPr="00E23CED">
        <w:t xml:space="preserve"> in rivers</w:t>
      </w:r>
      <w:r w:rsidR="00B12896" w:rsidRPr="00E23CED">
        <w:t xml:space="preserve"> (eg, when flows are low and stable and under high light and warm temperatures) excessive accumulation of plant biomass (periphyton or macrophytes) can </w:t>
      </w:r>
      <w:r w:rsidRPr="00E23CED">
        <w:t>alter</w:t>
      </w:r>
      <w:r w:rsidR="003F0390" w:rsidRPr="00E23CED">
        <w:t xml:space="preserve"> habitat conditions for macroinvertebrates and fish</w:t>
      </w:r>
      <w:r w:rsidR="00B64EAE" w:rsidRPr="00E23CED">
        <w:t xml:space="preserve">. </w:t>
      </w:r>
      <w:r w:rsidR="002419A9" w:rsidRPr="00E23CED">
        <w:t>I</w:t>
      </w:r>
      <w:r w:rsidR="00606242" w:rsidRPr="00E23CED">
        <w:t>ncreased primary production</w:t>
      </w:r>
      <w:r w:rsidR="00B64EAE" w:rsidRPr="00E23CED">
        <w:t xml:space="preserve"> </w:t>
      </w:r>
      <w:r w:rsidR="00B857FC" w:rsidRPr="00E23CED">
        <w:t>causes</w:t>
      </w:r>
      <w:r w:rsidR="00B64EAE" w:rsidRPr="00E23CED">
        <w:t xml:space="preserve"> </w:t>
      </w:r>
      <w:r w:rsidR="003F0390" w:rsidRPr="00E23CED">
        <w:t xml:space="preserve">changes </w:t>
      </w:r>
      <w:r w:rsidR="00935459" w:rsidRPr="00E23CED">
        <w:t xml:space="preserve">to diurnal </w:t>
      </w:r>
      <w:r w:rsidR="003F0390" w:rsidRPr="00E23CED">
        <w:t xml:space="preserve">dissolved oxygen </w:t>
      </w:r>
      <w:r w:rsidR="00935459" w:rsidRPr="00E23CED">
        <w:t>fluctuations</w:t>
      </w:r>
      <w:r w:rsidR="00EB6151" w:rsidRPr="00E23CED">
        <w:t>, which</w:t>
      </w:r>
      <w:r w:rsidR="00B64EAE" w:rsidRPr="00E23CED">
        <w:t xml:space="preserve"> </w:t>
      </w:r>
      <w:r w:rsidR="00935459" w:rsidRPr="00E23CED">
        <w:t xml:space="preserve">may </w:t>
      </w:r>
      <w:r w:rsidR="00A62746" w:rsidRPr="00E23CED">
        <w:t>lead to</w:t>
      </w:r>
      <w:r w:rsidR="00935459" w:rsidRPr="00E23CED">
        <w:t xml:space="preserve"> levels</w:t>
      </w:r>
      <w:r w:rsidR="00A62746" w:rsidRPr="00E23CED">
        <w:t xml:space="preserve"> low </w:t>
      </w:r>
      <w:r w:rsidR="00935459" w:rsidRPr="00E23CED">
        <w:t>enough to</w:t>
      </w:r>
      <w:r w:rsidR="00A62746" w:rsidRPr="00E23CED">
        <w:t xml:space="preserve"> </w:t>
      </w:r>
      <w:r w:rsidR="003202BA" w:rsidRPr="00E23CED">
        <w:t>impact</w:t>
      </w:r>
      <w:r w:rsidR="00B33C0D" w:rsidRPr="00E23CED">
        <w:t xml:space="preserve"> on</w:t>
      </w:r>
      <w:r w:rsidR="003202BA" w:rsidRPr="00E23CED">
        <w:t xml:space="preserve"> </w:t>
      </w:r>
      <w:r w:rsidR="00A62746" w:rsidRPr="00E23CED">
        <w:t>aquatic life.</w:t>
      </w:r>
      <w:r w:rsidR="003F0390" w:rsidRPr="00E23CED">
        <w:t xml:space="preserve"> </w:t>
      </w:r>
    </w:p>
    <w:p w14:paraId="788ED62B" w14:textId="4A502759" w:rsidR="001D57B8" w:rsidRPr="00E23CED" w:rsidRDefault="00372FB4" w:rsidP="00F44AE8">
      <w:pPr>
        <w:pStyle w:val="BodyText"/>
      </w:pPr>
      <w:r w:rsidRPr="00E23CED">
        <w:t>S</w:t>
      </w:r>
      <w:r w:rsidR="00BF08CB" w:rsidRPr="00E23CED">
        <w:t xml:space="preserve">ustained enrichment of rivers with nutrients can </w:t>
      </w:r>
      <w:r w:rsidRPr="00E23CED">
        <w:t>also</w:t>
      </w:r>
      <w:r w:rsidR="00BF08CB" w:rsidRPr="00E23CED">
        <w:t xml:space="preserve"> change the nutrient composition of periphyton</w:t>
      </w:r>
      <w:r w:rsidR="00B9683C" w:rsidRPr="00E23CED">
        <w:t>,</w:t>
      </w:r>
      <w:r w:rsidR="00BF08CB" w:rsidRPr="00E23CED">
        <w:t xml:space="preserve"> leading to reduced food quality for macroinvertebrates</w:t>
      </w:r>
      <w:r w:rsidR="00B34321" w:rsidRPr="00E23CED">
        <w:t xml:space="preserve">. </w:t>
      </w:r>
      <w:r w:rsidR="0053025B" w:rsidRPr="00E23CED">
        <w:t xml:space="preserve">It can also lead </w:t>
      </w:r>
      <w:r w:rsidR="00B34321" w:rsidRPr="00E23CED">
        <w:t>to changes in the species composition of periphyton that will affect habitat</w:t>
      </w:r>
      <w:r w:rsidR="0078778C" w:rsidRPr="00E23CED">
        <w:t>,</w:t>
      </w:r>
      <w:r w:rsidR="00B34321" w:rsidRPr="00E23CED">
        <w:t xml:space="preserve"> grazer food sources and the natural biodiversity of the river</w:t>
      </w:r>
      <w:r w:rsidR="00BF08CB" w:rsidRPr="00E23CED">
        <w:t xml:space="preserve">. Overall, </w:t>
      </w:r>
      <w:r w:rsidR="00EB6151" w:rsidRPr="00E23CED">
        <w:t>along</w:t>
      </w:r>
      <w:r w:rsidR="00A62746" w:rsidRPr="00E23CED">
        <w:t xml:space="preserve"> with</w:t>
      </w:r>
      <w:r w:rsidR="003F0390" w:rsidRPr="00E23CED">
        <w:t xml:space="preserve"> other impacts of</w:t>
      </w:r>
      <w:r w:rsidR="002A2173" w:rsidRPr="00E23CED">
        <w:t xml:space="preserve"> </w:t>
      </w:r>
      <w:r w:rsidR="003F0390" w:rsidRPr="00E23CED">
        <w:t xml:space="preserve">human activities </w:t>
      </w:r>
      <w:r w:rsidR="00BF08CB" w:rsidRPr="00E23CED">
        <w:t>(eg, fine sediment deposition, increasing temperature)</w:t>
      </w:r>
      <w:r w:rsidR="00C4022C" w:rsidRPr="00E23CED">
        <w:t>,</w:t>
      </w:r>
      <w:r w:rsidR="00BF08CB" w:rsidRPr="00E23CED">
        <w:t xml:space="preserve"> the effects of elevated N and P </w:t>
      </w:r>
      <w:r w:rsidR="003F0390" w:rsidRPr="00E23CED">
        <w:t>can reduce habitat quality and the capacity of</w:t>
      </w:r>
      <w:r w:rsidR="002A2173" w:rsidRPr="00E23CED">
        <w:t> </w:t>
      </w:r>
      <w:r w:rsidR="003F0390" w:rsidRPr="00E23CED">
        <w:t>the</w:t>
      </w:r>
      <w:r w:rsidR="002A2173" w:rsidRPr="00E23CED">
        <w:t> </w:t>
      </w:r>
      <w:r w:rsidR="003F0390" w:rsidRPr="00E23CED">
        <w:t>river to support aquatic life.</w:t>
      </w:r>
      <w:r w:rsidR="007443D2" w:rsidRPr="00E23CED">
        <w:t xml:space="preserve"> </w:t>
      </w:r>
    </w:p>
    <w:p w14:paraId="609DCCFB" w14:textId="402DF683" w:rsidR="00BD5ED8" w:rsidRPr="00E23CED" w:rsidRDefault="001B0DC3" w:rsidP="00F44AE8">
      <w:pPr>
        <w:pStyle w:val="BodyText"/>
      </w:pPr>
      <w:r w:rsidRPr="00E23CED">
        <w:t xml:space="preserve">Similarly, the habitat quality and </w:t>
      </w:r>
      <w:r w:rsidR="00406914" w:rsidRPr="00E23CED">
        <w:t>life</w:t>
      </w:r>
      <w:r w:rsidR="00FB03DC" w:rsidRPr="00E23CED">
        <w:t>-</w:t>
      </w:r>
      <w:r w:rsidR="00406914" w:rsidRPr="00E23CED">
        <w:t xml:space="preserve">supporting capacity of </w:t>
      </w:r>
      <w:r w:rsidR="007443D2" w:rsidRPr="00E23CED">
        <w:t xml:space="preserve">other receiving environments </w:t>
      </w:r>
      <w:r w:rsidR="00557632" w:rsidRPr="00E23CED">
        <w:t xml:space="preserve">including </w:t>
      </w:r>
      <w:r w:rsidR="001F0D41" w:rsidRPr="00E23CED">
        <w:t xml:space="preserve">groundwater, wetlands, </w:t>
      </w:r>
      <w:r w:rsidR="007443D2" w:rsidRPr="00E23CED">
        <w:t>lakes</w:t>
      </w:r>
      <w:r w:rsidR="001F0D41" w:rsidRPr="00E23CED">
        <w:t xml:space="preserve"> and</w:t>
      </w:r>
      <w:r w:rsidR="007443D2" w:rsidRPr="00E23CED">
        <w:t xml:space="preserve"> estuaries</w:t>
      </w:r>
      <w:r w:rsidR="00406914" w:rsidRPr="00E23CED">
        <w:t xml:space="preserve"> can be compromised by elevated nutrient levels</w:t>
      </w:r>
      <w:r w:rsidR="001F0D41" w:rsidRPr="00E23CED">
        <w:t>.</w:t>
      </w:r>
      <w:r w:rsidR="007443D2" w:rsidRPr="00E23CED">
        <w:t xml:space="preserve"> </w:t>
      </w:r>
    </w:p>
    <w:p w14:paraId="5F154D3B" w14:textId="440F3A28" w:rsidR="00EA766B" w:rsidRPr="00E23CED" w:rsidRDefault="00EA766B" w:rsidP="00F44AE8">
      <w:pPr>
        <w:pStyle w:val="Heading4"/>
      </w:pPr>
      <w:r w:rsidRPr="00E23CED">
        <w:t>Forms of nitrogen and phosphorus</w:t>
      </w:r>
    </w:p>
    <w:p w14:paraId="326D4437" w14:textId="0029D337" w:rsidR="001C7B98" w:rsidRPr="00E23CED" w:rsidRDefault="00096648" w:rsidP="00F44AE8">
      <w:pPr>
        <w:pStyle w:val="BodyText"/>
      </w:pPr>
      <w:r w:rsidRPr="00E23CED">
        <w:t>Clause</w:t>
      </w:r>
      <w:r w:rsidR="002B0F8F" w:rsidRPr="00E23CED">
        <w:t xml:space="preserve"> 3.13(3) states the regional council must determine the most appropriate form(s) of </w:t>
      </w:r>
      <w:r w:rsidR="00050082" w:rsidRPr="00E23CED">
        <w:t xml:space="preserve">N </w:t>
      </w:r>
      <w:r w:rsidR="002B0F8F" w:rsidRPr="00E23CED">
        <w:t xml:space="preserve">and </w:t>
      </w:r>
      <w:r w:rsidR="00050082" w:rsidRPr="00E23CED">
        <w:t xml:space="preserve">P </w:t>
      </w:r>
      <w:r w:rsidR="002B0F8F" w:rsidRPr="00E23CED">
        <w:t xml:space="preserve">to be managed for the receiving environment. </w:t>
      </w:r>
    </w:p>
    <w:p w14:paraId="50795E96" w14:textId="376894C6" w:rsidR="00451DCC" w:rsidRPr="00E23CED" w:rsidRDefault="00451DCC" w:rsidP="00F44AE8">
      <w:pPr>
        <w:pStyle w:val="BodyText"/>
      </w:pPr>
      <w:r w:rsidRPr="00E23CED">
        <w:t xml:space="preserve">Forms of </w:t>
      </w:r>
      <w:r w:rsidR="00050082" w:rsidRPr="00E23CED">
        <w:t xml:space="preserve">N </w:t>
      </w:r>
      <w:r w:rsidRPr="00E23CED">
        <w:t xml:space="preserve">and </w:t>
      </w:r>
      <w:r w:rsidR="00050082" w:rsidRPr="00E23CED">
        <w:t xml:space="preserve">P </w:t>
      </w:r>
      <w:r w:rsidRPr="00E23CED">
        <w:t>include:</w:t>
      </w:r>
    </w:p>
    <w:p w14:paraId="600CBF2E" w14:textId="734997A8" w:rsidR="00451DCC" w:rsidRPr="00E23CED" w:rsidRDefault="00451DCC" w:rsidP="00F44AE8">
      <w:pPr>
        <w:pStyle w:val="Bullet"/>
      </w:pPr>
      <w:r w:rsidRPr="00E23CED">
        <w:t>DIN</w:t>
      </w:r>
      <w:r w:rsidR="00FB03DC" w:rsidRPr="00E23CED">
        <w:t>,</w:t>
      </w:r>
      <w:r w:rsidRPr="00E23CED">
        <w:t xml:space="preserve"> measured as the sum of nitrite-nitrogen (NO</w:t>
      </w:r>
      <w:r w:rsidRPr="00E23CED">
        <w:rPr>
          <w:sz w:val="14"/>
          <w:szCs w:val="14"/>
        </w:rPr>
        <w:t>2</w:t>
      </w:r>
      <w:r w:rsidRPr="00E23CED">
        <w:t>-N), nitrate-nitrogen (NO</w:t>
      </w:r>
      <w:r w:rsidRPr="00E23CED">
        <w:rPr>
          <w:sz w:val="14"/>
          <w:szCs w:val="14"/>
        </w:rPr>
        <w:t>3</w:t>
      </w:r>
      <w:r w:rsidRPr="00E23CED">
        <w:t>-N) and ammoniacal nitrogen (NH</w:t>
      </w:r>
      <w:r w:rsidRPr="00E23CED">
        <w:rPr>
          <w:sz w:val="14"/>
          <w:szCs w:val="14"/>
        </w:rPr>
        <w:t>4</w:t>
      </w:r>
      <w:r w:rsidRPr="00E23CED">
        <w:t xml:space="preserve">-N). DIN is the most bioavailable form of nitrogen for plants and algae, including periphyton and aquatic </w:t>
      </w:r>
      <w:proofErr w:type="gramStart"/>
      <w:r w:rsidRPr="00E23CED">
        <w:t>plants</w:t>
      </w:r>
      <w:proofErr w:type="gramEnd"/>
    </w:p>
    <w:p w14:paraId="20295785" w14:textId="000264C4" w:rsidR="00451DCC" w:rsidRPr="00E23CED" w:rsidRDefault="002B03BE" w:rsidP="00F44AE8">
      <w:pPr>
        <w:pStyle w:val="Bullet"/>
      </w:pPr>
      <w:r w:rsidRPr="00E23CED">
        <w:t>TN</w:t>
      </w:r>
      <w:r w:rsidR="00FB03DC" w:rsidRPr="00E23CED">
        <w:t>,</w:t>
      </w:r>
      <w:r w:rsidRPr="00E23CED">
        <w:t xml:space="preserve"> measured as the sum of all types of </w:t>
      </w:r>
      <w:r w:rsidR="00947144" w:rsidRPr="00E23CED">
        <w:t xml:space="preserve">N </w:t>
      </w:r>
      <w:r w:rsidRPr="00E23CED">
        <w:t xml:space="preserve">found in a water sample, including DIN and the </w:t>
      </w:r>
      <w:r w:rsidR="00947144" w:rsidRPr="00E23CED">
        <w:t xml:space="preserve">N </w:t>
      </w:r>
      <w:r w:rsidRPr="00E23CED">
        <w:t xml:space="preserve">in organic substances like amino acids and plant tissues, and in suspended </w:t>
      </w:r>
      <w:r w:rsidR="00A36F37" w:rsidRPr="00E23CED">
        <w:t xml:space="preserve">small </w:t>
      </w:r>
      <w:r w:rsidRPr="00E23CED">
        <w:t>organisms (including algae)</w:t>
      </w:r>
    </w:p>
    <w:p w14:paraId="073E20A6" w14:textId="0EF75280" w:rsidR="00451DCC" w:rsidRPr="00E23CED" w:rsidRDefault="00947144" w:rsidP="00F44AE8">
      <w:pPr>
        <w:pStyle w:val="Bullet"/>
      </w:pPr>
      <w:r w:rsidRPr="00E23CED">
        <w:t>d</w:t>
      </w:r>
      <w:r w:rsidR="006E245E" w:rsidRPr="00E23CED">
        <w:t xml:space="preserve">issolved reactive phosphorus </w:t>
      </w:r>
      <w:r w:rsidR="00FB03DC" w:rsidRPr="00E23CED">
        <w:t>(</w:t>
      </w:r>
      <w:r w:rsidR="00451DCC" w:rsidRPr="00E23CED">
        <w:t>DRP</w:t>
      </w:r>
      <w:r w:rsidR="00FB03DC" w:rsidRPr="00E23CED">
        <w:t>)</w:t>
      </w:r>
      <w:r w:rsidR="00451DCC" w:rsidRPr="00E23CED">
        <w:t>, which comprises mainly the P in dissolved phosphate ions (PO</w:t>
      </w:r>
      <w:r w:rsidR="00451DCC" w:rsidRPr="00E23CED">
        <w:rPr>
          <w:sz w:val="14"/>
          <w:szCs w:val="14"/>
        </w:rPr>
        <w:t>4</w:t>
      </w:r>
      <w:r w:rsidR="00451DCC" w:rsidRPr="00E23CED">
        <w:rPr>
          <w:sz w:val="14"/>
          <w:szCs w:val="14"/>
          <w:vertAlign w:val="superscript"/>
        </w:rPr>
        <w:t>3–</w:t>
      </w:r>
      <w:r w:rsidR="00451DCC" w:rsidRPr="00E23CED">
        <w:t xml:space="preserve">). Most P initially enters rivers attached (adsorbed) to sediment runoff. While DRP in the water column is the most immediately bioavailable form of P, the P attached to sediment can be released within periphyton mats under certain </w:t>
      </w:r>
      <w:proofErr w:type="gramStart"/>
      <w:r w:rsidR="00451DCC" w:rsidRPr="00E23CED">
        <w:t>conditions</w:t>
      </w:r>
      <w:proofErr w:type="gramEnd"/>
    </w:p>
    <w:p w14:paraId="0EBE3125" w14:textId="76E06819" w:rsidR="00451DCC" w:rsidRPr="00E23CED" w:rsidRDefault="0008098D" w:rsidP="00F44AE8">
      <w:pPr>
        <w:pStyle w:val="Bullet"/>
      </w:pPr>
      <w:r w:rsidRPr="00E23CED">
        <w:lastRenderedPageBreak/>
        <w:t>t</w:t>
      </w:r>
      <w:r w:rsidR="00451DCC" w:rsidRPr="00E23CED">
        <w:t xml:space="preserve">otal dissolved phosphorus includes </w:t>
      </w:r>
      <w:proofErr w:type="gramStart"/>
      <w:r w:rsidR="00451DCC" w:rsidRPr="00E23CED">
        <w:t>DRP</w:t>
      </w:r>
      <w:proofErr w:type="gramEnd"/>
      <w:r w:rsidR="00451DCC" w:rsidRPr="00E23CED">
        <w:t xml:space="preserve"> and the P attached to small particles (that pass th</w:t>
      </w:r>
      <w:r w:rsidR="002B03BE" w:rsidRPr="00E23CED">
        <w:t>r</w:t>
      </w:r>
      <w:r w:rsidR="00451DCC" w:rsidRPr="00E23CED">
        <w:t>ough a 0.45 μm filter) in the water column</w:t>
      </w:r>
    </w:p>
    <w:p w14:paraId="62EC28BD" w14:textId="7AA8F675" w:rsidR="00451DCC" w:rsidRPr="00E23CED" w:rsidRDefault="00451DCC" w:rsidP="00F44AE8">
      <w:pPr>
        <w:pStyle w:val="Bullet"/>
        <w:rPr>
          <w:rFonts w:eastAsia="Calibri" w:cs="Calibri"/>
        </w:rPr>
      </w:pPr>
      <w:r w:rsidRPr="00E23CED">
        <w:t xml:space="preserve">TP is a measure of all forms of P present in a sample and includes the phosphate bound to sediment and the P incorporated into organic molecules (like fats and </w:t>
      </w:r>
      <w:r w:rsidR="0077103C" w:rsidRPr="00E23CED">
        <w:t>nucleic</w:t>
      </w:r>
      <w:r w:rsidRPr="00E23CED">
        <w:t xml:space="preserve"> acids)</w:t>
      </w:r>
      <w:r w:rsidR="002B03BE" w:rsidRPr="00E23CED">
        <w:t xml:space="preserve"> and small organisms</w:t>
      </w:r>
      <w:r w:rsidR="00F3221D" w:rsidRPr="00E23CED">
        <w:t xml:space="preserve"> (</w:t>
      </w:r>
      <w:r w:rsidR="00FF2910" w:rsidRPr="00E23CED">
        <w:t>eg</w:t>
      </w:r>
      <w:r w:rsidR="00FB03DC" w:rsidRPr="00E23CED">
        <w:t>,</w:t>
      </w:r>
      <w:r w:rsidR="00FF2910" w:rsidRPr="00E23CED">
        <w:t xml:space="preserve"> phytoplankton and zooplankton)</w:t>
      </w:r>
      <w:r w:rsidRPr="00E23CED">
        <w:t>, as well as DRP.</w:t>
      </w:r>
    </w:p>
    <w:p w14:paraId="1CF4598B" w14:textId="02EEE8EE" w:rsidR="00EA766B" w:rsidRPr="00E23CED" w:rsidRDefault="00A242A7" w:rsidP="00F44AE8">
      <w:pPr>
        <w:pStyle w:val="BodyText"/>
        <w:rPr>
          <w:b/>
          <w:bCs/>
        </w:rPr>
      </w:pPr>
      <w:r w:rsidRPr="00E23CED">
        <w:t xml:space="preserve">It is </w:t>
      </w:r>
      <w:r w:rsidR="00606242" w:rsidRPr="00E23CED">
        <w:t xml:space="preserve">possible </w:t>
      </w:r>
      <w:r w:rsidR="00836532" w:rsidRPr="00E23CED">
        <w:t xml:space="preserve">to set DIN and DRP </w:t>
      </w:r>
      <w:r w:rsidR="00622B2A" w:rsidRPr="00E23CED">
        <w:t>t</w:t>
      </w:r>
      <w:r w:rsidR="009839C6" w:rsidRPr="00E23CED">
        <w:t xml:space="preserve">arget </w:t>
      </w:r>
      <w:r w:rsidR="00622B2A" w:rsidRPr="00E23CED">
        <w:t>a</w:t>
      </w:r>
      <w:r w:rsidR="009839C6" w:rsidRPr="00E23CED">
        <w:t xml:space="preserve">ttribute </w:t>
      </w:r>
      <w:r w:rsidR="00622B2A" w:rsidRPr="00E23CED">
        <w:t>s</w:t>
      </w:r>
      <w:r w:rsidR="009839C6" w:rsidRPr="00E23CED">
        <w:t>tate</w:t>
      </w:r>
      <w:r w:rsidRPr="00E23CED">
        <w:t xml:space="preserve">s </w:t>
      </w:r>
      <w:r w:rsidR="00836532" w:rsidRPr="00E23CED">
        <w:t>for rivers</w:t>
      </w:r>
      <w:r w:rsidR="0046605D" w:rsidRPr="00E23CED">
        <w:t xml:space="preserve">, </w:t>
      </w:r>
      <w:r w:rsidR="00FB03DC" w:rsidRPr="00E23CED">
        <w:t xml:space="preserve">while </w:t>
      </w:r>
      <w:r w:rsidR="00EA766B" w:rsidRPr="00E23CED">
        <w:t xml:space="preserve">downstream receiving environments often require concentrations to be set </w:t>
      </w:r>
      <w:r w:rsidR="001F0635" w:rsidRPr="00E23CED">
        <w:t>as</w:t>
      </w:r>
      <w:r w:rsidR="00EA766B" w:rsidRPr="00E23CED">
        <w:t xml:space="preserve"> TN and TP. </w:t>
      </w:r>
      <w:r w:rsidR="00A36F37" w:rsidRPr="00E23CED">
        <w:rPr>
          <w:rFonts w:cs="Calibri"/>
        </w:rPr>
        <w:t>Interconversions between</w:t>
      </w:r>
      <w:r w:rsidR="00F9631A" w:rsidRPr="00E23CED">
        <w:rPr>
          <w:rFonts w:cs="Calibri"/>
        </w:rPr>
        <w:t xml:space="preserve"> the nutrient forms are straightforward </w:t>
      </w:r>
      <w:r w:rsidR="00AE0E16" w:rsidRPr="00E23CED">
        <w:rPr>
          <w:rFonts w:cs="Calibri"/>
        </w:rPr>
        <w:t xml:space="preserve">using regression relationships derived from regional or national water quality datasets. </w:t>
      </w:r>
      <w:r w:rsidR="00500E3A" w:rsidRPr="00E23CED">
        <w:rPr>
          <w:rFonts w:cs="Calibri"/>
        </w:rPr>
        <w:t>Worked examples</w:t>
      </w:r>
      <w:r w:rsidR="005E19A8" w:rsidRPr="00E23CED">
        <w:rPr>
          <w:rFonts w:cs="Calibri"/>
        </w:rPr>
        <w:t xml:space="preserve"> of interconversions</w:t>
      </w:r>
      <w:r w:rsidR="00500E3A" w:rsidRPr="00E23CED">
        <w:rPr>
          <w:rFonts w:cs="Calibri"/>
        </w:rPr>
        <w:t xml:space="preserve"> </w:t>
      </w:r>
      <w:r w:rsidR="00AB1CCB" w:rsidRPr="00E23CED">
        <w:rPr>
          <w:rFonts w:cs="Calibri"/>
        </w:rPr>
        <w:t>are</w:t>
      </w:r>
      <w:r w:rsidR="00836532" w:rsidRPr="00E23CED">
        <w:rPr>
          <w:rFonts w:cs="Calibri"/>
        </w:rPr>
        <w:t xml:space="preserve"> </w:t>
      </w:r>
      <w:r w:rsidR="00500E3A" w:rsidRPr="00E23CED">
        <w:rPr>
          <w:rFonts w:cs="Calibri"/>
        </w:rPr>
        <w:t>provided in</w:t>
      </w:r>
      <w:r w:rsidR="003B0F34" w:rsidRPr="00E23CED">
        <w:rPr>
          <w:rFonts w:cs="Calibri"/>
        </w:rPr>
        <w:t xml:space="preserve"> the previous version of this guidance</w:t>
      </w:r>
      <w:r w:rsidR="00FB03DC" w:rsidRPr="00E23CED">
        <w:rPr>
          <w:rFonts w:cs="Calibri"/>
        </w:rPr>
        <w:t xml:space="preserve"> </w:t>
      </w:r>
      <w:hyperlink r:id="rId50" w:history="1">
        <w:r w:rsidR="00FB03DC" w:rsidRPr="00E23CED">
          <w:rPr>
            <w:rStyle w:val="Hyperlink"/>
            <w:rFonts w:cstheme="minorHAnsi"/>
            <w:i/>
          </w:rPr>
          <w:t>Setting instream nutrient concentration thresholds for nutrient-affected attributes in rivers: Guidance on implementing clause 3.13 of the NPS-FM</w:t>
        </w:r>
      </w:hyperlink>
      <w:r w:rsidR="00FB03DC" w:rsidRPr="00E23CED">
        <w:rPr>
          <w:rFonts w:cstheme="minorHAnsi"/>
          <w:iCs/>
        </w:rPr>
        <w:t xml:space="preserve"> (Ministry for the Environment, 2022b)</w:t>
      </w:r>
      <w:r w:rsidR="00500E3A" w:rsidRPr="00E23CED">
        <w:rPr>
          <w:rFonts w:cs="Calibri"/>
        </w:rPr>
        <w:t>.</w:t>
      </w:r>
      <w:r w:rsidR="00A36F37" w:rsidRPr="00E23CED">
        <w:rPr>
          <w:rFonts w:cs="Calibri"/>
        </w:rPr>
        <w:t xml:space="preserve"> </w:t>
      </w:r>
    </w:p>
    <w:p w14:paraId="3D1C3250" w14:textId="5D5A82B5" w:rsidR="006A631E" w:rsidRPr="00E23CED" w:rsidRDefault="00580A69" w:rsidP="00887CAA">
      <w:pPr>
        <w:pStyle w:val="Heading3"/>
        <w:tabs>
          <w:tab w:val="clear" w:pos="851"/>
          <w:tab w:val="left" w:pos="964"/>
        </w:tabs>
        <w:spacing w:before="320"/>
      </w:pPr>
      <w:bookmarkStart w:id="28" w:name="_2.1.1._Terminology_used"/>
      <w:bookmarkEnd w:id="28"/>
      <w:r w:rsidRPr="00E23CED">
        <w:t>2.1.</w:t>
      </w:r>
      <w:r w:rsidR="00EF051F" w:rsidRPr="00E23CED">
        <w:t>3</w:t>
      </w:r>
      <w:r w:rsidRPr="00E23CED">
        <w:tab/>
      </w:r>
      <w:r w:rsidR="00B60453" w:rsidRPr="00E23CED">
        <w:t>Terminology</w:t>
      </w:r>
      <w:r w:rsidR="006A631E" w:rsidRPr="00E23CED">
        <w:t xml:space="preserve"> related to </w:t>
      </w:r>
      <w:proofErr w:type="gramStart"/>
      <w:r w:rsidR="006A631E" w:rsidRPr="00E23CED">
        <w:t>nutrients</w:t>
      </w:r>
      <w:proofErr w:type="gramEnd"/>
      <w:r w:rsidR="00B60453" w:rsidRPr="00E23CED">
        <w:t xml:space="preserve"> </w:t>
      </w:r>
    </w:p>
    <w:p w14:paraId="30A3BA17" w14:textId="5A45E52B" w:rsidR="00B60453" w:rsidRPr="00E23CED" w:rsidRDefault="006A631E" w:rsidP="00F44AE8">
      <w:pPr>
        <w:pStyle w:val="Heading4"/>
        <w:spacing w:before="240"/>
      </w:pPr>
      <w:bookmarkStart w:id="29" w:name="_Toc73711450"/>
      <w:r w:rsidRPr="00E23CED">
        <w:t>Instream concentrations and exceedance criteria, and related terms</w:t>
      </w:r>
    </w:p>
    <w:p w14:paraId="68B1C0E9" w14:textId="63BCB299" w:rsidR="00A82AF8" w:rsidRPr="00E23CED" w:rsidRDefault="00096648" w:rsidP="00887CAA">
      <w:pPr>
        <w:pStyle w:val="BodyText"/>
        <w:spacing w:after="100"/>
      </w:pPr>
      <w:r w:rsidRPr="00E23CED">
        <w:t>Clause</w:t>
      </w:r>
      <w:r w:rsidR="00743A95" w:rsidRPr="00E23CED">
        <w:t xml:space="preserve"> 3.13 direct</w:t>
      </w:r>
      <w:r w:rsidR="006A631E" w:rsidRPr="00E23CED">
        <w:t>s regional</w:t>
      </w:r>
      <w:r w:rsidR="00743A95" w:rsidRPr="00E23CED">
        <w:t xml:space="preserve"> councils</w:t>
      </w:r>
      <w:r w:rsidR="00D25814" w:rsidRPr="00E23CED">
        <w:t xml:space="preserve"> to set </w:t>
      </w:r>
      <w:bookmarkStart w:id="30" w:name="_Hlk130566349"/>
      <w:r w:rsidR="00D25814" w:rsidRPr="00E23CED">
        <w:t>“</w:t>
      </w:r>
      <w:bookmarkStart w:id="31" w:name="_Hlk130570732"/>
      <w:r w:rsidR="00D25814" w:rsidRPr="00E23CED">
        <w:t>instream concentrations and exceedance criteria</w:t>
      </w:r>
      <w:bookmarkEnd w:id="31"/>
      <w:r w:rsidR="00D25814" w:rsidRPr="00E23CED">
        <w:t xml:space="preserve">” </w:t>
      </w:r>
      <w:bookmarkEnd w:id="30"/>
      <w:r w:rsidR="00D25814" w:rsidRPr="00E23CED">
        <w:t>for nutrients</w:t>
      </w:r>
      <w:r w:rsidR="00710E79" w:rsidRPr="00E23CED">
        <w:t>. Th</w:t>
      </w:r>
      <w:r w:rsidR="006301C6" w:rsidRPr="00E23CED">
        <w:t>e aim</w:t>
      </w:r>
      <w:r w:rsidR="00AD037C" w:rsidRPr="00E23CED">
        <w:t xml:space="preserve"> is</w:t>
      </w:r>
      <w:r w:rsidR="00A41CF2" w:rsidRPr="00E23CED">
        <w:t xml:space="preserve"> to achieve</w:t>
      </w:r>
      <w:r w:rsidR="00960D27" w:rsidRPr="00E23CED">
        <w:t xml:space="preserve"> the environmental outcomes sought for nutrient</w:t>
      </w:r>
      <w:r w:rsidR="00FC1E77" w:rsidRPr="00E23CED">
        <w:t>-</w:t>
      </w:r>
      <w:r w:rsidR="00960D27" w:rsidRPr="00E23CED">
        <w:t>sensitive downstream receiving environments by setting appropriate</w:t>
      </w:r>
      <w:r w:rsidR="00A41CF2" w:rsidRPr="00E23CED">
        <w:t xml:space="preserve"> TASs for </w:t>
      </w:r>
      <w:r w:rsidR="007466CA" w:rsidRPr="00E23CED">
        <w:t xml:space="preserve">nutrient attributes and for </w:t>
      </w:r>
      <w:r w:rsidR="00A41CF2" w:rsidRPr="00E23CED">
        <w:t>attributes affected by nutrients.</w:t>
      </w:r>
      <w:r w:rsidR="002233D5" w:rsidRPr="00E23CED">
        <w:t xml:space="preserve"> </w:t>
      </w:r>
    </w:p>
    <w:p w14:paraId="403BD36D" w14:textId="19E8F77C" w:rsidR="00A65955" w:rsidRPr="00E23CED" w:rsidRDefault="00A41CF2" w:rsidP="00887CAA">
      <w:pPr>
        <w:pStyle w:val="BodyText"/>
        <w:spacing w:after="100"/>
      </w:pPr>
      <w:r w:rsidRPr="00E23CED">
        <w:t>The term “instream concentrations” refers to a numeric measure (with units specifi</w:t>
      </w:r>
      <w:r w:rsidR="00F60155" w:rsidRPr="00E23CED">
        <w:t>ed</w:t>
      </w:r>
      <w:r w:rsidRPr="00E23CED">
        <w:t xml:space="preserve">, eg, </w:t>
      </w:r>
      <w:r w:rsidR="0042319B" w:rsidRPr="00E23CED">
        <w:t>milligrams per litre (</w:t>
      </w:r>
      <w:r w:rsidRPr="00E23CED">
        <w:t>mg/L</w:t>
      </w:r>
      <w:r w:rsidR="0042319B" w:rsidRPr="00E23CED">
        <w:t>)</w:t>
      </w:r>
      <w:r w:rsidRPr="00E23CED">
        <w:t xml:space="preserve">) of the amount of N and P in a defined volume of water. </w:t>
      </w:r>
    </w:p>
    <w:p w14:paraId="5026F6D0" w14:textId="5C0D0638" w:rsidR="002133BE" w:rsidRPr="00E23CED" w:rsidRDefault="002133BE" w:rsidP="00887CAA">
      <w:pPr>
        <w:pStyle w:val="BodyText"/>
        <w:spacing w:after="100"/>
      </w:pPr>
      <w:r w:rsidRPr="00E23CED">
        <w:t xml:space="preserve">In the context of </w:t>
      </w:r>
      <w:r w:rsidR="00AB34E7" w:rsidRPr="00E23CED">
        <w:t>c</w:t>
      </w:r>
      <w:r w:rsidR="00096648" w:rsidRPr="00E23CED">
        <w:t>lause</w:t>
      </w:r>
      <w:r w:rsidRPr="00E23CED">
        <w:t xml:space="preserve"> 3.13 and this guidance</w:t>
      </w:r>
      <w:r w:rsidR="00AB34E7" w:rsidRPr="00E23CED">
        <w:t>,</w:t>
      </w:r>
      <w:r w:rsidR="00A41CF2" w:rsidRPr="00E23CED">
        <w:t xml:space="preserve"> the</w:t>
      </w:r>
      <w:r w:rsidR="55923F18" w:rsidRPr="00E23CED">
        <w:t xml:space="preserve"> </w:t>
      </w:r>
      <w:r w:rsidRPr="00E23CED">
        <w:t>n</w:t>
      </w:r>
      <w:r w:rsidR="748B8F41" w:rsidRPr="00E23CED">
        <w:t>umber</w:t>
      </w:r>
      <w:r w:rsidRPr="00E23CED">
        <w:t xml:space="preserve"> of time</w:t>
      </w:r>
      <w:r w:rsidR="00442CA7" w:rsidRPr="00E23CED">
        <w:t>s</w:t>
      </w:r>
      <w:r w:rsidRPr="00E23CED">
        <w:t xml:space="preserve"> individual observations of a nutrient concentration </w:t>
      </w:r>
      <w:r w:rsidR="00D74894" w:rsidRPr="00E23CED">
        <w:t>are allowed to exceed</w:t>
      </w:r>
      <w:r w:rsidRPr="00E23CED">
        <w:t xml:space="preserve"> a defined instream concentration threshold </w:t>
      </w:r>
      <w:r w:rsidR="004E40F0" w:rsidRPr="00E23CED">
        <w:t>(ICT)</w:t>
      </w:r>
      <w:r w:rsidR="009572A2" w:rsidRPr="00E23CED">
        <w:t xml:space="preserve"> should be considered</w:t>
      </w:r>
      <w:r w:rsidR="005F4F12" w:rsidRPr="00E23CED">
        <w:t xml:space="preserve"> (eg, exceedance criteria)</w:t>
      </w:r>
      <w:r w:rsidR="00E10A21" w:rsidRPr="00E23CED">
        <w:t>.</w:t>
      </w:r>
      <w:r w:rsidR="00B11220">
        <w:t xml:space="preserve"> </w:t>
      </w:r>
      <w:r w:rsidR="006B2746" w:rsidRPr="00E23CED">
        <w:t>An</w:t>
      </w:r>
      <w:r w:rsidR="00B42338" w:rsidRPr="00E23CED">
        <w:t xml:space="preserve"> ICT</w:t>
      </w:r>
      <w:r w:rsidRPr="00E23CED">
        <w:t xml:space="preserve"> separates concentrations associated with desirable attribute states from concentrations associated with undesirable attribute states.</w:t>
      </w:r>
    </w:p>
    <w:p w14:paraId="6D450D14" w14:textId="49B9C9B4" w:rsidR="00EA3487" w:rsidRPr="00E23CED" w:rsidRDefault="002133BE" w:rsidP="00887CAA">
      <w:pPr>
        <w:pStyle w:val="BodyText"/>
        <w:spacing w:after="100"/>
      </w:pPr>
      <w:r w:rsidRPr="00E23CED">
        <w:t>Exceedance criteria are needed because n</w:t>
      </w:r>
      <w:r w:rsidR="00EA3487" w:rsidRPr="00E23CED">
        <w:t>utrient concentrations vary over time at most river sites. For example</w:t>
      </w:r>
      <w:r w:rsidRPr="00E23CED">
        <w:t>:</w:t>
      </w:r>
    </w:p>
    <w:p w14:paraId="46527138" w14:textId="7AB47698" w:rsidR="00EA3487" w:rsidRPr="00E23CED" w:rsidRDefault="00EA3487" w:rsidP="00887CAA">
      <w:pPr>
        <w:pStyle w:val="Bullet"/>
        <w:spacing w:after="100"/>
      </w:pPr>
      <w:r w:rsidRPr="00E23CED">
        <w:t xml:space="preserve">N concentrations are typically higher in winter and spring (when there is low biological instream uptake and high runoff from land during winter rain) </w:t>
      </w:r>
      <w:r w:rsidR="00D43467" w:rsidRPr="00E23CED">
        <w:t>than</w:t>
      </w:r>
      <w:r w:rsidRPr="00E23CED">
        <w:t xml:space="preserve"> in summer </w:t>
      </w:r>
      <w:r w:rsidR="00D43467" w:rsidRPr="00E23CED">
        <w:t xml:space="preserve">and autumn </w:t>
      </w:r>
      <w:r w:rsidRPr="00E23CED">
        <w:t>(when instream</w:t>
      </w:r>
      <w:r w:rsidR="00214479" w:rsidRPr="00E23CED">
        <w:t xml:space="preserve"> biological</w:t>
      </w:r>
      <w:r w:rsidRPr="00E23CED">
        <w:t xml:space="preserve"> uptake is </w:t>
      </w:r>
      <w:proofErr w:type="gramStart"/>
      <w:r w:rsidRPr="00E23CED">
        <w:t>higher</w:t>
      </w:r>
      <w:proofErr w:type="gramEnd"/>
      <w:r w:rsidRPr="00E23CED">
        <w:t xml:space="preserve"> and runoff is low during low flows). </w:t>
      </w:r>
      <w:r w:rsidR="004E40F0" w:rsidRPr="00E23CED">
        <w:t xml:space="preserve">In some rivers, the range of observed concentrations over time is wide (eg, </w:t>
      </w:r>
      <w:r w:rsidR="00A65955" w:rsidRPr="00E23CED">
        <w:t xml:space="preserve">DIN could range </w:t>
      </w:r>
      <w:r w:rsidR="004E40F0" w:rsidRPr="00E23CED">
        <w:t>from &lt;0.01 mg/L to &gt;1 mg/L)</w:t>
      </w:r>
    </w:p>
    <w:p w14:paraId="32718854" w14:textId="185945E8" w:rsidR="00EA3487" w:rsidRPr="00E23CED" w:rsidRDefault="00EA3487" w:rsidP="00887CAA">
      <w:pPr>
        <w:pStyle w:val="Bullet"/>
        <w:spacing w:after="100"/>
        <w:rPr>
          <w:rFonts w:cstheme="minorHAnsi"/>
        </w:rPr>
      </w:pPr>
      <w:r w:rsidRPr="00E23CED">
        <w:rPr>
          <w:rFonts w:cstheme="minorHAnsi"/>
        </w:rPr>
        <w:t xml:space="preserve">P </w:t>
      </w:r>
      <w:r w:rsidRPr="00E23CED">
        <w:t>concentrations</w:t>
      </w:r>
      <w:r w:rsidRPr="00E23CED">
        <w:rPr>
          <w:rFonts w:cstheme="minorHAnsi"/>
        </w:rPr>
        <w:t xml:space="preserve"> (especially TP) are often correlated with </w:t>
      </w:r>
      <w:r w:rsidR="00546EC7" w:rsidRPr="00E23CED">
        <w:rPr>
          <w:rFonts w:cstheme="minorHAnsi"/>
        </w:rPr>
        <w:t>river flow</w:t>
      </w:r>
      <w:r w:rsidRPr="00E23CED">
        <w:rPr>
          <w:rFonts w:cstheme="minorHAnsi"/>
        </w:rPr>
        <w:t xml:space="preserve"> because of the P attached to fine sediment</w:t>
      </w:r>
      <w:r w:rsidR="00546EC7" w:rsidRPr="00E23CED">
        <w:rPr>
          <w:rFonts w:cstheme="minorHAnsi"/>
        </w:rPr>
        <w:t>, more of which is mobilised as flows increase.</w:t>
      </w:r>
    </w:p>
    <w:p w14:paraId="4D7A9651" w14:textId="7225C41E" w:rsidR="00A82AF8" w:rsidRPr="00E23CED" w:rsidRDefault="004A1FE4" w:rsidP="00887CAA">
      <w:pPr>
        <w:pStyle w:val="BodyText"/>
        <w:spacing w:after="100"/>
      </w:pPr>
      <w:bookmarkStart w:id="32" w:name="_Hlk131574597"/>
      <w:r w:rsidRPr="00E23CED">
        <w:t xml:space="preserve">Regional </w:t>
      </w:r>
      <w:r w:rsidR="00624CE0" w:rsidRPr="00E23CED">
        <w:t>c</w:t>
      </w:r>
      <w:r w:rsidRPr="00E23CED">
        <w:t>ouncils should s</w:t>
      </w:r>
      <w:r w:rsidR="00F64933" w:rsidRPr="00E23CED">
        <w:t>ummaris</w:t>
      </w:r>
      <w:r w:rsidRPr="00E23CED">
        <w:t>e</w:t>
      </w:r>
      <w:r w:rsidR="00F64933" w:rsidRPr="00E23CED">
        <w:t xml:space="preserve"> a </w:t>
      </w:r>
      <w:r w:rsidR="00EA3487" w:rsidRPr="00E23CED">
        <w:t xml:space="preserve">time series of </w:t>
      </w:r>
      <w:r w:rsidR="002133BE" w:rsidRPr="00E23CED">
        <w:t xml:space="preserve">instream </w:t>
      </w:r>
      <w:r w:rsidR="00EA3487" w:rsidRPr="00E23CED">
        <w:t xml:space="preserve">concentrations </w:t>
      </w:r>
      <w:r w:rsidR="00F86B32" w:rsidRPr="00E23CED">
        <w:t xml:space="preserve">to </w:t>
      </w:r>
      <w:r w:rsidR="00EA3487" w:rsidRPr="00E23CED">
        <w:t>characterise the nutrient supply in a river (either as dissolved or total N or P)</w:t>
      </w:r>
      <w:r w:rsidR="009C26F8" w:rsidRPr="00E23CED">
        <w:t xml:space="preserve">, including </w:t>
      </w:r>
      <w:r w:rsidR="00377935" w:rsidRPr="00E23CED">
        <w:t>a descriptor of variability</w:t>
      </w:r>
      <w:r w:rsidR="00624CE0" w:rsidRPr="00E23CED">
        <w:t>,</w:t>
      </w:r>
      <w:r w:rsidR="00377935" w:rsidRPr="00E23CED">
        <w:t xml:space="preserve"> where appropriate</w:t>
      </w:r>
      <w:r w:rsidR="00EA3487" w:rsidRPr="00E23CED">
        <w:t xml:space="preserve">. </w:t>
      </w:r>
      <w:r w:rsidR="00A82AF8" w:rsidRPr="00E23CED">
        <w:t>To summarise a time series in a consistent way</w:t>
      </w:r>
      <w:r w:rsidR="00FC1E77" w:rsidRPr="00E23CED">
        <w:t>,</w:t>
      </w:r>
      <w:r w:rsidR="00A82AF8" w:rsidRPr="00E23CED">
        <w:t xml:space="preserve"> it is necessary to define:</w:t>
      </w:r>
    </w:p>
    <w:bookmarkEnd w:id="32"/>
    <w:p w14:paraId="72E5926A" w14:textId="5B43275A" w:rsidR="00A82AF8" w:rsidRPr="00E23CED" w:rsidRDefault="00AB34E7" w:rsidP="00F44AE8">
      <w:pPr>
        <w:pStyle w:val="Bullet"/>
      </w:pPr>
      <w:r w:rsidRPr="00E23CED">
        <w:t>t</w:t>
      </w:r>
      <w:r w:rsidR="00A82AF8" w:rsidRPr="00E23CED">
        <w:t>he interval at which observations (of concentrations) are made (eg, monthly)</w:t>
      </w:r>
    </w:p>
    <w:p w14:paraId="6C2EE969" w14:textId="6DF78097" w:rsidR="00A82AF8" w:rsidRPr="00E23CED" w:rsidRDefault="00AB34E7" w:rsidP="00F44AE8">
      <w:pPr>
        <w:pStyle w:val="Bullet"/>
      </w:pPr>
      <w:r w:rsidRPr="00E23CED">
        <w:t>t</w:t>
      </w:r>
      <w:r w:rsidR="00A82AF8" w:rsidRPr="00E23CED">
        <w:t xml:space="preserve">he period over which the time series of observations should be summarised </w:t>
      </w:r>
      <w:r w:rsidR="002A2173" w:rsidRPr="00E23CED">
        <w:br/>
      </w:r>
      <w:r w:rsidR="00A82AF8" w:rsidRPr="00E23CED">
        <w:t xml:space="preserve">(eg, </w:t>
      </w:r>
      <w:r w:rsidRPr="00E23CED">
        <w:t>three</w:t>
      </w:r>
      <w:r w:rsidR="00A82AF8" w:rsidRPr="00E23CED">
        <w:t xml:space="preserve"> years)</w:t>
      </w:r>
    </w:p>
    <w:p w14:paraId="5EBD598E" w14:textId="7DE1F652" w:rsidR="00A82AF8" w:rsidRPr="00E23CED" w:rsidRDefault="00AB34E7" w:rsidP="00F44AE8">
      <w:pPr>
        <w:pStyle w:val="Bullet"/>
      </w:pPr>
      <w:r w:rsidRPr="00E23CED">
        <w:t>t</w:t>
      </w:r>
      <w:r w:rsidR="00A82AF8" w:rsidRPr="00E23CED">
        <w:t>he metric (or statistic) used to summarise the data (eg, median, 90th percentile)</w:t>
      </w:r>
      <w:r w:rsidR="004B61B9" w:rsidRPr="00E23CED">
        <w:t xml:space="preserve"> </w:t>
      </w:r>
    </w:p>
    <w:p w14:paraId="21217288" w14:textId="237B3FE0" w:rsidR="00A82AF8" w:rsidRPr="00E23CED" w:rsidRDefault="00AB34E7" w:rsidP="00887CAA">
      <w:pPr>
        <w:pStyle w:val="Bullet"/>
        <w:spacing w:after="100"/>
      </w:pPr>
      <w:r w:rsidRPr="00E23CED">
        <w:lastRenderedPageBreak/>
        <w:t>o</w:t>
      </w:r>
      <w:r w:rsidR="00A82AF8" w:rsidRPr="00E23CED">
        <w:t>ther conditions</w:t>
      </w:r>
      <w:r w:rsidR="00FC1E77" w:rsidRPr="00E23CED">
        <w:t>,</w:t>
      </w:r>
      <w:r w:rsidR="00A82AF8" w:rsidRPr="00E23CED">
        <w:t xml:space="preserve"> such </w:t>
      </w:r>
      <w:r w:rsidR="00FC1E77" w:rsidRPr="00E23CED">
        <w:t xml:space="preserve">as </w:t>
      </w:r>
      <w:r w:rsidR="00A82AF8" w:rsidRPr="00E23CED">
        <w:t>a minimum number of observations to accept if some data points are missing</w:t>
      </w:r>
      <w:r w:rsidR="00A65955" w:rsidRPr="00E23CED">
        <w:t>, and a definition of when a year starts and ends (eg, calendar year, January to December; hydrological year, July to June)</w:t>
      </w:r>
      <w:r w:rsidR="00A82AF8" w:rsidRPr="00E23CED">
        <w:t>.</w:t>
      </w:r>
    </w:p>
    <w:p w14:paraId="73E5200B" w14:textId="32B5008D" w:rsidR="00D74894" w:rsidRPr="00E23CED" w:rsidRDefault="00214479" w:rsidP="00887CAA">
      <w:pPr>
        <w:pStyle w:val="BodyText"/>
        <w:spacing w:before="100" w:after="240"/>
      </w:pPr>
      <w:r w:rsidRPr="00E23CED">
        <w:t xml:space="preserve">Use of exceedance criteria accounts for </w:t>
      </w:r>
      <w:r w:rsidR="00F10C75" w:rsidRPr="00E23CED">
        <w:t xml:space="preserve">natural variability and </w:t>
      </w:r>
      <w:r w:rsidRPr="00E23CED">
        <w:t xml:space="preserve">the uncertainty involved </w:t>
      </w:r>
      <w:r w:rsidR="00FC1E77" w:rsidRPr="00E23CED">
        <w:t xml:space="preserve">in </w:t>
      </w:r>
      <w:r w:rsidRPr="00E23CED">
        <w:t xml:space="preserve">measuring nutrient concentrations over time. </w:t>
      </w:r>
      <w:r w:rsidR="00902BBE" w:rsidRPr="00E23CED">
        <w:t xml:space="preserve">The </w:t>
      </w:r>
      <w:r w:rsidR="001000CE" w:rsidRPr="00E23CED">
        <w:t xml:space="preserve">choice of </w:t>
      </w:r>
      <w:r w:rsidR="00902BBE" w:rsidRPr="00E23CED">
        <w:t>statistic for summarising the time</w:t>
      </w:r>
      <w:r w:rsidR="00F44AE8" w:rsidRPr="00E23CED">
        <w:t> </w:t>
      </w:r>
      <w:r w:rsidR="00902BBE" w:rsidRPr="00E23CED">
        <w:t xml:space="preserve">series </w:t>
      </w:r>
      <w:r w:rsidR="00C273CB" w:rsidRPr="00E23CED">
        <w:t>specifies</w:t>
      </w:r>
      <w:r w:rsidR="00902BBE" w:rsidRPr="00E23CED">
        <w:t xml:space="preserve"> the exceedance criterion</w:t>
      </w:r>
      <w:r w:rsidR="00584411" w:rsidRPr="00E23CED">
        <w:t xml:space="preserve">, which refers to </w:t>
      </w:r>
      <w:r w:rsidR="00584411" w:rsidRPr="00E23CED">
        <w:rPr>
          <w:b/>
          <w:bCs/>
        </w:rPr>
        <w:t>temporal exceedance</w:t>
      </w:r>
      <w:r w:rsidR="00902BBE" w:rsidRPr="00E23CED">
        <w:t xml:space="preserve">. The </w:t>
      </w:r>
      <w:r w:rsidR="00AB34E7" w:rsidRPr="00E23CED">
        <w:t xml:space="preserve">exceedance criteria </w:t>
      </w:r>
      <w:r w:rsidR="00FC1E77" w:rsidRPr="00E23CED">
        <w:t>box</w:t>
      </w:r>
      <w:r w:rsidR="00FC43FC" w:rsidRPr="00E23CED">
        <w:t xml:space="preserve"> (outlined below)</w:t>
      </w:r>
      <w:r w:rsidR="00FC1E77" w:rsidRPr="00E23CED">
        <w:t xml:space="preserve"> </w:t>
      </w:r>
      <w:r w:rsidR="00AB34E7" w:rsidRPr="00E23CED">
        <w:t>shows</w:t>
      </w:r>
      <w:r w:rsidR="00902BBE" w:rsidRPr="00E23CED">
        <w:t xml:space="preserve"> </w:t>
      </w:r>
      <w:r w:rsidR="001000CE" w:rsidRPr="00E23CED">
        <w:t>that e</w:t>
      </w:r>
      <w:r w:rsidR="002233D5" w:rsidRPr="00E23CED">
        <w:t xml:space="preserve">xceedance criteria </w:t>
      </w:r>
      <w:r w:rsidR="00C273CB" w:rsidRPr="00E23CED">
        <w:t>define</w:t>
      </w:r>
      <w:r w:rsidR="001000CE" w:rsidRPr="00E23CED">
        <w:t xml:space="preserve"> the tolerance a</w:t>
      </w:r>
      <w:r w:rsidR="00F44AE8" w:rsidRPr="00E23CED">
        <w:t> </w:t>
      </w:r>
      <w:r w:rsidR="001000CE" w:rsidRPr="00E23CED">
        <w:t>regional council has for individual concentration measurements to exceed an ICT</w:t>
      </w:r>
      <w:r w:rsidR="00D74894" w:rsidRPr="00E23CED">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4639F" w:rsidRPr="00E23CED" w14:paraId="10BA7019" w14:textId="34A5A037" w:rsidTr="00F44AE8">
        <w:tc>
          <w:tcPr>
            <w:tcW w:w="0" w:type="auto"/>
            <w:shd w:val="clear" w:color="auto" w:fill="D2DDE1" w:themeFill="background2"/>
          </w:tcPr>
          <w:p w14:paraId="5782919D" w14:textId="2CF3D7E3" w:rsidR="0094639F" w:rsidRPr="00E23CED" w:rsidRDefault="00D74894" w:rsidP="000546DD">
            <w:pPr>
              <w:pStyle w:val="Boxheading0"/>
              <w:keepNext w:val="0"/>
              <w:spacing w:before="200"/>
            </w:pPr>
            <w:r w:rsidRPr="00E23CED">
              <w:t>E</w:t>
            </w:r>
            <w:r w:rsidR="0094639F" w:rsidRPr="00E23CED">
              <w:t>xceedance criteria</w:t>
            </w:r>
          </w:p>
          <w:p w14:paraId="6666C466" w14:textId="5F5DCAC7" w:rsidR="00C42D9D" w:rsidRPr="00E23CED" w:rsidRDefault="00D74894" w:rsidP="0093786D">
            <w:pPr>
              <w:pStyle w:val="Boxtext"/>
              <w:tabs>
                <w:tab w:val="left" w:pos="4605"/>
              </w:tabs>
              <w:spacing w:after="0"/>
            </w:pPr>
            <w:r w:rsidRPr="00E23CED">
              <w:t>A</w:t>
            </w:r>
            <w:r w:rsidR="00E30304" w:rsidRPr="00E23CED">
              <w:t>n</w:t>
            </w:r>
            <w:r w:rsidRPr="00E23CED">
              <w:t xml:space="preserve"> e</w:t>
            </w:r>
            <w:r w:rsidR="0094639F" w:rsidRPr="00E23CED">
              <w:t xml:space="preserve">xceedance </w:t>
            </w:r>
            <w:r w:rsidRPr="00E23CED">
              <w:t xml:space="preserve">criterion as used in </w:t>
            </w:r>
            <w:r w:rsidR="00FC1E77" w:rsidRPr="00E23CED">
              <w:t>c</w:t>
            </w:r>
            <w:r w:rsidR="00096648" w:rsidRPr="00E23CED">
              <w:t>lause</w:t>
            </w:r>
            <w:r w:rsidRPr="00E23CED">
              <w:t xml:space="preserve"> 3.13 </w:t>
            </w:r>
            <w:r w:rsidR="001C60AD" w:rsidRPr="00E23CED">
              <w:t>means</w:t>
            </w:r>
            <w:r w:rsidRPr="00E23CED">
              <w:t xml:space="preserve"> the proportion of observations that are allowed to </w:t>
            </w:r>
            <w:r w:rsidR="0094639F" w:rsidRPr="00E23CED">
              <w:t xml:space="preserve">exceed </w:t>
            </w:r>
            <w:r w:rsidR="00E30304" w:rsidRPr="00E23CED">
              <w:t xml:space="preserve">an </w:t>
            </w:r>
            <w:r w:rsidR="0094639F" w:rsidRPr="00E23CED">
              <w:t xml:space="preserve">appropriate </w:t>
            </w:r>
            <w:r w:rsidR="00C10AD2" w:rsidRPr="00E23CED">
              <w:t>instream</w:t>
            </w:r>
            <w:r w:rsidR="0094639F" w:rsidRPr="00E23CED">
              <w:t xml:space="preserve"> concentration</w:t>
            </w:r>
            <w:r w:rsidR="00E30304" w:rsidRPr="00E23CED">
              <w:t xml:space="preserve"> threshold (ICT)</w:t>
            </w:r>
            <w:r w:rsidR="0094639F" w:rsidRPr="00E23CED">
              <w:t xml:space="preserve"> over the course of a </w:t>
            </w:r>
            <w:r w:rsidR="00810C92" w:rsidRPr="00E23CED">
              <w:t xml:space="preserve">defined </w:t>
            </w:r>
            <w:r w:rsidR="0094639F" w:rsidRPr="00E23CED">
              <w:t>measurement period (</w:t>
            </w:r>
            <w:r w:rsidR="0048442C" w:rsidRPr="00E23CED">
              <w:t>eg</w:t>
            </w:r>
            <w:r w:rsidR="0094639F" w:rsidRPr="00E23CED">
              <w:t xml:space="preserve">, over 12 months). </w:t>
            </w:r>
            <w:r w:rsidR="00810C92" w:rsidRPr="00E23CED">
              <w:t>Exceedance criteria</w:t>
            </w:r>
            <w:r w:rsidR="00E30304" w:rsidRPr="00E23CED">
              <w:t xml:space="preserve"> </w:t>
            </w:r>
            <w:r w:rsidR="001C60AD" w:rsidRPr="00E23CED">
              <w:t xml:space="preserve">in </w:t>
            </w:r>
            <w:r w:rsidR="00FC1E77" w:rsidRPr="00E23CED">
              <w:t>c</w:t>
            </w:r>
            <w:r w:rsidR="00096648" w:rsidRPr="00E23CED">
              <w:t>lause</w:t>
            </w:r>
            <w:r w:rsidR="001C60AD" w:rsidRPr="00E23CED">
              <w:t xml:space="preserve"> 3.13 </w:t>
            </w:r>
            <w:r w:rsidR="00E30304" w:rsidRPr="00E23CED">
              <w:t xml:space="preserve">therefore refer to </w:t>
            </w:r>
            <w:r w:rsidR="00E30304" w:rsidRPr="00875002">
              <w:t>temporal exceedance</w:t>
            </w:r>
            <w:r w:rsidR="001000CE" w:rsidRPr="00875002">
              <w:t>s</w:t>
            </w:r>
            <w:r w:rsidR="00E30304" w:rsidRPr="00E23CED">
              <w:t xml:space="preserve">. </w:t>
            </w:r>
          </w:p>
          <w:p w14:paraId="7C0B03EB" w14:textId="095E540B" w:rsidR="0094639F" w:rsidRPr="00E23CED" w:rsidRDefault="00C42D9D" w:rsidP="000546DD">
            <w:pPr>
              <w:pStyle w:val="Boxtext"/>
              <w:tabs>
                <w:tab w:val="left" w:pos="4605"/>
              </w:tabs>
              <w:spacing w:after="180"/>
            </w:pPr>
            <w:r w:rsidRPr="00E23CED">
              <w:t xml:space="preserve">As an example, in the NPS-FM attribute for </w:t>
            </w:r>
            <w:r w:rsidR="004B3BDC" w:rsidRPr="00E23CED">
              <w:t>dissolved reactive phosphorus (</w:t>
            </w:r>
            <w:r w:rsidR="0094639F" w:rsidRPr="00E23CED">
              <w:t>DRP</w:t>
            </w:r>
            <w:r w:rsidR="004B3BDC" w:rsidRPr="00E23CED">
              <w:t>)</w:t>
            </w:r>
            <w:r w:rsidRPr="00E23CED">
              <w:t xml:space="preserve"> (</w:t>
            </w:r>
            <w:r w:rsidR="00FC1E77" w:rsidRPr="00E23CED">
              <w:t>a</w:t>
            </w:r>
            <w:r w:rsidRPr="00E23CED">
              <w:t xml:space="preserve">ppendix 2B, </w:t>
            </w:r>
            <w:r w:rsidR="00FC1E77" w:rsidRPr="00E23CED">
              <w:t>t</w:t>
            </w:r>
            <w:r w:rsidRPr="00E23CED">
              <w:t>able 20)</w:t>
            </w:r>
            <w:r w:rsidR="0094639F" w:rsidRPr="00E23CED">
              <w:t xml:space="preserve">, the </w:t>
            </w:r>
            <w:r w:rsidRPr="00E23CED">
              <w:t>concentration</w:t>
            </w:r>
            <w:r w:rsidRPr="00E23CED" w:rsidDel="00C834CA">
              <w:t xml:space="preserve"> </w:t>
            </w:r>
            <w:r w:rsidR="00C834CA" w:rsidRPr="00E23CED">
              <w:t xml:space="preserve">identifying those streams in </w:t>
            </w:r>
            <w:r w:rsidRPr="00E23CED">
              <w:t>B</w:t>
            </w:r>
            <w:r w:rsidR="00FC1E77" w:rsidRPr="00E23CED">
              <w:t xml:space="preserve"> </w:t>
            </w:r>
            <w:r w:rsidRPr="00E23CED">
              <w:t xml:space="preserve">and A from Band B </w:t>
            </w:r>
            <w:r w:rsidR="001C60AD" w:rsidRPr="00E23CED">
              <w:t xml:space="preserve">(ie, ICTs) </w:t>
            </w:r>
            <w:r w:rsidR="00C834CA" w:rsidRPr="00E23CED">
              <w:t>is</w:t>
            </w:r>
            <w:r w:rsidRPr="00E23CED">
              <w:t xml:space="preserve"> 0.006</w:t>
            </w:r>
            <w:r w:rsidR="008149C0" w:rsidRPr="00E23CED">
              <w:t> </w:t>
            </w:r>
            <w:r w:rsidR="006F134A" w:rsidRPr="00E23CED">
              <w:t>milligrams per litre (</w:t>
            </w:r>
            <w:r w:rsidRPr="00E23CED">
              <w:t>mg/L</w:t>
            </w:r>
            <w:r w:rsidR="006F134A" w:rsidRPr="00E23CED">
              <w:t>),</w:t>
            </w:r>
            <w:r w:rsidRPr="00E23CED">
              <w:t xml:space="preserve"> if calculated as a median value, and 0.021 mg/L if calculated as the 95th percentile, as shown below</w:t>
            </w:r>
            <w:r w:rsidR="001C60AD" w:rsidRPr="00E23CED">
              <w:t>.</w:t>
            </w:r>
            <w:r w:rsidR="003A5B52" w:rsidRPr="00E23CED">
              <w:t xml:space="preserve"> </w:t>
            </w:r>
          </w:p>
          <w:tbl>
            <w:tblPr>
              <w:tblStyle w:val="TableGrid"/>
              <w:tblW w:w="7718" w:type="dxa"/>
              <w:tblInd w:w="279"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857"/>
              <w:gridCol w:w="1418"/>
              <w:gridCol w:w="1443"/>
            </w:tblGrid>
            <w:tr w:rsidR="00D40F3A" w:rsidRPr="00E23CED" w14:paraId="2FF9B54D" w14:textId="16E56984" w:rsidTr="00F44AE8">
              <w:trPr>
                <w:tblHeader/>
              </w:trPr>
              <w:tc>
                <w:tcPr>
                  <w:tcW w:w="4857" w:type="dxa"/>
                  <w:shd w:val="clear" w:color="auto" w:fill="1B556B"/>
                </w:tcPr>
                <w:p w14:paraId="7E66F601" w14:textId="761098B2" w:rsidR="00D40F3A" w:rsidRPr="00E23CED" w:rsidRDefault="00D40F3A" w:rsidP="0093786D">
                  <w:pPr>
                    <w:pStyle w:val="TableTextbold"/>
                    <w:spacing w:before="40" w:after="40"/>
                    <w:rPr>
                      <w:color w:val="FFFFFF" w:themeColor="background1"/>
                    </w:rPr>
                  </w:pPr>
                </w:p>
              </w:tc>
              <w:tc>
                <w:tcPr>
                  <w:tcW w:w="1418" w:type="dxa"/>
                  <w:shd w:val="clear" w:color="auto" w:fill="1B556B"/>
                </w:tcPr>
                <w:p w14:paraId="439E5633" w14:textId="388CBCBE" w:rsidR="00D40F3A" w:rsidRPr="00E23CED" w:rsidRDefault="00D40F3A" w:rsidP="0093786D">
                  <w:pPr>
                    <w:pStyle w:val="TableTextbold"/>
                    <w:spacing w:before="40" w:after="40"/>
                    <w:jc w:val="center"/>
                    <w:rPr>
                      <w:color w:val="FFFFFF" w:themeColor="background1"/>
                    </w:rPr>
                  </w:pPr>
                  <w:r w:rsidRPr="00E23CED">
                    <w:rPr>
                      <w:color w:val="FFFFFF" w:themeColor="background1"/>
                    </w:rPr>
                    <w:t>Median</w:t>
                  </w:r>
                </w:p>
              </w:tc>
              <w:tc>
                <w:tcPr>
                  <w:tcW w:w="1443" w:type="dxa"/>
                  <w:tcBorders>
                    <w:right w:val="nil"/>
                  </w:tcBorders>
                  <w:shd w:val="clear" w:color="auto" w:fill="1B556B"/>
                </w:tcPr>
                <w:p w14:paraId="0E3B624E" w14:textId="314A9FE9" w:rsidR="00D40F3A" w:rsidRPr="00E23CED" w:rsidRDefault="00D40F3A" w:rsidP="0093786D">
                  <w:pPr>
                    <w:pStyle w:val="TableTextbold"/>
                    <w:spacing w:before="40" w:after="40"/>
                    <w:jc w:val="center"/>
                    <w:rPr>
                      <w:color w:val="FFFFFF" w:themeColor="background1"/>
                    </w:rPr>
                  </w:pPr>
                  <w:r w:rsidRPr="00E23CED">
                    <w:rPr>
                      <w:color w:val="FFFFFF" w:themeColor="background1"/>
                    </w:rPr>
                    <w:t>95</w:t>
                  </w:r>
                  <w:r w:rsidR="00E76412" w:rsidRPr="00E23CED">
                    <w:rPr>
                      <w:color w:val="FFFFFF" w:themeColor="background1"/>
                    </w:rPr>
                    <w:t>th</w:t>
                  </w:r>
                  <w:r w:rsidRPr="00E23CED">
                    <w:rPr>
                      <w:color w:val="FFFFFF" w:themeColor="background1"/>
                    </w:rPr>
                    <w:t xml:space="preserve"> percentile</w:t>
                  </w:r>
                </w:p>
              </w:tc>
            </w:tr>
            <w:tr w:rsidR="00D40F3A" w:rsidRPr="00E23CED" w14:paraId="46838A03" w14:textId="3921993B" w:rsidTr="00F44AE8">
              <w:tc>
                <w:tcPr>
                  <w:tcW w:w="4857" w:type="dxa"/>
                  <w:shd w:val="clear" w:color="auto" w:fill="auto"/>
                </w:tcPr>
                <w:p w14:paraId="61416CAA" w14:textId="789104F7" w:rsidR="00D40F3A" w:rsidRPr="00E23CED" w:rsidRDefault="00D40F3A" w:rsidP="00F44AE8">
                  <w:pPr>
                    <w:pStyle w:val="TableText"/>
                    <w:spacing w:after="0"/>
                    <w:rPr>
                      <w:b/>
                      <w:bCs/>
                      <w:color w:val="1B556B"/>
                    </w:rPr>
                  </w:pPr>
                  <w:r w:rsidRPr="00E23CED">
                    <w:rPr>
                      <w:b/>
                      <w:bCs/>
                      <w:color w:val="1B556B"/>
                    </w:rPr>
                    <w:t>A</w:t>
                  </w:r>
                </w:p>
                <w:p w14:paraId="19AD2231" w14:textId="021D8C66" w:rsidR="00D40F3A" w:rsidRPr="00E23CED" w:rsidRDefault="00D40F3A" w:rsidP="00887CAA">
                  <w:pPr>
                    <w:pStyle w:val="TableText"/>
                    <w:spacing w:before="0"/>
                    <w:rPr>
                      <w:color w:val="1B556B"/>
                    </w:rPr>
                  </w:pPr>
                  <w:r w:rsidRPr="00E23CED">
                    <w:rPr>
                      <w:color w:val="1B556B"/>
                    </w:rPr>
                    <w:t xml:space="preserve">Ecological communities and ecosystem processes are </w:t>
                  </w:r>
                  <w:proofErr w:type="gramStart"/>
                  <w:r w:rsidRPr="00E23CED">
                    <w:rPr>
                      <w:color w:val="1B556B"/>
                    </w:rPr>
                    <w:t>similar to</w:t>
                  </w:r>
                  <w:proofErr w:type="gramEnd"/>
                  <w:r w:rsidRPr="00E23CED">
                    <w:rPr>
                      <w:color w:val="1B556B"/>
                    </w:rPr>
                    <w:t xml:space="preserve"> those of natural reference conditions. No adverse effects attributable to DRP enrichment are expected</w:t>
                  </w:r>
                  <w:r w:rsidR="00AB34E7" w:rsidRPr="00E23CED">
                    <w:rPr>
                      <w:color w:val="1B556B"/>
                    </w:rPr>
                    <w:t>.</w:t>
                  </w:r>
                </w:p>
              </w:tc>
              <w:tc>
                <w:tcPr>
                  <w:tcW w:w="1418" w:type="dxa"/>
                  <w:vAlign w:val="center"/>
                </w:tcPr>
                <w:p w14:paraId="7B21C045" w14:textId="5948EECD" w:rsidR="00D40F3A" w:rsidRPr="00E23CED" w:rsidRDefault="00D40F3A" w:rsidP="00A051D9">
                  <w:pPr>
                    <w:pStyle w:val="TableText"/>
                    <w:jc w:val="center"/>
                    <w:rPr>
                      <w:color w:val="1B556B"/>
                    </w:rPr>
                  </w:pPr>
                  <w:r w:rsidRPr="00E23CED">
                    <w:rPr>
                      <w:color w:val="1B556B"/>
                    </w:rPr>
                    <w:t>≤0.006</w:t>
                  </w:r>
                </w:p>
              </w:tc>
              <w:tc>
                <w:tcPr>
                  <w:tcW w:w="1443" w:type="dxa"/>
                  <w:tcBorders>
                    <w:right w:val="nil"/>
                  </w:tcBorders>
                  <w:vAlign w:val="center"/>
                </w:tcPr>
                <w:p w14:paraId="4ADC52A7" w14:textId="74CB5FA8" w:rsidR="00D40F3A" w:rsidRPr="00E23CED" w:rsidRDefault="00D40F3A" w:rsidP="00A051D9">
                  <w:pPr>
                    <w:pStyle w:val="TableText"/>
                    <w:jc w:val="center"/>
                    <w:rPr>
                      <w:color w:val="1B556B"/>
                    </w:rPr>
                  </w:pPr>
                  <w:r w:rsidRPr="00E23CED">
                    <w:rPr>
                      <w:color w:val="1B556B"/>
                    </w:rPr>
                    <w:t>≤0.021</w:t>
                  </w:r>
                </w:p>
              </w:tc>
            </w:tr>
            <w:tr w:rsidR="00D40F3A" w:rsidRPr="00E23CED" w14:paraId="3914A3D8" w14:textId="77990EED" w:rsidTr="0018322B">
              <w:tc>
                <w:tcPr>
                  <w:tcW w:w="7718" w:type="dxa"/>
                  <w:gridSpan w:val="3"/>
                  <w:tcBorders>
                    <w:right w:val="nil"/>
                  </w:tcBorders>
                  <w:shd w:val="clear" w:color="auto" w:fill="auto"/>
                </w:tcPr>
                <w:p w14:paraId="0CB64251" w14:textId="299485DD" w:rsidR="00D40F3A" w:rsidRPr="00E23CED" w:rsidRDefault="00E11FD2" w:rsidP="0093786D">
                  <w:pPr>
                    <w:pStyle w:val="TableText"/>
                    <w:spacing w:before="40" w:after="40"/>
                    <w:rPr>
                      <w:color w:val="1B556B"/>
                    </w:rPr>
                  </w:pPr>
                  <w:r w:rsidRPr="00E23CED">
                    <w:rPr>
                      <w:color w:val="1B556B"/>
                    </w:rPr>
                    <w:t xml:space="preserve">Based on a monthly monitoring regime where sites are visited on a regular basis regardless of weather and flow conditions. Record length for grading a site based on </w:t>
                  </w:r>
                  <w:r w:rsidR="00AB34E7" w:rsidRPr="00E23CED">
                    <w:rPr>
                      <w:color w:val="1B556B"/>
                    </w:rPr>
                    <w:t>five</w:t>
                  </w:r>
                  <w:r w:rsidRPr="00E23CED">
                    <w:rPr>
                      <w:color w:val="1B556B"/>
                    </w:rPr>
                    <w:t xml:space="preserve"> years.</w:t>
                  </w:r>
                </w:p>
              </w:tc>
            </w:tr>
          </w:tbl>
          <w:p w14:paraId="0F21260F" w14:textId="692EA38E" w:rsidR="001C60AD" w:rsidRPr="00E23CED" w:rsidRDefault="00FF5BCC" w:rsidP="0093786D">
            <w:pPr>
              <w:pStyle w:val="Boxtext"/>
              <w:spacing w:before="180" w:after="0"/>
            </w:pPr>
            <w:r w:rsidRPr="00E23CED">
              <w:t xml:space="preserve">For a hypothetical </w:t>
            </w:r>
            <w:r w:rsidR="00F92E2B" w:rsidRPr="00E23CED">
              <w:t>freshwater management unit (</w:t>
            </w:r>
            <w:r w:rsidRPr="00E23CED">
              <w:t>FMU</w:t>
            </w:r>
            <w:r w:rsidR="00F92E2B" w:rsidRPr="00E23CED">
              <w:t>)</w:t>
            </w:r>
            <w:r w:rsidRPr="00E23CED">
              <w:t xml:space="preserve">, assume the </w:t>
            </w:r>
            <w:r w:rsidR="00240823" w:rsidRPr="00E23CED">
              <w:t xml:space="preserve">threshold of the </w:t>
            </w:r>
            <w:r w:rsidRPr="00E23CED">
              <w:t xml:space="preserve">DRP </w:t>
            </w:r>
            <w:r w:rsidR="00E76412" w:rsidRPr="00E23CED">
              <w:t>A</w:t>
            </w:r>
            <w:r w:rsidR="00887CAA" w:rsidRPr="00E23CED">
              <w:t> </w:t>
            </w:r>
            <w:r w:rsidR="00E76412" w:rsidRPr="00E23CED">
              <w:t>band</w:t>
            </w:r>
            <w:r w:rsidR="00C834CA" w:rsidRPr="00E23CED">
              <w:t xml:space="preserve"> for rivers</w:t>
            </w:r>
            <w:r w:rsidRPr="00E23CED">
              <w:t xml:space="preserve"> was determined as the most appropriate nutrient </w:t>
            </w:r>
            <w:r w:rsidR="00C4512A" w:rsidRPr="00E23CED">
              <w:t xml:space="preserve">outcome </w:t>
            </w:r>
            <w:r w:rsidRPr="00E23CED">
              <w:t>to achieve the environmental outcomes in that FMU (</w:t>
            </w:r>
            <w:r w:rsidR="0048442C" w:rsidRPr="00E23CED">
              <w:t>ie</w:t>
            </w:r>
            <w:r w:rsidRPr="00E23CED">
              <w:t>, for</w:t>
            </w:r>
            <w:r w:rsidR="00C834CA" w:rsidRPr="00E23CED">
              <w:t xml:space="preserve"> connected</w:t>
            </w:r>
            <w:r w:rsidRPr="00E23CED">
              <w:t xml:space="preserve"> receiving environments</w:t>
            </w:r>
            <w:r w:rsidR="00C834CA" w:rsidRPr="00E23CED">
              <w:t xml:space="preserve"> (</w:t>
            </w:r>
            <w:r w:rsidR="00AB34E7" w:rsidRPr="00E23CED">
              <w:t>such as</w:t>
            </w:r>
            <w:r w:rsidR="00C834CA" w:rsidRPr="00E23CED">
              <w:t xml:space="preserve"> estuaries and lakes)</w:t>
            </w:r>
            <w:r w:rsidRPr="00E23CED">
              <w:t xml:space="preserve">, periphyton biomass, </w:t>
            </w:r>
            <w:r w:rsidR="000F3A95" w:rsidRPr="00E23CED">
              <w:t>macroinvertebrate community index</w:t>
            </w:r>
            <w:r w:rsidRPr="00E23CED">
              <w:t xml:space="preserve">, </w:t>
            </w:r>
            <w:r w:rsidR="00DA1D8C" w:rsidRPr="00E23CED">
              <w:t>dissolved oxygen</w:t>
            </w:r>
            <w:r w:rsidRPr="00E23CED">
              <w:t xml:space="preserve">). </w:t>
            </w:r>
          </w:p>
          <w:p w14:paraId="65993AD7" w14:textId="7E037740" w:rsidR="00B02C78" w:rsidRPr="00E23CED" w:rsidRDefault="00B02C78" w:rsidP="00624CE0">
            <w:pPr>
              <w:pStyle w:val="Boxtext"/>
              <w:spacing w:after="80"/>
            </w:pPr>
            <w:r w:rsidRPr="00E23CED">
              <w:t>For the ICT of:</w:t>
            </w:r>
          </w:p>
          <w:p w14:paraId="6FAD4BEE" w14:textId="45F445F4" w:rsidR="001C60AD" w:rsidRPr="00E23CED" w:rsidRDefault="001C60AD" w:rsidP="00887CAA">
            <w:pPr>
              <w:pStyle w:val="Boxbullet"/>
              <w:spacing w:after="80"/>
            </w:pPr>
            <w:r w:rsidRPr="00E23CED">
              <w:t xml:space="preserve">0.006 mg/L, </w:t>
            </w:r>
            <w:r w:rsidR="00DA476E" w:rsidRPr="00E23CED">
              <w:t xml:space="preserve">the </w:t>
            </w:r>
            <w:r w:rsidRPr="00E23CED">
              <w:t>choice of</w:t>
            </w:r>
            <w:r w:rsidR="00C834CA" w:rsidRPr="00E23CED">
              <w:t xml:space="preserve"> this</w:t>
            </w:r>
            <w:r w:rsidRPr="00E23CED">
              <w:t xml:space="preserve"> median </w:t>
            </w:r>
            <w:r w:rsidR="00C834CA" w:rsidRPr="00E23CED">
              <w:t>threshold metric</w:t>
            </w:r>
            <w:r w:rsidRPr="00E23CED">
              <w:t xml:space="preserve"> to summarise</w:t>
            </w:r>
            <w:r w:rsidR="003F2C0C" w:rsidRPr="00E23CED">
              <w:t xml:space="preserve"> the</w:t>
            </w:r>
            <w:r w:rsidRPr="00E23CED">
              <w:t xml:space="preserve"> time series </w:t>
            </w:r>
            <w:r w:rsidR="00FF5BCC" w:rsidRPr="00E23CED">
              <w:t xml:space="preserve">means the </w:t>
            </w:r>
            <w:r w:rsidRPr="00E23CED">
              <w:t xml:space="preserve">regional </w:t>
            </w:r>
            <w:r w:rsidR="00FF5BCC" w:rsidRPr="00E23CED">
              <w:t xml:space="preserve">council has determined </w:t>
            </w:r>
            <w:r w:rsidR="00810C92" w:rsidRPr="00E23CED">
              <w:t xml:space="preserve">observations </w:t>
            </w:r>
            <w:r w:rsidRPr="00E23CED">
              <w:t xml:space="preserve">of DRP </w:t>
            </w:r>
            <w:r w:rsidR="00810C92" w:rsidRPr="00E23CED">
              <w:t>at appropriate sites</w:t>
            </w:r>
            <w:r w:rsidR="00F67868" w:rsidRPr="00E23CED">
              <w:t> </w:t>
            </w:r>
            <w:r w:rsidR="00810C92" w:rsidRPr="00E23CED">
              <w:t xml:space="preserve">in </w:t>
            </w:r>
            <w:r w:rsidR="00FF5BCC" w:rsidRPr="00E23CED">
              <w:t xml:space="preserve">the FMU </w:t>
            </w:r>
            <w:r w:rsidR="00E3757F" w:rsidRPr="00E23CED">
              <w:t>can</w:t>
            </w:r>
            <w:r w:rsidR="00FF5BCC" w:rsidRPr="00E23CED">
              <w:t xml:space="preserve"> exceed 0.006 mg/L </w:t>
            </w:r>
            <w:r w:rsidR="00810C92" w:rsidRPr="00E23CED">
              <w:t xml:space="preserve">for </w:t>
            </w:r>
            <w:r w:rsidR="00E3757F" w:rsidRPr="00E23CED">
              <w:t xml:space="preserve">no </w:t>
            </w:r>
            <w:r w:rsidR="00810C92" w:rsidRPr="00E23CED">
              <w:t xml:space="preserve">more than </w:t>
            </w:r>
            <w:r w:rsidR="00FF5BCC" w:rsidRPr="00E23CED">
              <w:t>half the time</w:t>
            </w:r>
            <w:r w:rsidR="00810C92" w:rsidRPr="00E23CED">
              <w:t xml:space="preserve"> (</w:t>
            </w:r>
            <w:r w:rsidRPr="00E23CED">
              <w:t>ie,</w:t>
            </w:r>
            <w:r w:rsidR="00810C92" w:rsidRPr="00E23CED">
              <w:t xml:space="preserve"> no more than</w:t>
            </w:r>
            <w:r w:rsidR="00F67868" w:rsidRPr="00E23CED">
              <w:t> </w:t>
            </w:r>
            <w:r w:rsidR="00810C92" w:rsidRPr="00E23CED">
              <w:t>30 monthly observations</w:t>
            </w:r>
            <w:r w:rsidRPr="00E23CED">
              <w:t xml:space="preserve"> &gt;0.006 mg/L </w:t>
            </w:r>
            <w:r w:rsidR="00810C92" w:rsidRPr="00E23CED">
              <w:t>in a continuous record over five years</w:t>
            </w:r>
            <w:r w:rsidR="001000CE" w:rsidRPr="00E23CED">
              <w:t xml:space="preserve"> will be</w:t>
            </w:r>
            <w:r w:rsidR="00F67868" w:rsidRPr="00E23CED">
              <w:t> </w:t>
            </w:r>
            <w:r w:rsidR="001000CE" w:rsidRPr="00E23CED">
              <w:t>tolerated</w:t>
            </w:r>
            <w:r w:rsidR="00810C92" w:rsidRPr="00E23CED">
              <w:t>)</w:t>
            </w:r>
            <w:r w:rsidRPr="00E23CED">
              <w:t xml:space="preserve"> </w:t>
            </w:r>
          </w:p>
          <w:p w14:paraId="258C4186" w14:textId="472C6CB8" w:rsidR="0094639F" w:rsidRPr="00E23CED" w:rsidRDefault="001C60AD" w:rsidP="00887CAA">
            <w:pPr>
              <w:pStyle w:val="Boxbullet"/>
              <w:spacing w:after="180"/>
            </w:pPr>
            <w:r w:rsidRPr="00E23CED">
              <w:t>0.21 mg/L</w:t>
            </w:r>
            <w:r w:rsidR="00E747FC" w:rsidRPr="00E23CED">
              <w:t>,</w:t>
            </w:r>
            <w:r w:rsidRPr="00E23CED">
              <w:t xml:space="preserve"> choice of the 95th percentile</w:t>
            </w:r>
            <w:r w:rsidR="00AF3B79" w:rsidRPr="00E23CED">
              <w:t xml:space="preserve"> threshold</w:t>
            </w:r>
            <w:r w:rsidRPr="00E23CED">
              <w:t xml:space="preserve"> means observations of DRP </w:t>
            </w:r>
            <w:r w:rsidR="00E3757F" w:rsidRPr="00E23CED">
              <w:t xml:space="preserve">can </w:t>
            </w:r>
            <w:r w:rsidR="00810C92" w:rsidRPr="00E23CED">
              <w:t xml:space="preserve">exceed 0.021 mg/L for </w:t>
            </w:r>
            <w:r w:rsidR="00E3757F" w:rsidRPr="00E23CED">
              <w:t xml:space="preserve">no </w:t>
            </w:r>
            <w:r w:rsidR="00810C92" w:rsidRPr="00E23CED">
              <w:t xml:space="preserve">more than </w:t>
            </w:r>
            <w:r w:rsidR="00FF5BCC" w:rsidRPr="00E23CED">
              <w:t>5</w:t>
            </w:r>
            <w:r w:rsidR="00600BF2" w:rsidRPr="00E23CED">
              <w:t xml:space="preserve"> per</w:t>
            </w:r>
            <w:r w:rsidR="00AB34E7" w:rsidRPr="00E23CED">
              <w:t xml:space="preserve"> </w:t>
            </w:r>
            <w:r w:rsidR="00600BF2" w:rsidRPr="00E23CED">
              <w:t>cent</w:t>
            </w:r>
            <w:r w:rsidR="00FF5BCC" w:rsidRPr="00E23CED">
              <w:t xml:space="preserve"> of the time</w:t>
            </w:r>
            <w:r w:rsidR="00810C92" w:rsidRPr="00E23CED">
              <w:t xml:space="preserve"> (ie, </w:t>
            </w:r>
            <w:r w:rsidR="00E3757F" w:rsidRPr="00E23CED">
              <w:t xml:space="preserve">no more than </w:t>
            </w:r>
            <w:r w:rsidR="00600BF2" w:rsidRPr="00E23CED">
              <w:t>three</w:t>
            </w:r>
            <w:r w:rsidR="00E3757F" w:rsidRPr="00E23CED">
              <w:t xml:space="preserve"> monthly observations &gt;0.021 mg/L in a continuous record over five years wi</w:t>
            </w:r>
            <w:r w:rsidR="002114CB" w:rsidRPr="00E23CED">
              <w:t>l</w:t>
            </w:r>
            <w:r w:rsidR="00E3757F" w:rsidRPr="00E23CED">
              <w:t>l be</w:t>
            </w:r>
            <w:r w:rsidR="00F67868" w:rsidRPr="00E23CED">
              <w:t> </w:t>
            </w:r>
            <w:r w:rsidR="00E3757F" w:rsidRPr="00E23CED">
              <w:t>tolerated</w:t>
            </w:r>
            <w:r w:rsidR="002114CB" w:rsidRPr="00E23CED">
              <w:t>)</w:t>
            </w:r>
            <w:r w:rsidR="00A239D4" w:rsidRPr="00E23CED">
              <w:t>.</w:t>
            </w:r>
          </w:p>
        </w:tc>
      </w:tr>
    </w:tbl>
    <w:p w14:paraId="7860238B" w14:textId="18F4B462" w:rsidR="006C1908" w:rsidRPr="00E23CED" w:rsidRDefault="006C1908" w:rsidP="00F67868">
      <w:pPr>
        <w:pStyle w:val="BodyText"/>
        <w:spacing w:before="240"/>
      </w:pPr>
      <w:bookmarkStart w:id="33" w:name="_Toc520810798"/>
      <w:bookmarkStart w:id="34" w:name="_Toc73711451"/>
      <w:bookmarkEnd w:id="29"/>
      <w:r w:rsidRPr="00E23CED">
        <w:t xml:space="preserve">Note that setting exceedance criteria (ie, tolerances to temporal variation in nutrient concentration) is just half </w:t>
      </w:r>
      <w:r w:rsidR="00A976C5" w:rsidRPr="00E23CED">
        <w:t xml:space="preserve">of </w:t>
      </w:r>
      <w:r w:rsidRPr="00E23CED">
        <w:t xml:space="preserve">the tolerance issue associated with </w:t>
      </w:r>
      <w:r w:rsidR="00600BF2" w:rsidRPr="00E23CED">
        <w:t>c</w:t>
      </w:r>
      <w:r w:rsidR="00096648" w:rsidRPr="00E23CED">
        <w:t>lause</w:t>
      </w:r>
      <w:r w:rsidRPr="00E23CED">
        <w:t xml:space="preserve"> 3.13. Tolerances of </w:t>
      </w:r>
      <w:r w:rsidRPr="00875002">
        <w:rPr>
          <w:b/>
          <w:bCs/>
        </w:rPr>
        <w:t>spatial</w:t>
      </w:r>
      <w:r w:rsidR="00F67868" w:rsidRPr="00875002">
        <w:rPr>
          <w:b/>
          <w:bCs/>
        </w:rPr>
        <w:t> </w:t>
      </w:r>
      <w:r w:rsidRPr="00875002">
        <w:rPr>
          <w:b/>
          <w:bCs/>
        </w:rPr>
        <w:t>variation</w:t>
      </w:r>
      <w:r w:rsidRPr="00E23CED">
        <w:t xml:space="preserve"> are at least as important </w:t>
      </w:r>
      <w:r w:rsidR="0093557E" w:rsidRPr="00E23CED">
        <w:t xml:space="preserve">as </w:t>
      </w:r>
      <w:r w:rsidRPr="00E23CED">
        <w:t xml:space="preserve">those of temporal variation. </w:t>
      </w:r>
      <w:r w:rsidRPr="00E23CED">
        <w:rPr>
          <w:rFonts w:eastAsia="Calibri" w:cs="Calibri"/>
        </w:rPr>
        <w:t>Se</w:t>
      </w:r>
      <w:r w:rsidRPr="00E23CED">
        <w:t xml:space="preserve">e </w:t>
      </w:r>
      <w:hyperlink w:anchor="_3.3.6__Periphyton" w:history="1">
        <w:r w:rsidR="0093557E" w:rsidRPr="00E23CED">
          <w:rPr>
            <w:rStyle w:val="Hyperlink"/>
          </w:rPr>
          <w:t>section 3.3.6 Periphyton and the look-up tables</w:t>
        </w:r>
      </w:hyperlink>
      <w:r w:rsidR="0093557E" w:rsidRPr="00E23CED">
        <w:t xml:space="preserve"> </w:t>
      </w:r>
      <w:r w:rsidRPr="00E23CED">
        <w:t>for an explanation of under-protection risk, which deals</w:t>
      </w:r>
      <w:r w:rsidR="00F67868" w:rsidRPr="00E23CED">
        <w:t> </w:t>
      </w:r>
      <w:r w:rsidRPr="00E23CED">
        <w:t xml:space="preserve">with tolerances of spatial exceedance. </w:t>
      </w:r>
      <w:r w:rsidR="00600BF2" w:rsidRPr="00E23CED">
        <w:t>See</w:t>
      </w:r>
      <w:r w:rsidRPr="00E23CED">
        <w:t xml:space="preserve"> </w:t>
      </w:r>
      <w:r w:rsidR="00600BF2" w:rsidRPr="00E23CED">
        <w:t>s</w:t>
      </w:r>
      <w:r w:rsidRPr="00E23CED">
        <w:t xml:space="preserve">ection 3.1 in </w:t>
      </w:r>
      <w:hyperlink r:id="rId51" w:history="1">
        <w:r w:rsidR="00B9683C" w:rsidRPr="00E23CED">
          <w:rPr>
            <w:rStyle w:val="Hyperlink"/>
            <w:rFonts w:cstheme="minorHAnsi"/>
            <w:i/>
          </w:rPr>
          <w:t>Setting instream nutrient concentration thresholds for nutrient-affected attributes in rivers: Guidance on implementing clause 3.13 of the NPS-FM</w:t>
        </w:r>
      </w:hyperlink>
      <w:r w:rsidR="00600BF2" w:rsidRPr="00E23CED">
        <w:t xml:space="preserve"> (Ministry for the Environment, 2022b)</w:t>
      </w:r>
      <w:r w:rsidR="00887CAA" w:rsidRPr="00E23CED">
        <w:t>,</w:t>
      </w:r>
      <w:r w:rsidR="00600BF2" w:rsidRPr="00E23CED">
        <w:t xml:space="preserve"> </w:t>
      </w:r>
      <w:r w:rsidRPr="00E23CED">
        <w:t xml:space="preserve">for a detailed explanation of exceedance criteria (both temporal and spatial). </w:t>
      </w:r>
    </w:p>
    <w:p w14:paraId="1B408089" w14:textId="77777777" w:rsidR="006C1908" w:rsidRPr="00E23CED" w:rsidRDefault="006C1908" w:rsidP="00F67868">
      <w:pPr>
        <w:pStyle w:val="Heading4"/>
      </w:pPr>
      <w:r w:rsidRPr="00E23CED">
        <w:lastRenderedPageBreak/>
        <w:t xml:space="preserve">Nutrient loads </w:t>
      </w:r>
    </w:p>
    <w:p w14:paraId="148FD71F" w14:textId="22A0DC4E" w:rsidR="006C1908" w:rsidRPr="00E23CED" w:rsidRDefault="006C1908" w:rsidP="00F67868">
      <w:pPr>
        <w:pStyle w:val="BodyText"/>
      </w:pPr>
      <w:r w:rsidRPr="00E23CED">
        <w:t xml:space="preserve">A nutrient load is the total mass of a nutrient </w:t>
      </w:r>
      <w:r w:rsidR="00AB1285" w:rsidRPr="00E23CED">
        <w:t>transported to a particular point</w:t>
      </w:r>
      <w:r w:rsidRPr="00E23CED">
        <w:t xml:space="preserve"> over </w:t>
      </w:r>
      <w:proofErr w:type="gramStart"/>
      <w:r w:rsidRPr="00E23CED">
        <w:t>a period of</w:t>
      </w:r>
      <w:r w:rsidR="004A5D7A">
        <w:t> </w:t>
      </w:r>
      <w:r w:rsidRPr="00E23CED">
        <w:t>time</w:t>
      </w:r>
      <w:proofErr w:type="gramEnd"/>
      <w:r w:rsidRPr="00E23CED">
        <w:t>. Loads can be measured at a specific point in time (ie, instantaneous load) or as a summed accumulation over time (eg</w:t>
      </w:r>
      <w:r w:rsidR="00600BF2" w:rsidRPr="00E23CED">
        <w:t>,</w:t>
      </w:r>
      <w:r w:rsidRPr="00E23CED">
        <w:t xml:space="preserve"> annual load). A load calculation at a defined point in a waterway integrates the load from upstream water bodies at that point (ie, a catchment load).</w:t>
      </w:r>
      <w:r w:rsidR="003A5B52" w:rsidRPr="00E23CED">
        <w:t xml:space="preserve"> </w:t>
      </w:r>
      <w:r w:rsidRPr="00E23CED">
        <w:t>In lakes, loads can be calculated from external sources (eg, from catchment runoff) or from internal sources (eg, the legacy load in sediments, Kowalczewska-Madura et al</w:t>
      </w:r>
      <w:r w:rsidR="006E427D" w:rsidRPr="00E23CED">
        <w:t>,</w:t>
      </w:r>
      <w:r w:rsidRPr="00E23CED">
        <w:t xml:space="preserve"> 2022). </w:t>
      </w:r>
    </w:p>
    <w:p w14:paraId="453EF3AA" w14:textId="5E211D75" w:rsidR="006C1908" w:rsidRPr="00E23CED" w:rsidRDefault="006C1908" w:rsidP="00F67868">
      <w:pPr>
        <w:pStyle w:val="BodyText"/>
      </w:pPr>
      <w:r w:rsidRPr="00E23CED">
        <w:t>Estimation of a</w:t>
      </w:r>
      <w:r w:rsidR="00347877" w:rsidRPr="00E23CED">
        <w:t>n</w:t>
      </w:r>
      <w:r w:rsidRPr="00E23CED">
        <w:t xml:space="preserve"> </w:t>
      </w:r>
      <w:r w:rsidR="00347877" w:rsidRPr="00E23CED">
        <w:t>instream</w:t>
      </w:r>
      <w:r w:rsidRPr="00E23CED">
        <w:t xml:space="preserve"> nutrient load requires a times series of nutrient concentrations and a corresponding flow record. </w:t>
      </w:r>
      <w:r w:rsidR="00DE511D" w:rsidRPr="00E23CED">
        <w:t>O</w:t>
      </w:r>
      <w:r w:rsidRPr="00E23CED">
        <w:t>ften</w:t>
      </w:r>
      <w:r w:rsidR="00DE511D" w:rsidRPr="00E23CED">
        <w:t>,</w:t>
      </w:r>
      <w:r w:rsidRPr="00E23CED">
        <w:t xml:space="preserve"> the nutrient times series interval (eg, monthly) is much </w:t>
      </w:r>
      <w:r w:rsidR="00AF3B79" w:rsidRPr="00E23CED">
        <w:t xml:space="preserve">coarser </w:t>
      </w:r>
      <w:r w:rsidRPr="00E23CED">
        <w:t>than that for the flow record (eg, hourly or less). Various methods have been used to calculate loads from such data</w:t>
      </w:r>
      <w:r w:rsidR="0037765E" w:rsidRPr="00E23CED">
        <w:t>,</w:t>
      </w:r>
      <w:r w:rsidRPr="00E23CED">
        <w:t xml:space="preserve"> all </w:t>
      </w:r>
      <w:r w:rsidR="0037765E" w:rsidRPr="00E23CED">
        <w:t>of which</w:t>
      </w:r>
      <w:r w:rsidRPr="00E23CED">
        <w:t xml:space="preserve"> have uncertainties (Snelder et al</w:t>
      </w:r>
      <w:r w:rsidR="00CC1D23" w:rsidRPr="00E23CED">
        <w:t>,</w:t>
      </w:r>
      <w:r w:rsidRPr="00E23CED">
        <w:t xml:space="preserve"> 201</w:t>
      </w:r>
      <w:r w:rsidR="00550B5E" w:rsidRPr="00E23CED">
        <w:t>6</w:t>
      </w:r>
      <w:r w:rsidRPr="00E23CED">
        <w:t xml:space="preserve">). </w:t>
      </w:r>
    </w:p>
    <w:p w14:paraId="4F1E5B45" w14:textId="1ECC7414" w:rsidR="006C1908" w:rsidRPr="00E23CED" w:rsidRDefault="006C1908" w:rsidP="00F67868">
      <w:pPr>
        <w:pStyle w:val="Heading4"/>
      </w:pPr>
      <w:r w:rsidRPr="00E23CED">
        <w:t xml:space="preserve">Use of the term </w:t>
      </w:r>
      <w:r w:rsidR="002A516D" w:rsidRPr="00E23CED">
        <w:t>‘</w:t>
      </w:r>
      <w:r w:rsidRPr="00E23CED">
        <w:t>nutrient criteria</w:t>
      </w:r>
      <w:r w:rsidR="002A516D" w:rsidRPr="00E23CED">
        <w:t>’</w:t>
      </w:r>
    </w:p>
    <w:p w14:paraId="4F2E0B0F" w14:textId="289AE042" w:rsidR="006C1908" w:rsidRPr="00E23CED" w:rsidRDefault="006C1908" w:rsidP="00F67868">
      <w:pPr>
        <w:pStyle w:val="BodyText"/>
      </w:pPr>
      <w:r w:rsidRPr="00E23CED">
        <w:t>For</w:t>
      </w:r>
      <w:r w:rsidR="00600BF2" w:rsidRPr="00E23CED">
        <w:t xml:space="preserve"> brevity</w:t>
      </w:r>
      <w:r w:rsidR="002A516D" w:rsidRPr="00E23CED">
        <w:t>,</w:t>
      </w:r>
      <w:r w:rsidR="00600BF2" w:rsidRPr="00E23CED">
        <w:t xml:space="preserve"> over</w:t>
      </w:r>
      <w:r w:rsidRPr="00E23CED">
        <w:t xml:space="preserve"> the </w:t>
      </w:r>
      <w:r w:rsidR="00600BF2" w:rsidRPr="00E23CED">
        <w:t xml:space="preserve">rest </w:t>
      </w:r>
      <w:r w:rsidRPr="00E23CED">
        <w:t xml:space="preserve">of this guidance, the term </w:t>
      </w:r>
      <w:r w:rsidR="002A516D" w:rsidRPr="00E23CED">
        <w:t>‘</w:t>
      </w:r>
      <w:r w:rsidRPr="00E23CED">
        <w:t>nutrient criteria</w:t>
      </w:r>
      <w:r w:rsidR="002A516D" w:rsidRPr="00E23CED">
        <w:t>’</w:t>
      </w:r>
      <w:r w:rsidRPr="00E23CED">
        <w:t xml:space="preserve"> refers to “instream concentrations and exceedance criteria, or instream loads</w:t>
      </w:r>
      <w:r w:rsidR="00360E80" w:rsidRPr="00E23CED">
        <w:t>.”</w:t>
      </w:r>
      <w:r w:rsidRPr="00E23CED">
        <w:t xml:space="preserve"> For the purposes of this guidance, nutrient loads are considered part of nutrient criteria, despite not carrying implicit exceedance criteria. </w:t>
      </w:r>
      <w:r w:rsidR="008C0EA2" w:rsidRPr="00E23CED">
        <w:t xml:space="preserve">Nutrient criteria can be developed for any water body type, </w:t>
      </w:r>
      <w:r w:rsidR="00A17CE8" w:rsidRPr="00E23CED">
        <w:t xml:space="preserve">with the term ‘instream’ relating to the flow of water along the </w:t>
      </w:r>
      <w:r w:rsidR="00B2466C" w:rsidRPr="00E23CED">
        <w:t xml:space="preserve">ki uta ki tai </w:t>
      </w:r>
      <w:r w:rsidR="00B6599D" w:rsidRPr="00E23CED">
        <w:t xml:space="preserve">(from the mountains to sea) </w:t>
      </w:r>
      <w:r w:rsidR="00A17CE8" w:rsidRPr="00E23CED">
        <w:t xml:space="preserve">continuum. </w:t>
      </w:r>
      <w:r w:rsidR="0069013B" w:rsidRPr="00E23CED">
        <w:t>The term ‘instream’ is not exclusive to river habitats.</w:t>
      </w:r>
    </w:p>
    <w:p w14:paraId="346B1957" w14:textId="77777777" w:rsidR="006C1908" w:rsidRPr="00E23CED" w:rsidRDefault="006C1908" w:rsidP="00F67868">
      <w:pPr>
        <w:pStyle w:val="Heading4"/>
      </w:pPr>
      <w:r w:rsidRPr="00E23CED">
        <w:t xml:space="preserve">Nutrient outcomes needed to achieve the target attribute </w:t>
      </w:r>
      <w:proofErr w:type="gramStart"/>
      <w:r w:rsidRPr="00E23CED">
        <w:t>states</w:t>
      </w:r>
      <w:proofErr w:type="gramEnd"/>
    </w:p>
    <w:p w14:paraId="0C2B729C" w14:textId="284D4D70" w:rsidR="006C1908" w:rsidRPr="00E23CED" w:rsidRDefault="006C1908" w:rsidP="00F67868">
      <w:pPr>
        <w:pStyle w:val="BodyText"/>
      </w:pPr>
      <w:r w:rsidRPr="00E23CED">
        <w:t xml:space="preserve">Nutrient outcomes </w:t>
      </w:r>
      <w:r w:rsidR="00600BF2" w:rsidRPr="00E23CED">
        <w:t xml:space="preserve">are </w:t>
      </w:r>
      <w:r w:rsidRPr="00E23CED">
        <w:t>needed to achieve the target attribute states</w:t>
      </w:r>
      <w:r w:rsidR="001515F0" w:rsidRPr="00E23CED">
        <w:t>,</w:t>
      </w:r>
      <w:r w:rsidRPr="00E23CED">
        <w:t xml:space="preserve"> defined in </w:t>
      </w:r>
      <w:r w:rsidR="00600BF2" w:rsidRPr="00E23CED">
        <w:t>c</w:t>
      </w:r>
      <w:r w:rsidR="00096648" w:rsidRPr="00E23CED">
        <w:t>lause</w:t>
      </w:r>
      <w:r w:rsidRPr="00E23CED">
        <w:t> 1.4 of</w:t>
      </w:r>
      <w:r w:rsidR="000C11E6" w:rsidRPr="00E23CED">
        <w:t> </w:t>
      </w:r>
      <w:r w:rsidRPr="00E23CED">
        <w:t xml:space="preserve">the NPS-FM as “the instream concentrations and exceedance criteria, or instream loads, for nitrogen and phosphorus, adopted under </w:t>
      </w:r>
      <w:r w:rsidR="00384CE4" w:rsidRPr="00E23CED">
        <w:t>c</w:t>
      </w:r>
      <w:r w:rsidR="00096648" w:rsidRPr="00E23CED">
        <w:t>lause</w:t>
      </w:r>
      <w:r w:rsidRPr="00E23CED">
        <w:t xml:space="preserve"> 3.13(4)”.</w:t>
      </w:r>
      <w:r w:rsidR="003A5B52" w:rsidRPr="00E23CED">
        <w:t xml:space="preserve"> </w:t>
      </w:r>
    </w:p>
    <w:p w14:paraId="06B8617A" w14:textId="7455310B" w:rsidR="00EA0A66" w:rsidRPr="00E23CED" w:rsidRDefault="00EA0A66" w:rsidP="00EA0A66">
      <w:pPr>
        <w:pStyle w:val="Heading3"/>
      </w:pPr>
      <w:r w:rsidRPr="00E23CED">
        <w:t>2.1.4</w:t>
      </w:r>
      <w:r w:rsidRPr="00E23CED">
        <w:tab/>
      </w:r>
      <w:r w:rsidRPr="00E23CED">
        <w:rPr>
          <w:rFonts w:eastAsia="Calibri"/>
        </w:rPr>
        <w:t>Upstream contributing water bodies</w:t>
      </w:r>
      <w:r w:rsidRPr="00E23CED">
        <w:t xml:space="preserve"> </w:t>
      </w:r>
    </w:p>
    <w:p w14:paraId="52D949BF" w14:textId="7FC9D1C5" w:rsidR="00EA0A66" w:rsidRPr="00E23CED" w:rsidRDefault="00EA0A66" w:rsidP="00F67868">
      <w:pPr>
        <w:pStyle w:val="BodyText"/>
      </w:pPr>
      <w:r w:rsidRPr="00E23CED">
        <w:t xml:space="preserve">The upstream contributing water bodies referred to in </w:t>
      </w:r>
      <w:r w:rsidR="00600BF2" w:rsidRPr="00E23CED">
        <w:t>c</w:t>
      </w:r>
      <w:r w:rsidR="00096648" w:rsidRPr="00E23CED">
        <w:t>lause</w:t>
      </w:r>
      <w:r w:rsidRPr="00E23CED">
        <w:t xml:space="preserve"> 3.13(2) are any freshwater </w:t>
      </w:r>
      <w:r w:rsidR="00AA277B" w:rsidRPr="00E23CED">
        <w:t>bodies</w:t>
      </w:r>
      <w:r w:rsidRPr="00E23CED">
        <w:t xml:space="preserve"> to which </w:t>
      </w:r>
      <w:r w:rsidR="00600BF2" w:rsidRPr="00E23CED">
        <w:t>c</w:t>
      </w:r>
      <w:r w:rsidR="00096648" w:rsidRPr="00E23CED">
        <w:t>lause</w:t>
      </w:r>
      <w:r w:rsidRPr="00E23CED">
        <w:t xml:space="preserve"> 3.13(1) applies.</w:t>
      </w:r>
      <w:r w:rsidR="003A5B52" w:rsidRPr="00E23CED">
        <w:t xml:space="preserve"> </w:t>
      </w:r>
      <w:r w:rsidR="001515F0" w:rsidRPr="00E23CED">
        <w:t xml:space="preserve">The main </w:t>
      </w:r>
      <w:r w:rsidRPr="00E23CED">
        <w:t xml:space="preserve">points are: </w:t>
      </w:r>
    </w:p>
    <w:p w14:paraId="12FFE1B0" w14:textId="516ECBB8" w:rsidR="00EA0A66" w:rsidRPr="00E23CED" w:rsidRDefault="00384CE4" w:rsidP="00F67868">
      <w:pPr>
        <w:pStyle w:val="Bullet"/>
      </w:pPr>
      <w:r w:rsidRPr="00E23CED">
        <w:t>c</w:t>
      </w:r>
      <w:r w:rsidR="00096648" w:rsidRPr="00E23CED">
        <w:t>lause</w:t>
      </w:r>
      <w:r w:rsidR="00EA0A66" w:rsidRPr="00E23CED">
        <w:t xml:space="preserve"> 3.13 applies to every attribute affected by nutrients identified for a water </w:t>
      </w:r>
      <w:proofErr w:type="gramStart"/>
      <w:r w:rsidR="00EA0A66" w:rsidRPr="00E23CED">
        <w:t>body</w:t>
      </w:r>
      <w:proofErr w:type="gramEnd"/>
    </w:p>
    <w:p w14:paraId="7D81E564" w14:textId="228A3FD7" w:rsidR="00EA0A66" w:rsidRPr="00E23CED" w:rsidRDefault="00384CE4" w:rsidP="00F67868">
      <w:pPr>
        <w:pStyle w:val="Bullet"/>
      </w:pPr>
      <w:r w:rsidRPr="00E23CED">
        <w:t>t</w:t>
      </w:r>
      <w:r w:rsidR="00EA0A66" w:rsidRPr="00E23CED">
        <w:t>he nutrient criteria for the water body are necessarily constrained by the attribute that requires the most stringent nutrient criteri</w:t>
      </w:r>
      <w:r w:rsidR="00F60155" w:rsidRPr="00E23CED">
        <w:t>on</w:t>
      </w:r>
      <w:r w:rsidR="00EA0A66" w:rsidRPr="00E23CED">
        <w:t xml:space="preserve">. </w:t>
      </w:r>
    </w:p>
    <w:p w14:paraId="6374635A" w14:textId="0347644B" w:rsidR="00D74AE2" w:rsidRPr="00E23CED" w:rsidRDefault="00D74AE2" w:rsidP="00D74AE2">
      <w:pPr>
        <w:pStyle w:val="Heading3"/>
      </w:pPr>
      <w:r w:rsidRPr="00E23CED">
        <w:t>2.1.</w:t>
      </w:r>
      <w:r w:rsidR="006C1908" w:rsidRPr="00E23CED">
        <w:t>5</w:t>
      </w:r>
      <w:r w:rsidRPr="00E23CED">
        <w:tab/>
        <w:t xml:space="preserve">Nutrient-sensitive downstream receiving environments </w:t>
      </w:r>
    </w:p>
    <w:p w14:paraId="103979B2" w14:textId="06307E5D" w:rsidR="00AF30E5" w:rsidRPr="00E23CED" w:rsidRDefault="00096648" w:rsidP="00F67868">
      <w:pPr>
        <w:pStyle w:val="BodyText"/>
        <w:rPr>
          <w:rFonts w:asciiTheme="minorHAnsi" w:eastAsiaTheme="majorEastAsia" w:hAnsiTheme="minorHAnsi" w:cs="Times New Roman"/>
        </w:rPr>
      </w:pPr>
      <w:r w:rsidRPr="00E23CED">
        <w:t>Clause</w:t>
      </w:r>
      <w:r w:rsidR="00AF30E5" w:rsidRPr="00E23CED">
        <w:t xml:space="preserve"> 3.13(2) requires </w:t>
      </w:r>
      <w:r w:rsidR="00632FE1" w:rsidRPr="00E23CED">
        <w:t xml:space="preserve">that </w:t>
      </w:r>
      <w:r w:rsidR="00AF30E5" w:rsidRPr="00E23CED">
        <w:t xml:space="preserve">nutrient criteria for upstream contributing water bodies must consider </w:t>
      </w:r>
      <w:r w:rsidR="00AF30E5" w:rsidRPr="00E23CED">
        <w:rPr>
          <w:spacing w:val="-2"/>
        </w:rPr>
        <w:t>the environmental outcomes sought for nutrient-sensitive downstream receiving environment</w:t>
      </w:r>
      <w:r w:rsidR="00AF30E5" w:rsidRPr="00E23CED">
        <w:t xml:space="preserve">s. </w:t>
      </w:r>
      <w:r w:rsidR="00AF30E5" w:rsidRPr="00E23CED">
        <w:rPr>
          <w:rFonts w:asciiTheme="minorHAnsi" w:eastAsiaTheme="majorEastAsia" w:hAnsiTheme="minorHAnsi" w:cs="Times New Roman"/>
        </w:rPr>
        <w:t>Downstream receiving environments include all parts of the interconnected aquatic network downstream of a specified site</w:t>
      </w:r>
      <w:r w:rsidR="00600BF2" w:rsidRPr="00E23CED">
        <w:rPr>
          <w:rFonts w:asciiTheme="minorHAnsi" w:eastAsiaTheme="majorEastAsia" w:hAnsiTheme="minorHAnsi" w:cs="Times New Roman"/>
        </w:rPr>
        <w:t>,</w:t>
      </w:r>
      <w:r w:rsidR="00AF30E5" w:rsidRPr="00E23CED">
        <w:rPr>
          <w:rFonts w:asciiTheme="minorHAnsi" w:eastAsiaTheme="majorEastAsia" w:hAnsiTheme="minorHAnsi" w:cs="Times New Roman"/>
        </w:rPr>
        <w:t xml:space="preserve"> </w:t>
      </w:r>
      <w:r w:rsidR="00014289" w:rsidRPr="00E23CED">
        <w:rPr>
          <w:rFonts w:asciiTheme="minorHAnsi" w:eastAsiaTheme="majorEastAsia" w:hAnsiTheme="minorHAnsi" w:cs="Times New Roman"/>
        </w:rPr>
        <w:t>such as</w:t>
      </w:r>
      <w:r w:rsidR="00AF30E5" w:rsidRPr="00E23CED">
        <w:rPr>
          <w:rFonts w:asciiTheme="minorHAnsi" w:eastAsiaTheme="majorEastAsia" w:hAnsiTheme="minorHAnsi" w:cs="Times New Roman"/>
        </w:rPr>
        <w:t xml:space="preserve"> rivers, lakes, wetlands, aquifers, estuaries and coastal environments.</w:t>
      </w:r>
      <w:r w:rsidR="008056E4" w:rsidRPr="00E23CED">
        <w:rPr>
          <w:rFonts w:asciiTheme="minorHAnsi" w:eastAsiaTheme="majorEastAsia" w:hAnsiTheme="minorHAnsi" w:cs="Times New Roman"/>
        </w:rPr>
        <w:t xml:space="preserve"> For further information</w:t>
      </w:r>
      <w:r w:rsidR="009105EB" w:rsidRPr="00E23CED">
        <w:rPr>
          <w:rFonts w:asciiTheme="minorHAnsi" w:eastAsiaTheme="majorEastAsia" w:hAnsiTheme="minorHAnsi" w:cs="Times New Roman"/>
        </w:rPr>
        <w:t>,</w:t>
      </w:r>
      <w:r w:rsidR="008056E4" w:rsidRPr="00E23CED">
        <w:rPr>
          <w:rFonts w:asciiTheme="minorHAnsi" w:eastAsiaTheme="majorEastAsia" w:hAnsiTheme="minorHAnsi" w:cs="Times New Roman"/>
        </w:rPr>
        <w:t xml:space="preserve"> </w:t>
      </w:r>
      <w:r w:rsidR="00600BF2" w:rsidRPr="00E23CED">
        <w:rPr>
          <w:rFonts w:asciiTheme="minorHAnsi" w:eastAsiaTheme="majorEastAsia" w:hAnsiTheme="minorHAnsi" w:cs="Times New Roman"/>
        </w:rPr>
        <w:t>see</w:t>
      </w:r>
      <w:r w:rsidR="009105EB" w:rsidRPr="00E23CED">
        <w:t xml:space="preserve"> </w:t>
      </w:r>
      <w:hyperlink w:anchor="_3.1__General" w:history="1">
        <w:r w:rsidR="009105EB" w:rsidRPr="00E23CED">
          <w:rPr>
            <w:rStyle w:val="Hyperlink"/>
            <w:rFonts w:asciiTheme="minorHAnsi" w:eastAsiaTheme="majorEastAsia" w:hAnsiTheme="minorHAnsi" w:cs="Times New Roman"/>
          </w:rPr>
          <w:t>section 3.1 General approach</w:t>
        </w:r>
      </w:hyperlink>
      <w:r w:rsidR="008056E4" w:rsidRPr="00E23CED">
        <w:rPr>
          <w:rFonts w:asciiTheme="minorHAnsi" w:eastAsiaTheme="majorEastAsia" w:hAnsiTheme="minorHAnsi" w:cs="Times New Roman"/>
        </w:rPr>
        <w:t>.</w:t>
      </w:r>
    </w:p>
    <w:p w14:paraId="13DBAF10" w14:textId="0CCBACA2" w:rsidR="00AF30E5" w:rsidRPr="00E23CED" w:rsidRDefault="00096648" w:rsidP="00F67868">
      <w:pPr>
        <w:pStyle w:val="BodyText"/>
      </w:pPr>
      <w:r w:rsidRPr="00E23CED">
        <w:t>Clause</w:t>
      </w:r>
      <w:r w:rsidR="00AF30E5" w:rsidRPr="00E23CED">
        <w:t xml:space="preserve"> 3.13(2) addresses the risk that TASs </w:t>
      </w:r>
      <w:r w:rsidR="00F44708" w:rsidRPr="00E23CED">
        <w:t>(</w:t>
      </w:r>
      <w:r w:rsidR="00AF30E5" w:rsidRPr="00E23CED">
        <w:t>and their associated instream nutrient concentrations and exceedance criteria</w:t>
      </w:r>
      <w:r w:rsidR="00F44708" w:rsidRPr="00E23CED">
        <w:t>)</w:t>
      </w:r>
      <w:r w:rsidR="00AF30E5" w:rsidRPr="00E23CED">
        <w:t xml:space="preserve"> set for upstream contributing water bodies</w:t>
      </w:r>
      <w:r w:rsidR="00D048B9">
        <w:t>,</w:t>
      </w:r>
      <w:r w:rsidR="00AF30E5" w:rsidRPr="00E23CED">
        <w:t xml:space="preserve"> </w:t>
      </w:r>
      <w:r w:rsidR="00D048B9">
        <w:t>w</w:t>
      </w:r>
      <w:r w:rsidR="00AF30E5" w:rsidRPr="00E23CED">
        <w:t>hile</w:t>
      </w:r>
      <w:r w:rsidR="005D0618" w:rsidRPr="00E23CED">
        <w:t xml:space="preserve"> </w:t>
      </w:r>
      <w:r w:rsidR="00AF30E5" w:rsidRPr="00E23CED">
        <w:t>good enough to protect those water bodies</w:t>
      </w:r>
      <w:r w:rsidR="00F44708" w:rsidRPr="00E23CED">
        <w:t xml:space="preserve">, </w:t>
      </w:r>
      <w:r w:rsidR="00AF30E5" w:rsidRPr="00E23CED">
        <w:t xml:space="preserve">may not sufficiently protect the environments </w:t>
      </w:r>
      <w:r w:rsidR="00AF30E5" w:rsidRPr="00E23CED">
        <w:lastRenderedPageBreak/>
        <w:t xml:space="preserve">downstream. </w:t>
      </w:r>
      <w:r w:rsidRPr="00E23CED">
        <w:t>Clause</w:t>
      </w:r>
      <w:r w:rsidR="00AF30E5" w:rsidRPr="00E23CED">
        <w:t xml:space="preserve"> 3.13 </w:t>
      </w:r>
      <w:r w:rsidR="00410B5D">
        <w:t>outlines that</w:t>
      </w:r>
      <w:r w:rsidR="006D596D">
        <w:t xml:space="preserve"> TASs for</w:t>
      </w:r>
      <w:r w:rsidR="00AF30E5" w:rsidRPr="00E23CED">
        <w:t xml:space="preserve"> instream nutrient concentrations must be stringent enough to account for the effects of these concentrations on nutrient-sensitive downstream receiving environments. </w:t>
      </w:r>
    </w:p>
    <w:p w14:paraId="57D6EC6D" w14:textId="3C25CC6C" w:rsidR="00AF30E5" w:rsidRPr="00E23CED" w:rsidRDefault="00F44708" w:rsidP="00AF30E5">
      <w:pPr>
        <w:pStyle w:val="BodyText"/>
      </w:pPr>
      <w:r w:rsidRPr="00E23CED">
        <w:rPr>
          <w:rFonts w:eastAsia="Calibri" w:cs="Calibri"/>
          <w:spacing w:val="-2"/>
        </w:rPr>
        <w:t>I</w:t>
      </w:r>
      <w:r w:rsidR="00AF30E5" w:rsidRPr="00E23CED">
        <w:rPr>
          <w:rFonts w:eastAsia="Calibri" w:cs="Calibri"/>
          <w:spacing w:val="-2"/>
        </w:rPr>
        <w:t>t is important to consider the environmental outcomes for downstream receiving environments</w:t>
      </w:r>
      <w:r w:rsidR="00AF30E5" w:rsidRPr="00E23CED">
        <w:rPr>
          <w:rFonts w:eastAsia="Calibri" w:cs="Calibri"/>
        </w:rPr>
        <w:t xml:space="preserve"> as integral to the process of nutrient criteria setting. Structured decision-making approaches are useful tools for integrat</w:t>
      </w:r>
      <w:r w:rsidR="003872EA" w:rsidRPr="00E23CED">
        <w:rPr>
          <w:rFonts w:eastAsia="Calibri" w:cs="Calibri"/>
        </w:rPr>
        <w:t>ion of nutrient criteria</w:t>
      </w:r>
      <w:r w:rsidR="00AF30E5" w:rsidRPr="00E23CED">
        <w:rPr>
          <w:rFonts w:eastAsia="Calibri" w:cs="Calibri"/>
        </w:rPr>
        <w:t xml:space="preserve"> in line with the NPS-FM. </w:t>
      </w:r>
      <w:r w:rsidRPr="00E23CED">
        <w:rPr>
          <w:rFonts w:eastAsia="Calibri" w:cs="Calibri"/>
        </w:rPr>
        <w:t>See</w:t>
      </w:r>
      <w:r w:rsidR="00A40FA8" w:rsidRPr="00E23CED">
        <w:t xml:space="preserve"> </w:t>
      </w:r>
      <w:hyperlink w:anchor="_3_Implementing_clause" w:history="1">
        <w:r w:rsidR="00A40FA8" w:rsidRPr="00E23CED">
          <w:rPr>
            <w:rStyle w:val="Hyperlink"/>
            <w:rFonts w:eastAsia="Calibri" w:cs="Calibri"/>
          </w:rPr>
          <w:t>section 3 Implementing clause 3.13</w:t>
        </w:r>
      </w:hyperlink>
      <w:r w:rsidR="003872EA" w:rsidRPr="00E23CED">
        <w:rPr>
          <w:rFonts w:eastAsia="Calibri" w:cs="Calibri"/>
        </w:rPr>
        <w:t xml:space="preserve">. </w:t>
      </w:r>
    </w:p>
    <w:p w14:paraId="24338F1C" w14:textId="77777777" w:rsidR="00AF30E5" w:rsidRPr="00E23CED" w:rsidRDefault="00AF30E5" w:rsidP="00F67868">
      <w:pPr>
        <w:pStyle w:val="BodyText"/>
      </w:pPr>
    </w:p>
    <w:p w14:paraId="64E825BF" w14:textId="77777777" w:rsidR="00F67868" w:rsidRPr="00E23CED" w:rsidRDefault="00F67868" w:rsidP="00F67868">
      <w:pPr>
        <w:pStyle w:val="BodyText"/>
      </w:pPr>
      <w:bookmarkStart w:id="35" w:name="_Ref139925990"/>
      <w:bookmarkEnd w:id="33"/>
      <w:bookmarkEnd w:id="34"/>
      <w:r w:rsidRPr="00E23CED">
        <w:br w:type="page"/>
      </w:r>
    </w:p>
    <w:p w14:paraId="1A0A9B2F" w14:textId="1036D0CF" w:rsidR="00B60453" w:rsidRPr="00E23CED" w:rsidRDefault="008330E6" w:rsidP="008330E6">
      <w:pPr>
        <w:pStyle w:val="Heading1"/>
      </w:pPr>
      <w:bookmarkStart w:id="36" w:name="_3_Implementing_clause"/>
      <w:bookmarkStart w:id="37" w:name="_Toc143077509"/>
      <w:bookmarkEnd w:id="36"/>
      <w:r w:rsidRPr="00E23CED">
        <w:lastRenderedPageBreak/>
        <w:t>3</w:t>
      </w:r>
      <w:r w:rsidRPr="00E23CED">
        <w:tab/>
      </w:r>
      <w:r w:rsidR="00DB2B4A" w:rsidRPr="00E23CED">
        <w:t>I</w:t>
      </w:r>
      <w:r w:rsidR="00695201" w:rsidRPr="00E23CED">
        <w:t xml:space="preserve">mplementing </w:t>
      </w:r>
      <w:r w:rsidR="00F44708" w:rsidRPr="00E23CED">
        <w:t>c</w:t>
      </w:r>
      <w:r w:rsidR="00096648" w:rsidRPr="00E23CED">
        <w:t>lause</w:t>
      </w:r>
      <w:r w:rsidR="00695201" w:rsidRPr="00E23CED">
        <w:t xml:space="preserve"> </w:t>
      </w:r>
      <w:proofErr w:type="gramStart"/>
      <w:r w:rsidR="00695201" w:rsidRPr="00E23CED">
        <w:t>3.13</w:t>
      </w:r>
      <w:bookmarkEnd w:id="35"/>
      <w:bookmarkEnd w:id="37"/>
      <w:proofErr w:type="gramEnd"/>
      <w:r w:rsidR="00B60453" w:rsidRPr="00E23CED">
        <w:t xml:space="preserve"> </w:t>
      </w:r>
    </w:p>
    <w:p w14:paraId="0BA73AB5" w14:textId="16C5D9F9" w:rsidR="00B84714" w:rsidRPr="00E23CED" w:rsidRDefault="00B84714" w:rsidP="00123237">
      <w:pPr>
        <w:pStyle w:val="Heading2"/>
        <w:spacing w:before="240"/>
      </w:pPr>
      <w:bookmarkStart w:id="38" w:name="_3.1__General"/>
      <w:bookmarkStart w:id="39" w:name="_Ref140418172"/>
      <w:bookmarkStart w:id="40" w:name="_Ref140427378"/>
      <w:bookmarkStart w:id="41" w:name="_Toc143077510"/>
      <w:bookmarkEnd w:id="38"/>
      <w:r w:rsidRPr="00E23CED">
        <w:t xml:space="preserve">3.1 </w:t>
      </w:r>
      <w:r w:rsidR="00F67868" w:rsidRPr="00E23CED">
        <w:tab/>
      </w:r>
      <w:r w:rsidRPr="00E23CED">
        <w:t>General approach</w:t>
      </w:r>
      <w:bookmarkEnd w:id="39"/>
      <w:bookmarkEnd w:id="40"/>
      <w:r w:rsidR="00C26488" w:rsidRPr="00E23CED">
        <w:t xml:space="preserve"> for setting nutrient criteria</w:t>
      </w:r>
      <w:r w:rsidR="00B65716" w:rsidRPr="00E23CED">
        <w:t xml:space="preserve"> under clause </w:t>
      </w:r>
      <w:proofErr w:type="gramStart"/>
      <w:r w:rsidR="00B65716" w:rsidRPr="00E23CED">
        <w:t>3.13</w:t>
      </w:r>
      <w:bookmarkEnd w:id="41"/>
      <w:proofErr w:type="gramEnd"/>
    </w:p>
    <w:p w14:paraId="06B04E33" w14:textId="16D18558" w:rsidR="00786C8E" w:rsidRPr="00E23CED" w:rsidRDefault="00EE6A40" w:rsidP="00123237">
      <w:pPr>
        <w:pStyle w:val="BodyText"/>
        <w:spacing w:after="100"/>
      </w:pPr>
      <w:r w:rsidRPr="00E23CED">
        <w:t>While t</w:t>
      </w:r>
      <w:r w:rsidR="449156C6" w:rsidRPr="00E23CED">
        <w:t>his section</w:t>
      </w:r>
      <w:r w:rsidR="508AA81B" w:rsidRPr="00E23CED">
        <w:t xml:space="preserve"> </w:t>
      </w:r>
      <w:r w:rsidR="00B43840" w:rsidRPr="00E23CED">
        <w:t>outlines a general approach</w:t>
      </w:r>
      <w:r w:rsidRPr="00E23CED">
        <w:t>,</w:t>
      </w:r>
      <w:r w:rsidR="001A46B7" w:rsidRPr="00E23CED">
        <w:t xml:space="preserve"> detailed</w:t>
      </w:r>
      <w:r w:rsidR="4838C4AC" w:rsidRPr="00E23CED">
        <w:t xml:space="preserve"> </w:t>
      </w:r>
      <w:r w:rsidR="00B15EE1" w:rsidRPr="00E23CED">
        <w:t xml:space="preserve">technical </w:t>
      </w:r>
      <w:r w:rsidR="4838C4AC" w:rsidRPr="00E23CED">
        <w:t>i</w:t>
      </w:r>
      <w:r w:rsidR="508AA81B" w:rsidRPr="00E23CED">
        <w:t xml:space="preserve">nformation to </w:t>
      </w:r>
      <w:r w:rsidR="00B15EE1" w:rsidRPr="00E23CED">
        <w:t>inform good practice</w:t>
      </w:r>
      <w:r w:rsidR="508AA81B" w:rsidRPr="00E23CED">
        <w:t xml:space="preserve"> can be found in</w:t>
      </w:r>
      <w:r w:rsidR="00786C8E" w:rsidRPr="00E23CED">
        <w:t>:</w:t>
      </w:r>
    </w:p>
    <w:p w14:paraId="273A002B" w14:textId="06DF669D" w:rsidR="00786C8E" w:rsidRPr="00E23CED" w:rsidRDefault="00E8131B" w:rsidP="00123237">
      <w:pPr>
        <w:pStyle w:val="Bullet"/>
        <w:spacing w:after="100"/>
        <w:rPr>
          <w:rFonts w:eastAsia="Calibri"/>
        </w:rPr>
      </w:pPr>
      <w:hyperlink r:id="rId52" w:history="1">
        <w:r w:rsidR="00D93B5B" w:rsidRPr="00E23CED">
          <w:rPr>
            <w:rStyle w:val="Hyperlink"/>
            <w:rFonts w:eastAsiaTheme="majorEastAsia"/>
            <w:i/>
            <w:iCs/>
          </w:rPr>
          <w:t>Guidance on look</w:t>
        </w:r>
        <w:r w:rsidR="00B91B4E" w:rsidRPr="00E23CED">
          <w:rPr>
            <w:rStyle w:val="Hyperlink"/>
            <w:rFonts w:eastAsiaTheme="majorEastAsia"/>
            <w:i/>
            <w:iCs/>
          </w:rPr>
          <w:t>-</w:t>
        </w:r>
        <w:r w:rsidR="00D93B5B" w:rsidRPr="00E23CED">
          <w:rPr>
            <w:rStyle w:val="Hyperlink"/>
            <w:rFonts w:eastAsiaTheme="majorEastAsia"/>
            <w:i/>
            <w:iCs/>
          </w:rPr>
          <w:t>up tables for setting nutrient targets for periphyton</w:t>
        </w:r>
      </w:hyperlink>
      <w:r w:rsidR="00F44708" w:rsidRPr="00E23CED">
        <w:rPr>
          <w:rStyle w:val="Hyperlink"/>
          <w:rFonts w:eastAsiaTheme="majorEastAsia"/>
        </w:rPr>
        <w:t xml:space="preserve"> </w:t>
      </w:r>
      <w:r w:rsidR="00F44708" w:rsidRPr="00E23CED">
        <w:rPr>
          <w:rFonts w:eastAsia="Calibri"/>
        </w:rPr>
        <w:t>(Ministry for the Environment, 2022a)</w:t>
      </w:r>
    </w:p>
    <w:p w14:paraId="150DD0CF" w14:textId="4967109E" w:rsidR="00786C8E" w:rsidRPr="00E23CED" w:rsidRDefault="00E8131B" w:rsidP="00123237">
      <w:pPr>
        <w:pStyle w:val="Bullet"/>
        <w:spacing w:after="100"/>
        <w:rPr>
          <w:rFonts w:eastAsia="Calibri"/>
        </w:rPr>
      </w:pPr>
      <w:hyperlink r:id="rId53" w:history="1">
        <w:r w:rsidR="00615E3A" w:rsidRPr="00E23CED">
          <w:rPr>
            <w:rStyle w:val="Hyperlink"/>
            <w:rFonts w:cstheme="minorHAnsi"/>
            <w:i/>
          </w:rPr>
          <w:t>Setting instream nutrient concentration thresholds for nutrient-affected attributes in rivers: Guidance on implementing clause 3.13 of the NPS-FM</w:t>
        </w:r>
      </w:hyperlink>
      <w:r w:rsidR="00615E3A" w:rsidRPr="00E23CED" w:rsidDel="00615E3A">
        <w:t xml:space="preserve"> </w:t>
      </w:r>
      <w:r w:rsidR="00F44708" w:rsidRPr="00E23CED">
        <w:rPr>
          <w:rFonts w:eastAsia="Calibri"/>
        </w:rPr>
        <w:t>(Ministry for the Environment, 2022b)</w:t>
      </w:r>
      <w:r w:rsidR="001A46B7" w:rsidRPr="00E23CED">
        <w:rPr>
          <w:rFonts w:eastAsia="Calibri"/>
        </w:rPr>
        <w:t xml:space="preserve">. </w:t>
      </w:r>
    </w:p>
    <w:p w14:paraId="64119BFA" w14:textId="56406AE5" w:rsidR="00D11938" w:rsidRPr="00E23CED" w:rsidRDefault="00BB100C" w:rsidP="00123237">
      <w:pPr>
        <w:pStyle w:val="BodyText"/>
        <w:spacing w:after="100"/>
      </w:pPr>
      <w:r w:rsidRPr="00E23CED">
        <w:rPr>
          <w:rFonts w:eastAsia="Calibri"/>
        </w:rPr>
        <w:t>The nutrient g</w:t>
      </w:r>
      <w:r w:rsidR="0047321D" w:rsidRPr="00E23CED">
        <w:rPr>
          <w:rFonts w:eastAsia="Calibri"/>
        </w:rPr>
        <w:t>uidance</w:t>
      </w:r>
      <w:r w:rsidR="28D764CF" w:rsidRPr="00E23CED">
        <w:rPr>
          <w:rFonts w:eastAsia="Calibri"/>
        </w:rPr>
        <w:t xml:space="preserve"> </w:t>
      </w:r>
      <w:r w:rsidRPr="00E23CED">
        <w:rPr>
          <w:rFonts w:eastAsia="Calibri"/>
        </w:rPr>
        <w:t xml:space="preserve">products </w:t>
      </w:r>
      <w:r w:rsidR="005E65B6" w:rsidRPr="00E23CED">
        <w:rPr>
          <w:rFonts w:eastAsia="Calibri"/>
        </w:rPr>
        <w:t xml:space="preserve">provide </w:t>
      </w:r>
      <w:r w:rsidR="28D764CF" w:rsidRPr="00E23CED">
        <w:rPr>
          <w:rFonts w:eastAsia="Calibri"/>
        </w:rPr>
        <w:t>approach</w:t>
      </w:r>
      <w:r w:rsidR="005E65B6" w:rsidRPr="00E23CED">
        <w:rPr>
          <w:rFonts w:eastAsia="Calibri"/>
        </w:rPr>
        <w:t>es</w:t>
      </w:r>
      <w:r w:rsidR="28D764CF" w:rsidRPr="00E23CED">
        <w:rPr>
          <w:rFonts w:eastAsia="Calibri"/>
        </w:rPr>
        <w:t xml:space="preserve"> </w:t>
      </w:r>
      <w:r w:rsidR="005E65B6" w:rsidRPr="00E23CED">
        <w:rPr>
          <w:rFonts w:eastAsia="Calibri"/>
        </w:rPr>
        <w:t xml:space="preserve">that may help </w:t>
      </w:r>
      <w:r w:rsidR="0047321D" w:rsidRPr="00E23CED">
        <w:rPr>
          <w:rFonts w:eastAsia="Calibri"/>
        </w:rPr>
        <w:t xml:space="preserve">councils and communities </w:t>
      </w:r>
      <w:r w:rsidR="00F912A1" w:rsidRPr="00E23CED">
        <w:rPr>
          <w:rFonts w:eastAsia="Calibri"/>
        </w:rPr>
        <w:t xml:space="preserve">to </w:t>
      </w:r>
      <w:r w:rsidR="00B250D0" w:rsidRPr="00E23CED">
        <w:rPr>
          <w:rFonts w:eastAsia="Calibri"/>
        </w:rPr>
        <w:t xml:space="preserve">set nutrient criteria to achieve environmental outcomes. </w:t>
      </w:r>
      <w:r w:rsidR="00D46B4A" w:rsidRPr="00E23CED">
        <w:rPr>
          <w:rFonts w:eastAsia="Calibri"/>
        </w:rPr>
        <w:t xml:space="preserve">See </w:t>
      </w:r>
      <w:hyperlink r:id="rId54" w:history="1">
        <w:r w:rsidR="00EB4870" w:rsidRPr="00E23CED">
          <w:rPr>
            <w:rStyle w:val="Hyperlink"/>
            <w:i/>
            <w:iCs/>
          </w:rPr>
          <w:t>He Ārahitanga mō Te Anga Whāinga ā-Motu o te NPS-FM: Guidance on the National Objectives Framework of the NPS-FM</w:t>
        </w:r>
      </w:hyperlink>
      <w:r w:rsidR="00EB4870" w:rsidRPr="00E23CED">
        <w:t xml:space="preserve"> </w:t>
      </w:r>
      <w:r w:rsidR="00F44708" w:rsidRPr="00E23CED">
        <w:t xml:space="preserve">(Ministry for the Environment, 2023) </w:t>
      </w:r>
      <w:r w:rsidR="00D46B4A" w:rsidRPr="00E23CED">
        <w:t xml:space="preserve">for </w:t>
      </w:r>
      <w:r w:rsidR="00A6175E" w:rsidRPr="00E23CED">
        <w:t xml:space="preserve">additional policy overview of </w:t>
      </w:r>
      <w:r w:rsidR="00F44708" w:rsidRPr="00E23CED">
        <w:t>c</w:t>
      </w:r>
      <w:r w:rsidR="00096648" w:rsidRPr="00E23CED">
        <w:t>lause</w:t>
      </w:r>
      <w:r w:rsidR="00A6175E" w:rsidRPr="00E23CED">
        <w:t xml:space="preserve"> 3.13 and how it fits alongside the broader National Objectives Framework.</w:t>
      </w:r>
    </w:p>
    <w:p w14:paraId="59F8293D" w14:textId="6C3B8F8F" w:rsidR="00531186" w:rsidRPr="00E23CED" w:rsidRDefault="00531186" w:rsidP="00123237">
      <w:pPr>
        <w:pStyle w:val="BodyText"/>
        <w:spacing w:after="100"/>
        <w:rPr>
          <w:rFonts w:eastAsia="Calibri"/>
        </w:rPr>
      </w:pPr>
      <w:r w:rsidRPr="00E23CED">
        <w:rPr>
          <w:rFonts w:eastAsia="Calibri"/>
        </w:rPr>
        <w:t>Technical guidance provided by the Ministry for the Environment can neither be considered government policy nor a mandated set of regulatory tools that regional councils must follow.</w:t>
      </w:r>
      <w:r w:rsidRPr="00E23CED">
        <w:rPr>
          <w:rStyle w:val="FootnoteReference"/>
          <w:rFonts w:eastAsia="Calibri"/>
        </w:rPr>
        <w:footnoteReference w:id="3"/>
      </w:r>
    </w:p>
    <w:p w14:paraId="5FDE92BB" w14:textId="7AD5CB88" w:rsidR="00A360A5" w:rsidRPr="00E23CED" w:rsidRDefault="00B60453" w:rsidP="008C5DB1">
      <w:pPr>
        <w:pStyle w:val="BodyText"/>
        <w:rPr>
          <w:rFonts w:eastAsia="Calibri" w:cs="Calibri"/>
        </w:rPr>
      </w:pPr>
      <w:r w:rsidRPr="00E23CED">
        <w:rPr>
          <w:rFonts w:eastAsia="Calibri" w:cs="Calibri"/>
        </w:rPr>
        <w:t xml:space="preserve">The effects of nutrients </w:t>
      </w:r>
      <w:r w:rsidR="006B1459" w:rsidRPr="00E23CED">
        <w:rPr>
          <w:rFonts w:eastAsia="Calibri" w:cs="Calibri"/>
        </w:rPr>
        <w:t xml:space="preserve">on </w:t>
      </w:r>
      <w:r w:rsidR="00D82495" w:rsidRPr="00E23CED">
        <w:rPr>
          <w:rFonts w:eastAsia="Calibri" w:cs="Calibri"/>
        </w:rPr>
        <w:t xml:space="preserve">aquatic </w:t>
      </w:r>
      <w:r w:rsidR="006B1459" w:rsidRPr="00E23CED">
        <w:rPr>
          <w:rFonts w:eastAsia="Calibri" w:cs="Calibri"/>
        </w:rPr>
        <w:t xml:space="preserve">ecosystems </w:t>
      </w:r>
      <w:r w:rsidRPr="00E23CED">
        <w:rPr>
          <w:rFonts w:eastAsia="Calibri" w:cs="Calibri"/>
        </w:rPr>
        <w:t xml:space="preserve">are complicated by a large set of causal pathways and a lack of information on how these pathways interact. </w:t>
      </w:r>
      <w:r w:rsidR="00EA3DD1" w:rsidRPr="00E23CED">
        <w:rPr>
          <w:rFonts w:eastAsia="Calibri" w:cs="Calibri"/>
        </w:rPr>
        <w:t>C</w:t>
      </w:r>
      <w:r w:rsidR="15674C4D" w:rsidRPr="00E23CED">
        <w:rPr>
          <w:rFonts w:eastAsia="Calibri" w:cs="Calibri"/>
        </w:rPr>
        <w:t>ouncils</w:t>
      </w:r>
      <w:r w:rsidRPr="00E23CED">
        <w:rPr>
          <w:rFonts w:eastAsia="Calibri" w:cs="Calibri"/>
        </w:rPr>
        <w:t xml:space="preserve"> must approach this problem using the best available information (</w:t>
      </w:r>
      <w:r w:rsidR="00F44708" w:rsidRPr="00E23CED">
        <w:rPr>
          <w:rFonts w:eastAsia="Calibri" w:cs="Calibri"/>
        </w:rPr>
        <w:t>c</w:t>
      </w:r>
      <w:r w:rsidR="00096648" w:rsidRPr="00E23CED">
        <w:rPr>
          <w:rFonts w:eastAsia="Calibri" w:cs="Calibri"/>
        </w:rPr>
        <w:t>lause</w:t>
      </w:r>
      <w:r w:rsidRPr="00E23CED">
        <w:rPr>
          <w:rFonts w:eastAsia="Calibri" w:cs="Calibri"/>
        </w:rPr>
        <w:t xml:space="preserve"> 1.6 of the </w:t>
      </w:r>
      <w:r w:rsidR="00BD3CD3" w:rsidRPr="00E23CED">
        <w:rPr>
          <w:rFonts w:eastAsia="Calibri" w:cs="Calibri"/>
        </w:rPr>
        <w:t>National Policy Statement on Freshwater Management (</w:t>
      </w:r>
      <w:r w:rsidRPr="00E23CED">
        <w:rPr>
          <w:rFonts w:eastAsia="Calibri" w:cs="Calibri"/>
        </w:rPr>
        <w:t>NPS</w:t>
      </w:r>
      <w:r w:rsidR="001B3D10" w:rsidRPr="00E23CED">
        <w:rPr>
          <w:rFonts w:eastAsia="Calibri" w:cs="Calibri"/>
        </w:rPr>
        <w:noBreakHyphen/>
      </w:r>
      <w:r w:rsidRPr="00E23CED">
        <w:rPr>
          <w:rFonts w:eastAsia="Calibri" w:cs="Calibri"/>
        </w:rPr>
        <w:t>FM</w:t>
      </w:r>
      <w:r w:rsidR="00BD3CD3" w:rsidRPr="00E23CED">
        <w:rPr>
          <w:rFonts w:eastAsia="Calibri" w:cs="Calibri"/>
        </w:rPr>
        <w:t>)</w:t>
      </w:r>
      <w:proofErr w:type="gramStart"/>
      <w:r w:rsidRPr="00E23CED">
        <w:rPr>
          <w:rFonts w:eastAsia="Calibri" w:cs="Calibri"/>
        </w:rPr>
        <w:t>)</w:t>
      </w:r>
      <w:r w:rsidR="00A12456" w:rsidRPr="00E23CED">
        <w:rPr>
          <w:rFonts w:eastAsia="Calibri" w:cs="Calibri"/>
        </w:rPr>
        <w:t>, and</w:t>
      </w:r>
      <w:proofErr w:type="gramEnd"/>
      <w:r w:rsidR="00A12456" w:rsidRPr="00E23CED">
        <w:rPr>
          <w:rFonts w:eastAsia="Calibri" w:cs="Calibri"/>
        </w:rPr>
        <w:t xml:space="preserve"> cannot delay action</w:t>
      </w:r>
      <w:r w:rsidRPr="00E23CED">
        <w:rPr>
          <w:rFonts w:eastAsia="Calibri" w:cs="Calibri"/>
        </w:rPr>
        <w:t xml:space="preserve">. </w:t>
      </w:r>
    </w:p>
    <w:p w14:paraId="680A314B" w14:textId="5521036F" w:rsidR="00E55C2D" w:rsidRPr="00E23CED" w:rsidRDefault="00C3797F" w:rsidP="00123237">
      <w:pPr>
        <w:pStyle w:val="BodyText"/>
        <w:spacing w:after="100"/>
        <w:rPr>
          <w:rFonts w:eastAsia="Calibri" w:cs="Calibri"/>
        </w:rPr>
      </w:pPr>
      <w:r w:rsidRPr="00E23CED">
        <w:rPr>
          <w:rFonts w:eastAsia="Calibri" w:cs="Calibri"/>
        </w:rPr>
        <w:t>A five</w:t>
      </w:r>
      <w:r w:rsidR="002430AE" w:rsidRPr="00E23CED">
        <w:rPr>
          <w:rFonts w:eastAsia="Calibri" w:cs="Calibri"/>
        </w:rPr>
        <w:t>-</w:t>
      </w:r>
      <w:r w:rsidRPr="00E23CED">
        <w:rPr>
          <w:rFonts w:eastAsia="Calibri" w:cs="Calibri"/>
        </w:rPr>
        <w:t xml:space="preserve">step </w:t>
      </w:r>
      <w:r w:rsidR="00A83147" w:rsidRPr="00E23CED">
        <w:rPr>
          <w:rFonts w:eastAsia="Calibri" w:cs="Calibri"/>
        </w:rPr>
        <w:t>approach</w:t>
      </w:r>
      <w:r w:rsidRPr="00E23CED">
        <w:rPr>
          <w:rFonts w:eastAsia="Calibri" w:cs="Calibri"/>
        </w:rPr>
        <w:t xml:space="preserve"> is </w:t>
      </w:r>
      <w:r w:rsidR="00DA2588" w:rsidRPr="00E23CED">
        <w:rPr>
          <w:rFonts w:eastAsia="Calibri" w:cs="Calibri"/>
        </w:rPr>
        <w:t xml:space="preserve">shown </w:t>
      </w:r>
      <w:r w:rsidRPr="00E23CED">
        <w:rPr>
          <w:rFonts w:eastAsia="Calibri" w:cs="Calibri"/>
        </w:rPr>
        <w:t xml:space="preserve">in </w:t>
      </w:r>
      <w:hyperlink w:anchor="figure3" w:history="1">
        <w:r w:rsidR="00F44708" w:rsidRPr="00E23CED">
          <w:rPr>
            <w:rStyle w:val="Hyperlink"/>
            <w:rFonts w:eastAsia="Calibri" w:cs="Calibri"/>
          </w:rPr>
          <w:fldChar w:fldCharType="begin"/>
        </w:r>
        <w:r w:rsidR="00F44708" w:rsidRPr="00E23CED">
          <w:rPr>
            <w:rStyle w:val="Hyperlink"/>
            <w:rFonts w:eastAsia="Calibri" w:cs="Calibri"/>
          </w:rPr>
          <w:instrText xml:space="preserve"> REF Newfigure2 \h  \* MERGEFORMAT </w:instrText>
        </w:r>
        <w:r w:rsidR="00E8131B">
          <w:rPr>
            <w:rStyle w:val="Hyperlink"/>
            <w:rFonts w:eastAsia="Calibri" w:cs="Calibri"/>
          </w:rPr>
          <w:fldChar w:fldCharType="separate"/>
        </w:r>
        <w:r w:rsidR="00FA0487">
          <w:rPr>
            <w:rStyle w:val="Hyperlink"/>
            <w:rFonts w:eastAsia="Calibri" w:cs="Calibri"/>
            <w:b/>
            <w:bCs/>
            <w:lang w:val="en-US"/>
          </w:rPr>
          <w:t>Error! Reference source not found.</w:t>
        </w:r>
        <w:r w:rsidR="00F44708" w:rsidRPr="00E23CED">
          <w:rPr>
            <w:rStyle w:val="Hyperlink"/>
            <w:rFonts w:eastAsia="Calibri" w:cs="Calibri"/>
          </w:rPr>
          <w:fldChar w:fldCharType="end"/>
        </w:r>
        <w:r w:rsidR="00F44708" w:rsidRPr="00E23CED">
          <w:rPr>
            <w:rStyle w:val="Hyperlink"/>
            <w:rFonts w:eastAsia="Calibri" w:cs="Calibri"/>
          </w:rPr>
          <w:t xml:space="preserve">figure </w:t>
        </w:r>
        <w:r w:rsidR="00610483" w:rsidRPr="00E23CED">
          <w:rPr>
            <w:rStyle w:val="Hyperlink"/>
            <w:rFonts w:eastAsia="Calibri" w:cs="Calibri"/>
          </w:rPr>
          <w:t>3</w:t>
        </w:r>
      </w:hyperlink>
      <w:r w:rsidR="00F44708" w:rsidRPr="00E23CED">
        <w:rPr>
          <w:rFonts w:eastAsia="Calibri" w:cs="Calibri"/>
        </w:rPr>
        <w:t>,</w:t>
      </w:r>
      <w:r w:rsidR="0057170F" w:rsidRPr="00E23CED">
        <w:rPr>
          <w:rFonts w:eastAsia="Calibri" w:cs="Calibri"/>
        </w:rPr>
        <w:t xml:space="preserve"> and outlined below.</w:t>
      </w:r>
    </w:p>
    <w:p w14:paraId="454A76F7" w14:textId="77777777" w:rsidR="00D60D53" w:rsidRPr="00E23CED" w:rsidRDefault="00955419" w:rsidP="00123237">
      <w:pPr>
        <w:pStyle w:val="Numberedparagraph"/>
        <w:spacing w:after="100"/>
        <w:rPr>
          <w:rFonts w:eastAsia="Calibri" w:cs="Calibri"/>
        </w:rPr>
      </w:pPr>
      <w:r w:rsidRPr="00E23CED">
        <w:rPr>
          <w:b/>
          <w:bCs/>
        </w:rPr>
        <w:t>Identify</w:t>
      </w:r>
      <w:r w:rsidR="005A78CC" w:rsidRPr="00E23CED">
        <w:rPr>
          <w:b/>
          <w:bCs/>
        </w:rPr>
        <w:t xml:space="preserve"> water bod</w:t>
      </w:r>
      <w:r w:rsidR="00420F8D" w:rsidRPr="00E23CED">
        <w:rPr>
          <w:b/>
          <w:bCs/>
        </w:rPr>
        <w:t>ies</w:t>
      </w:r>
      <w:r w:rsidR="005A78CC" w:rsidRPr="00E23CED">
        <w:rPr>
          <w:b/>
          <w:bCs/>
        </w:rPr>
        <w:t xml:space="preserve"> in </w:t>
      </w:r>
      <w:r w:rsidR="00E55C2D" w:rsidRPr="00E23CED">
        <w:rPr>
          <w:b/>
          <w:bCs/>
        </w:rPr>
        <w:t xml:space="preserve">the </w:t>
      </w:r>
      <w:r w:rsidR="00BD3CD3" w:rsidRPr="00E23CED">
        <w:rPr>
          <w:b/>
          <w:bCs/>
        </w:rPr>
        <w:t>freshwater management unit (</w:t>
      </w:r>
      <w:r w:rsidR="00E55C2D" w:rsidRPr="00E23CED">
        <w:rPr>
          <w:b/>
          <w:bCs/>
        </w:rPr>
        <w:t>FMU</w:t>
      </w:r>
      <w:r w:rsidR="00BD3CD3" w:rsidRPr="00E23CED">
        <w:rPr>
          <w:b/>
          <w:bCs/>
        </w:rPr>
        <w:t>)</w:t>
      </w:r>
      <w:r w:rsidR="00F610E1" w:rsidRPr="00E23CED">
        <w:rPr>
          <w:b/>
          <w:bCs/>
        </w:rPr>
        <w:t xml:space="preserve"> that could be influenced by </w:t>
      </w:r>
      <w:r w:rsidR="00D275AC" w:rsidRPr="00E23CED">
        <w:rPr>
          <w:b/>
          <w:bCs/>
        </w:rPr>
        <w:t xml:space="preserve">excessive nutrients. </w:t>
      </w:r>
    </w:p>
    <w:p w14:paraId="6C24A737" w14:textId="44E6D9F4" w:rsidR="00E55C2D" w:rsidRPr="00E23CED" w:rsidRDefault="00E7400A" w:rsidP="00123237">
      <w:pPr>
        <w:pStyle w:val="BodyText"/>
        <w:spacing w:before="0" w:after="100"/>
        <w:ind w:left="397"/>
        <w:rPr>
          <w:rFonts w:eastAsia="Calibri" w:cs="Calibri"/>
        </w:rPr>
      </w:pPr>
      <w:r w:rsidRPr="00E23CED">
        <w:t>A</w:t>
      </w:r>
      <w:r w:rsidR="00BD3D92" w:rsidRPr="00E23CED">
        <w:t> </w:t>
      </w:r>
      <w:r w:rsidRPr="00E23CED">
        <w:t xml:space="preserve">ki uta ki tai </w:t>
      </w:r>
      <w:r w:rsidR="009B1A0C" w:rsidRPr="00E23CED">
        <w:t xml:space="preserve">(from the mountains to sea) </w:t>
      </w:r>
      <w:r w:rsidRPr="00E23CED">
        <w:t>approach requires consideration of all parts of the continuum</w:t>
      </w:r>
      <w:r w:rsidR="00345A4F" w:rsidRPr="00E23CED">
        <w:t>, including</w:t>
      </w:r>
      <w:r w:rsidR="00C2031F" w:rsidRPr="00E23CED">
        <w:t xml:space="preserve"> </w:t>
      </w:r>
      <w:r w:rsidR="00345A4F" w:rsidRPr="00E23CED">
        <w:t>r</w:t>
      </w:r>
      <w:r w:rsidR="00675BCC" w:rsidRPr="00E23CED">
        <w:t>ivers, lakes, wetlands, groundwater</w:t>
      </w:r>
      <w:r w:rsidR="00345A4F" w:rsidRPr="00E23CED">
        <w:t>, estuaries and other coastal environments.</w:t>
      </w:r>
      <w:r w:rsidR="0011320C" w:rsidRPr="00E23CED">
        <w:t xml:space="preserve"> </w:t>
      </w:r>
      <w:r w:rsidR="001C54EB" w:rsidRPr="00E23CED">
        <w:t>The NPS-FM has so far only included details for river and lake nutrient attributes, but this does not mean other water body types can be ignored when implementing clause 3.13.</w:t>
      </w:r>
    </w:p>
    <w:p w14:paraId="0A4534E5" w14:textId="77777777" w:rsidR="00E8290F" w:rsidRPr="00E23CED" w:rsidRDefault="00E55C2D" w:rsidP="00123237">
      <w:pPr>
        <w:pStyle w:val="Numberedparagraph"/>
        <w:spacing w:before="120" w:after="100"/>
      </w:pPr>
      <w:r w:rsidRPr="00E23CED">
        <w:rPr>
          <w:b/>
          <w:bCs/>
          <w:spacing w:val="-2"/>
        </w:rPr>
        <w:t>Identify values that may be compromised by excessive nutrients</w:t>
      </w:r>
      <w:r w:rsidR="005A78CC" w:rsidRPr="00E23CED">
        <w:rPr>
          <w:b/>
          <w:bCs/>
          <w:spacing w:val="-2"/>
        </w:rPr>
        <w:t xml:space="preserve"> </w:t>
      </w:r>
      <w:r w:rsidR="00D25431" w:rsidRPr="00E23CED">
        <w:rPr>
          <w:b/>
          <w:bCs/>
          <w:spacing w:val="-2"/>
        </w:rPr>
        <w:t>for</w:t>
      </w:r>
      <w:r w:rsidR="005A78CC" w:rsidRPr="00E23CED">
        <w:rPr>
          <w:b/>
          <w:bCs/>
          <w:spacing w:val="-2"/>
        </w:rPr>
        <w:t xml:space="preserve"> </w:t>
      </w:r>
      <w:r w:rsidR="00A83147" w:rsidRPr="00E23CED">
        <w:rPr>
          <w:b/>
          <w:bCs/>
          <w:spacing w:val="-2"/>
        </w:rPr>
        <w:t>all</w:t>
      </w:r>
      <w:r w:rsidR="005A78CC" w:rsidRPr="00E23CED">
        <w:rPr>
          <w:b/>
          <w:bCs/>
          <w:spacing w:val="-2"/>
        </w:rPr>
        <w:t xml:space="preserve"> water body types</w:t>
      </w:r>
      <w:r w:rsidR="00F37D75" w:rsidRPr="00E23CED">
        <w:t xml:space="preserve">. </w:t>
      </w:r>
    </w:p>
    <w:p w14:paraId="23328FC6" w14:textId="1C0AE752" w:rsidR="00A360A5" w:rsidRPr="00E23CED" w:rsidRDefault="00BF0585" w:rsidP="00123237">
      <w:pPr>
        <w:pStyle w:val="BodyText"/>
        <w:spacing w:before="0" w:after="100"/>
        <w:ind w:left="397"/>
      </w:pPr>
      <w:r w:rsidRPr="00E23CED">
        <w:t xml:space="preserve">Values are specified in </w:t>
      </w:r>
      <w:r w:rsidR="009C1EC9" w:rsidRPr="00E23CED">
        <w:t>a</w:t>
      </w:r>
      <w:r w:rsidRPr="00E23CED">
        <w:t xml:space="preserve">ppendices 1A and 1B of the NPS-FM. </w:t>
      </w:r>
      <w:r w:rsidR="00EA2921" w:rsidRPr="00E23CED">
        <w:t xml:space="preserve">All four of the NPS-FM </w:t>
      </w:r>
      <w:r w:rsidR="00F37D75" w:rsidRPr="00E23CED">
        <w:t xml:space="preserve">compulsory </w:t>
      </w:r>
      <w:r w:rsidR="00757867" w:rsidRPr="00E23CED">
        <w:t>values</w:t>
      </w:r>
      <w:r w:rsidR="00EA2921" w:rsidRPr="00E23CED">
        <w:t xml:space="preserve"> may be relevant</w:t>
      </w:r>
      <w:r w:rsidR="002B0DBB" w:rsidRPr="00E23CED">
        <w:t>:</w:t>
      </w:r>
      <w:r w:rsidR="00757867" w:rsidRPr="00E23CED">
        <w:t xml:space="preserve"> </w:t>
      </w:r>
      <w:r w:rsidR="009C1EC9" w:rsidRPr="00E23CED">
        <w:t>e</w:t>
      </w:r>
      <w:r w:rsidR="00757867" w:rsidRPr="00E23CED">
        <w:t>cosystem health</w:t>
      </w:r>
      <w:r w:rsidR="002B0DBB" w:rsidRPr="00E23CED">
        <w:t>;</w:t>
      </w:r>
      <w:r w:rsidR="00757867" w:rsidRPr="00E23CED">
        <w:t xml:space="preserve"> </w:t>
      </w:r>
      <w:r w:rsidR="009C1EC9" w:rsidRPr="00E23CED">
        <w:t>h</w:t>
      </w:r>
      <w:r w:rsidR="00757867" w:rsidRPr="00E23CED">
        <w:t>uman contact</w:t>
      </w:r>
      <w:r w:rsidR="002B0DBB" w:rsidRPr="00E23CED">
        <w:t>;</w:t>
      </w:r>
      <w:r w:rsidR="00757867" w:rsidRPr="00E23CED">
        <w:t xml:space="preserve"> </w:t>
      </w:r>
      <w:r w:rsidR="009C1EC9" w:rsidRPr="00E23CED">
        <w:t>t</w:t>
      </w:r>
      <w:r w:rsidR="00757867" w:rsidRPr="00E23CED">
        <w:t>hreatened species</w:t>
      </w:r>
      <w:r w:rsidR="002B0DBB" w:rsidRPr="00E23CED">
        <w:t>;</w:t>
      </w:r>
      <w:r w:rsidR="00757867" w:rsidRPr="00E23CED">
        <w:t xml:space="preserve"> and </w:t>
      </w:r>
      <w:r w:rsidR="009C1EC9" w:rsidRPr="00E23CED">
        <w:t>m</w:t>
      </w:r>
      <w:r w:rsidR="00757867" w:rsidRPr="00E23CED">
        <w:t>ahinga kai.</w:t>
      </w:r>
      <w:r w:rsidR="008871ED" w:rsidRPr="00E23CED">
        <w:t xml:space="preserve"> </w:t>
      </w:r>
      <w:r w:rsidR="004313E5" w:rsidRPr="00E23CED">
        <w:t>A</w:t>
      </w:r>
      <w:r w:rsidR="009C1EC9" w:rsidRPr="00E23CED">
        <w:t>nother</w:t>
      </w:r>
      <w:r w:rsidR="008871ED" w:rsidRPr="00E23CED">
        <w:t xml:space="preserve"> </w:t>
      </w:r>
      <w:r w:rsidR="004313E5" w:rsidRPr="00E23CED">
        <w:t>nine</w:t>
      </w:r>
      <w:r w:rsidR="008871ED" w:rsidRPr="00E23CED">
        <w:t xml:space="preserve"> values must be considered</w:t>
      </w:r>
      <w:r w:rsidR="007D65BB" w:rsidRPr="00E23CED">
        <w:t xml:space="preserve"> under the NPS-FM</w:t>
      </w:r>
      <w:r w:rsidR="00824A39" w:rsidRPr="00E23CED">
        <w:t xml:space="preserve">, some of which </w:t>
      </w:r>
      <w:r w:rsidR="007C10D0" w:rsidRPr="00E23CED">
        <w:t>may be relevant</w:t>
      </w:r>
      <w:r w:rsidR="00D25431" w:rsidRPr="00E23CED">
        <w:t xml:space="preserve"> for nutrient management</w:t>
      </w:r>
      <w:r w:rsidR="002B0DBB" w:rsidRPr="00E23CED">
        <w:t>:</w:t>
      </w:r>
      <w:r w:rsidR="008871ED" w:rsidRPr="00E23CED">
        <w:t xml:space="preserve"> </w:t>
      </w:r>
      <w:r w:rsidR="009C1EC9" w:rsidRPr="00E23CED">
        <w:t>n</w:t>
      </w:r>
      <w:r w:rsidR="008871ED" w:rsidRPr="00E23CED">
        <w:t xml:space="preserve">atural form and character; </w:t>
      </w:r>
      <w:r w:rsidR="009C1EC9" w:rsidRPr="00E23CED">
        <w:t>d</w:t>
      </w:r>
      <w:r w:rsidR="008871ED" w:rsidRPr="00E23CED">
        <w:t xml:space="preserve">rinking </w:t>
      </w:r>
      <w:r w:rsidR="004313E5" w:rsidRPr="00E23CED">
        <w:t xml:space="preserve">water supply; </w:t>
      </w:r>
      <w:r w:rsidR="009C1EC9" w:rsidRPr="00E23CED">
        <w:t>w</w:t>
      </w:r>
      <w:r w:rsidR="004313E5" w:rsidRPr="00E23CED">
        <w:t xml:space="preserve">ai tapu; </w:t>
      </w:r>
      <w:r w:rsidR="009C1EC9" w:rsidRPr="00E23CED">
        <w:t>t</w:t>
      </w:r>
      <w:r w:rsidR="004313E5" w:rsidRPr="00E23CED">
        <w:t xml:space="preserve">ransport and </w:t>
      </w:r>
      <w:r w:rsidR="002B0DBB" w:rsidRPr="00E23CED">
        <w:t>t</w:t>
      </w:r>
      <w:r w:rsidR="004313E5" w:rsidRPr="00E23CED">
        <w:t xml:space="preserve">auranga </w:t>
      </w:r>
      <w:r w:rsidR="002B0DBB" w:rsidRPr="00E23CED">
        <w:t xml:space="preserve">waka; </w:t>
      </w:r>
      <w:r w:rsidR="009C1EC9" w:rsidRPr="00E23CED">
        <w:t>f</w:t>
      </w:r>
      <w:r w:rsidR="002B0DBB" w:rsidRPr="00E23CED">
        <w:t xml:space="preserve">ishing; </w:t>
      </w:r>
      <w:r w:rsidR="009C1EC9" w:rsidRPr="00E23CED">
        <w:t>h</w:t>
      </w:r>
      <w:r w:rsidR="00EC2978" w:rsidRPr="00E23CED">
        <w:t xml:space="preserve">ydro-electric </w:t>
      </w:r>
      <w:r w:rsidR="00EC2978" w:rsidRPr="00E23CED">
        <w:lastRenderedPageBreak/>
        <w:t xml:space="preserve">power generation; </w:t>
      </w:r>
      <w:r w:rsidR="009C1EC9" w:rsidRPr="00E23CED">
        <w:t>a</w:t>
      </w:r>
      <w:r w:rsidR="00EC2978" w:rsidRPr="00E23CED">
        <w:t xml:space="preserve">nimal drinking water; </w:t>
      </w:r>
      <w:r w:rsidR="009C1EC9" w:rsidRPr="00E23CED">
        <w:t>i</w:t>
      </w:r>
      <w:r w:rsidR="00EC2978" w:rsidRPr="00E23CED">
        <w:t xml:space="preserve">rrigation, cultivation and production of food and beverages; </w:t>
      </w:r>
      <w:r w:rsidR="009C1EC9" w:rsidRPr="00E23CED">
        <w:t>c</w:t>
      </w:r>
      <w:r w:rsidR="00EC2978" w:rsidRPr="00E23CED">
        <w:t>ommercial and industrial use.</w:t>
      </w:r>
      <w:r w:rsidR="002B0DBB" w:rsidRPr="00E23CED">
        <w:t xml:space="preserve"> </w:t>
      </w:r>
    </w:p>
    <w:p w14:paraId="0F2455B8" w14:textId="77777777" w:rsidR="00E8290F" w:rsidRPr="00E23CED" w:rsidRDefault="00546F07" w:rsidP="00A37AAB">
      <w:pPr>
        <w:pStyle w:val="Numberedparagraph"/>
        <w:keepNext/>
        <w:spacing w:before="120"/>
        <w:rPr>
          <w:b/>
          <w:bCs/>
        </w:rPr>
      </w:pPr>
      <w:r w:rsidRPr="00E23CED">
        <w:rPr>
          <w:b/>
          <w:bCs/>
        </w:rPr>
        <w:t xml:space="preserve">Select attributes that represent </w:t>
      </w:r>
      <w:r w:rsidR="00032FDE" w:rsidRPr="00E23CED">
        <w:rPr>
          <w:b/>
          <w:bCs/>
        </w:rPr>
        <w:t>identified</w:t>
      </w:r>
      <w:r w:rsidRPr="00E23CED">
        <w:rPr>
          <w:b/>
          <w:bCs/>
        </w:rPr>
        <w:t xml:space="preserve"> values</w:t>
      </w:r>
      <w:r w:rsidR="00A95386" w:rsidRPr="00E23CED">
        <w:rPr>
          <w:b/>
          <w:bCs/>
        </w:rPr>
        <w:t xml:space="preserve">. </w:t>
      </w:r>
    </w:p>
    <w:p w14:paraId="2A3E35A6" w14:textId="50AF98E4" w:rsidR="005A78CC" w:rsidRPr="00E23CED" w:rsidRDefault="005B5826" w:rsidP="00E8290F">
      <w:pPr>
        <w:pStyle w:val="BodyText"/>
        <w:spacing w:before="0"/>
        <w:ind w:left="397"/>
      </w:pPr>
      <w:r w:rsidRPr="00E23CED">
        <w:t>Some a</w:t>
      </w:r>
      <w:r w:rsidR="00A95386" w:rsidRPr="00E23CED">
        <w:t xml:space="preserve">ttributes </w:t>
      </w:r>
      <w:r w:rsidR="00625EFA" w:rsidRPr="00E23CED">
        <w:t xml:space="preserve">for rivers and lakes </w:t>
      </w:r>
      <w:r w:rsidR="00557588" w:rsidRPr="00E23CED">
        <w:t xml:space="preserve">are </w:t>
      </w:r>
      <w:r w:rsidRPr="00E23CED">
        <w:t xml:space="preserve">detailed in </w:t>
      </w:r>
      <w:r w:rsidR="009C1EC9" w:rsidRPr="00E23CED">
        <w:t>a</w:t>
      </w:r>
      <w:r w:rsidRPr="00E23CED">
        <w:t>ppendices 2A and 2B of the NPS</w:t>
      </w:r>
      <w:r w:rsidR="002365B0" w:rsidRPr="00E23CED">
        <w:t>-</w:t>
      </w:r>
      <w:r w:rsidRPr="00E23CED">
        <w:t>FM.</w:t>
      </w:r>
      <w:r w:rsidR="002365B0" w:rsidRPr="00E23CED">
        <w:t xml:space="preserve"> </w:t>
      </w:r>
      <w:r w:rsidR="00C6308D" w:rsidRPr="00E23CED">
        <w:t xml:space="preserve">Other attributes will need to be </w:t>
      </w:r>
      <w:r w:rsidR="00AA3BF1" w:rsidRPr="00E23CED">
        <w:t>defined</w:t>
      </w:r>
      <w:r w:rsidR="00625EFA" w:rsidRPr="00E23CED">
        <w:t xml:space="preserve"> according to the best available information.</w:t>
      </w:r>
      <w:r w:rsidR="00BB3710" w:rsidRPr="00E23CED">
        <w:t xml:space="preserve"> Some options to consider </w:t>
      </w:r>
      <w:r w:rsidR="0057170F" w:rsidRPr="00E23CED">
        <w:t xml:space="preserve">and further references </w:t>
      </w:r>
      <w:r w:rsidR="00BB3710" w:rsidRPr="00E23CED">
        <w:t>for estuaries, wetlands and groundwater are outlined in</w:t>
      </w:r>
      <w:r w:rsidR="00947981" w:rsidRPr="00E23CED">
        <w:t xml:space="preserve"> </w:t>
      </w:r>
      <w:hyperlink w:anchor="_3.4__Deriving" w:history="1">
        <w:r w:rsidR="00947981" w:rsidRPr="00E23CED">
          <w:rPr>
            <w:rStyle w:val="Hyperlink"/>
          </w:rPr>
          <w:t>section 3.4 Deriving nutrient criteria for nutrient-sensitive downstream receiving environments</w:t>
        </w:r>
      </w:hyperlink>
      <w:r w:rsidR="001B2F75" w:rsidRPr="00E23CED">
        <w:t>.</w:t>
      </w:r>
      <w:r w:rsidR="00625EFA" w:rsidRPr="00E23CED">
        <w:t xml:space="preserve"> </w:t>
      </w:r>
    </w:p>
    <w:p w14:paraId="0956307C" w14:textId="3166CFE3" w:rsidR="00E8290F" w:rsidRPr="00E23CED" w:rsidRDefault="00546F07" w:rsidP="00E8290F">
      <w:pPr>
        <w:pStyle w:val="Numberedparagraph"/>
        <w:spacing w:before="120"/>
      </w:pPr>
      <w:r w:rsidRPr="00E23CED">
        <w:rPr>
          <w:b/>
          <w:bCs/>
        </w:rPr>
        <w:t xml:space="preserve">Set nutrient criteria for relevant forms of nitrogen and </w:t>
      </w:r>
      <w:r w:rsidR="0008730C" w:rsidRPr="00E23CED">
        <w:rPr>
          <w:b/>
          <w:bCs/>
        </w:rPr>
        <w:t>phosphorus</w:t>
      </w:r>
      <w:r w:rsidR="00D3092C" w:rsidRPr="00E23CED">
        <w:rPr>
          <w:b/>
          <w:bCs/>
        </w:rPr>
        <w:t xml:space="preserve"> </w:t>
      </w:r>
      <w:r w:rsidR="000C58E1" w:rsidRPr="00E23CED">
        <w:rPr>
          <w:b/>
          <w:bCs/>
        </w:rPr>
        <w:t xml:space="preserve">to achieve target attribute states </w:t>
      </w:r>
      <w:r w:rsidR="000B2965" w:rsidRPr="00E23CED">
        <w:rPr>
          <w:b/>
          <w:bCs/>
        </w:rPr>
        <w:t xml:space="preserve">(TASs) </w:t>
      </w:r>
      <w:r w:rsidR="000C58E1" w:rsidRPr="00E23CED">
        <w:rPr>
          <w:b/>
          <w:bCs/>
        </w:rPr>
        <w:t>for</w:t>
      </w:r>
      <w:r w:rsidR="00F10D2E" w:rsidRPr="00E23CED">
        <w:rPr>
          <w:b/>
          <w:bCs/>
        </w:rPr>
        <w:t xml:space="preserve"> all</w:t>
      </w:r>
      <w:r w:rsidR="006F665E" w:rsidRPr="00E23CED">
        <w:rPr>
          <w:b/>
          <w:bCs/>
        </w:rPr>
        <w:t xml:space="preserve"> nutrient attributes</w:t>
      </w:r>
      <w:r w:rsidR="009C1EC9" w:rsidRPr="00E23CED">
        <w:rPr>
          <w:b/>
          <w:bCs/>
        </w:rPr>
        <w:t>,</w:t>
      </w:r>
      <w:r w:rsidR="006F665E" w:rsidRPr="00E23CED">
        <w:rPr>
          <w:b/>
          <w:bCs/>
        </w:rPr>
        <w:t xml:space="preserve"> and</w:t>
      </w:r>
      <w:r w:rsidR="000C58E1" w:rsidRPr="00E23CED">
        <w:rPr>
          <w:b/>
          <w:bCs/>
        </w:rPr>
        <w:t xml:space="preserve"> nutrient-affected </w:t>
      </w:r>
      <w:r w:rsidR="00564A28" w:rsidRPr="00E23CED">
        <w:rPr>
          <w:b/>
          <w:bCs/>
        </w:rPr>
        <w:t>attributes</w:t>
      </w:r>
      <w:r w:rsidR="0006087E" w:rsidRPr="00E23CED">
        <w:rPr>
          <w:b/>
          <w:bCs/>
        </w:rPr>
        <w:t xml:space="preserve">, </w:t>
      </w:r>
      <w:r w:rsidR="00F76E8A" w:rsidRPr="00E23CED">
        <w:rPr>
          <w:b/>
          <w:bCs/>
        </w:rPr>
        <w:t>and to</w:t>
      </w:r>
      <w:r w:rsidR="00A37AAB" w:rsidRPr="00E23CED">
        <w:rPr>
          <w:b/>
          <w:bCs/>
        </w:rPr>
        <w:t> </w:t>
      </w:r>
      <w:r w:rsidR="00F76E8A" w:rsidRPr="00E23CED">
        <w:rPr>
          <w:b/>
          <w:bCs/>
        </w:rPr>
        <w:t xml:space="preserve">achieve </w:t>
      </w:r>
      <w:r w:rsidR="00C534CF" w:rsidRPr="00E23CED">
        <w:rPr>
          <w:b/>
          <w:bCs/>
        </w:rPr>
        <w:t xml:space="preserve">environmental outcomes </w:t>
      </w:r>
      <w:r w:rsidR="00445418" w:rsidRPr="00E23CED">
        <w:rPr>
          <w:b/>
          <w:bCs/>
        </w:rPr>
        <w:t>for all</w:t>
      </w:r>
      <w:r w:rsidR="00C2031F" w:rsidRPr="00E23CED">
        <w:rPr>
          <w:b/>
          <w:bCs/>
        </w:rPr>
        <w:t xml:space="preserve"> nutrient</w:t>
      </w:r>
      <w:r w:rsidR="009C1EC9" w:rsidRPr="00E23CED">
        <w:rPr>
          <w:b/>
          <w:bCs/>
        </w:rPr>
        <w:t>-</w:t>
      </w:r>
      <w:r w:rsidR="00C2031F" w:rsidRPr="00E23CED">
        <w:rPr>
          <w:b/>
          <w:bCs/>
        </w:rPr>
        <w:t>sensitive</w:t>
      </w:r>
      <w:r w:rsidR="00445418" w:rsidRPr="00E23CED">
        <w:rPr>
          <w:b/>
          <w:bCs/>
        </w:rPr>
        <w:t xml:space="preserve"> downstream receiving environments</w:t>
      </w:r>
      <w:r w:rsidR="00564A28" w:rsidRPr="00E23CED">
        <w:rPr>
          <w:b/>
          <w:bCs/>
        </w:rPr>
        <w:t>.</w:t>
      </w:r>
      <w:r w:rsidR="00564A28" w:rsidRPr="00E23CED">
        <w:t xml:space="preserve"> </w:t>
      </w:r>
    </w:p>
    <w:p w14:paraId="79945796" w14:textId="2D0F4C61" w:rsidR="00D60D53" w:rsidRPr="00E23CED" w:rsidRDefault="00791E10" w:rsidP="00E8290F">
      <w:pPr>
        <w:pStyle w:val="BodyText"/>
        <w:spacing w:before="0"/>
        <w:ind w:left="397"/>
      </w:pPr>
      <w:r w:rsidRPr="00E23CED">
        <w:t>State</w:t>
      </w:r>
      <w:r w:rsidR="001B519A" w:rsidRPr="00E23CED">
        <w:t xml:space="preserve">s </w:t>
      </w:r>
      <w:r w:rsidRPr="00E23CED">
        <w:t xml:space="preserve">for NPS-FM </w:t>
      </w:r>
      <w:r w:rsidR="00BD2DE4" w:rsidRPr="00E23CED">
        <w:t>nutrient and nutri</w:t>
      </w:r>
      <w:r w:rsidR="00610168" w:rsidRPr="00E23CED">
        <w:t xml:space="preserve">ent-affected </w:t>
      </w:r>
      <w:r w:rsidRPr="00E23CED">
        <w:t xml:space="preserve">attributes are described in </w:t>
      </w:r>
      <w:r w:rsidR="0026233D" w:rsidRPr="00E23CED">
        <w:t>a</w:t>
      </w:r>
      <w:r w:rsidRPr="00E23CED">
        <w:t xml:space="preserve"> </w:t>
      </w:r>
      <w:r w:rsidR="0026233D" w:rsidRPr="00E23CED">
        <w:t>‘band’ format</w:t>
      </w:r>
      <w:r w:rsidR="009C1EC9" w:rsidRPr="00E23CED">
        <w:t>,</w:t>
      </w:r>
      <w:r w:rsidR="0026233D" w:rsidRPr="00E23CED">
        <w:t xml:space="preserve"> from A</w:t>
      </w:r>
      <w:r w:rsidR="00302660" w:rsidRPr="00E23CED">
        <w:t xml:space="preserve"> to </w:t>
      </w:r>
      <w:r w:rsidR="0026233D" w:rsidRPr="00E23CED">
        <w:t>D</w:t>
      </w:r>
      <w:r w:rsidR="009C1EC9" w:rsidRPr="00E23CED">
        <w:t>,</w:t>
      </w:r>
      <w:r w:rsidR="003B31ED" w:rsidRPr="00E23CED">
        <w:t xml:space="preserve"> to reflect </w:t>
      </w:r>
      <w:r w:rsidR="000B2965" w:rsidRPr="00E23CED">
        <w:t xml:space="preserve">a gradient from </w:t>
      </w:r>
      <w:r w:rsidR="00D57B32" w:rsidRPr="00E23CED">
        <w:t>low impact</w:t>
      </w:r>
      <w:r w:rsidR="000B2965" w:rsidRPr="00E23CED">
        <w:t xml:space="preserve"> to </w:t>
      </w:r>
      <w:r w:rsidR="00D57B32" w:rsidRPr="00E23CED">
        <w:t>high impact</w:t>
      </w:r>
      <w:r w:rsidR="000B2965" w:rsidRPr="00E23CED">
        <w:t xml:space="preserve">. </w:t>
      </w:r>
      <w:r w:rsidR="00FA7BD4" w:rsidRPr="00E23CED">
        <w:t xml:space="preserve">These bands can help </w:t>
      </w:r>
      <w:r w:rsidR="0082551F" w:rsidRPr="00E23CED">
        <w:t>guide selection of target attribute states.</w:t>
      </w:r>
      <w:r w:rsidR="000F721C" w:rsidRPr="00E23CED">
        <w:t xml:space="preserve"> </w:t>
      </w:r>
      <w:r w:rsidR="00BC163A" w:rsidRPr="00E23CED">
        <w:t xml:space="preserve">For consistency and to </w:t>
      </w:r>
      <w:r w:rsidR="007B0CBB" w:rsidRPr="00E23CED">
        <w:t>simplify</w:t>
      </w:r>
      <w:r w:rsidR="00BC163A" w:rsidRPr="00E23CED">
        <w:t xml:space="preserve"> </w:t>
      </w:r>
      <w:r w:rsidR="004F7F9B" w:rsidRPr="00E23CED">
        <w:t xml:space="preserve">the process for </w:t>
      </w:r>
      <w:r w:rsidR="007B0CBB" w:rsidRPr="00E23CED">
        <w:t>community engagement</w:t>
      </w:r>
      <w:r w:rsidR="00BC163A" w:rsidRPr="00E23CED">
        <w:t xml:space="preserve">, </w:t>
      </w:r>
      <w:r w:rsidR="004F7F9B" w:rsidRPr="00E23CED">
        <w:t>i</w:t>
      </w:r>
      <w:r w:rsidR="00BC163A" w:rsidRPr="00E23CED">
        <w:t xml:space="preserve">t may be helpful to present </w:t>
      </w:r>
      <w:r w:rsidR="00C2031F" w:rsidRPr="00E23CED">
        <w:t xml:space="preserve">additional </w:t>
      </w:r>
      <w:r w:rsidR="004F7F9B" w:rsidRPr="00E23CED">
        <w:t xml:space="preserve">NPS-FM </w:t>
      </w:r>
      <w:r w:rsidR="00C2031F" w:rsidRPr="00E23CED">
        <w:t xml:space="preserve">nutrient criteria </w:t>
      </w:r>
      <w:r w:rsidR="004F7F9B" w:rsidRPr="00E23CED">
        <w:t xml:space="preserve">using </w:t>
      </w:r>
      <w:r w:rsidR="002332AC" w:rsidRPr="00E23CED">
        <w:t>the same</w:t>
      </w:r>
      <w:r w:rsidR="004F7F9B" w:rsidRPr="00E23CED">
        <w:t xml:space="preserve"> band approach.</w:t>
      </w:r>
      <w:r w:rsidR="00BC163A" w:rsidRPr="00E23CED">
        <w:t xml:space="preserve"> </w:t>
      </w:r>
    </w:p>
    <w:p w14:paraId="1404E8AF" w14:textId="16F88A3F" w:rsidR="00D60D53" w:rsidRPr="00E23CED" w:rsidRDefault="004F3F57" w:rsidP="00D60D53">
      <w:pPr>
        <w:pStyle w:val="BodyText"/>
        <w:spacing w:before="0"/>
        <w:ind w:left="397"/>
      </w:pPr>
      <w:r w:rsidRPr="00E23CED">
        <w:t>A</w:t>
      </w:r>
      <w:r w:rsidR="000F721C" w:rsidRPr="00E23CED">
        <w:t xml:space="preserve"> requirement to ‘maintain or improve’ applies to all </w:t>
      </w:r>
      <w:r w:rsidR="00CC3898" w:rsidRPr="00E23CED">
        <w:t>attribute states</w:t>
      </w:r>
      <w:r w:rsidR="00644152" w:rsidRPr="00E23CED">
        <w:t>, including nutrient or</w:t>
      </w:r>
      <w:r w:rsidR="00A37AAB" w:rsidRPr="00E23CED">
        <w:t> </w:t>
      </w:r>
      <w:r w:rsidR="00644152" w:rsidRPr="00E23CED">
        <w:t>nutrient-affected attributes</w:t>
      </w:r>
      <w:r w:rsidR="00C17BC4" w:rsidRPr="00E23CED">
        <w:t xml:space="preserve">, </w:t>
      </w:r>
      <w:r w:rsidR="008B297B" w:rsidRPr="00E23CED">
        <w:t>and</w:t>
      </w:r>
      <w:r w:rsidR="00C17BC4" w:rsidRPr="00E23CED">
        <w:t xml:space="preserve"> means</w:t>
      </w:r>
      <w:r w:rsidR="009561F3" w:rsidRPr="00E23CED">
        <w:t xml:space="preserve"> </w:t>
      </w:r>
      <w:r w:rsidR="00D266C8" w:rsidRPr="00E23CED">
        <w:t>TASs cannot be set below</w:t>
      </w:r>
      <w:r w:rsidR="008B297B" w:rsidRPr="00E23CED">
        <w:t xml:space="preserve"> the</w:t>
      </w:r>
      <w:r w:rsidR="00D266C8" w:rsidRPr="00E23CED">
        <w:t xml:space="preserve"> baseline state</w:t>
      </w:r>
      <w:r w:rsidR="00027696" w:rsidRPr="00E23CED">
        <w:t xml:space="preserve"> </w:t>
      </w:r>
      <w:r w:rsidR="00D9601C" w:rsidRPr="00E23CED">
        <w:t>(s</w:t>
      </w:r>
      <w:r w:rsidR="00D266C8" w:rsidRPr="00E23CED">
        <w:t xml:space="preserve">ee NPS-FM </w:t>
      </w:r>
      <w:r w:rsidR="009C1EC9" w:rsidRPr="00E23CED">
        <w:t>c</w:t>
      </w:r>
      <w:r w:rsidR="00096648" w:rsidRPr="00E23CED">
        <w:t>lause</w:t>
      </w:r>
      <w:r w:rsidR="00D266C8" w:rsidRPr="00E23CED">
        <w:t xml:space="preserve"> 1.4</w:t>
      </w:r>
      <w:r w:rsidR="00223ADE" w:rsidRPr="00E23CED">
        <w:t xml:space="preserve"> (1)</w:t>
      </w:r>
      <w:r w:rsidR="00D266C8" w:rsidRPr="00E23CED">
        <w:t xml:space="preserve"> for interpretation of baseline state</w:t>
      </w:r>
      <w:r w:rsidR="00D9601C" w:rsidRPr="00E23CED">
        <w:t>)</w:t>
      </w:r>
      <w:r w:rsidR="00027696" w:rsidRPr="00E23CED">
        <w:t>.</w:t>
      </w:r>
      <w:r w:rsidR="002D30C4" w:rsidRPr="00E23CED">
        <w:t xml:space="preserve"> Some nutrient attributes or nutrient-affected attributes have national bottom lines</w:t>
      </w:r>
      <w:r w:rsidR="00D9601C" w:rsidRPr="00E23CED">
        <w:t>,</w:t>
      </w:r>
      <w:r w:rsidR="002D30C4" w:rsidRPr="00E23CED">
        <w:t xml:space="preserve"> and TASs cannot be set below (worse than</w:t>
      </w:r>
      <w:r w:rsidR="009C1EC9" w:rsidRPr="00E23CED">
        <w:t>)</w:t>
      </w:r>
      <w:r w:rsidR="002D30C4" w:rsidRPr="00E23CED">
        <w:t xml:space="preserve"> a national bottom line, unless </w:t>
      </w:r>
      <w:r w:rsidR="00D9601C" w:rsidRPr="00E23CED">
        <w:t xml:space="preserve">there are </w:t>
      </w:r>
      <w:r w:rsidR="00B45E87" w:rsidRPr="00E23CED">
        <w:t>exemptions</w:t>
      </w:r>
      <w:r w:rsidR="004C0FA4" w:rsidRPr="00E23CED">
        <w:t>,</w:t>
      </w:r>
      <w:r w:rsidR="00B45E87" w:rsidRPr="00E23CED">
        <w:t xml:space="preserve"> such as </w:t>
      </w:r>
      <w:r w:rsidR="002D30C4" w:rsidRPr="00E23CED">
        <w:t xml:space="preserve">naturally </w:t>
      </w:r>
      <w:r w:rsidR="002D30C4" w:rsidRPr="00E23CED">
        <w:rPr>
          <w:spacing w:val="-2"/>
        </w:rPr>
        <w:t>occurring processes</w:t>
      </w:r>
      <w:r w:rsidR="004C0FA4" w:rsidRPr="00E23CED">
        <w:rPr>
          <w:spacing w:val="-2"/>
        </w:rPr>
        <w:t>,</w:t>
      </w:r>
      <w:r w:rsidR="002D30C4" w:rsidRPr="00E23CED">
        <w:rPr>
          <w:spacing w:val="-2"/>
        </w:rPr>
        <w:t xml:space="preserve"> </w:t>
      </w:r>
      <w:r w:rsidR="00D42F6F" w:rsidRPr="00E23CED">
        <w:rPr>
          <w:spacing w:val="-2"/>
        </w:rPr>
        <w:t>which</w:t>
      </w:r>
      <w:r w:rsidR="00B45E87" w:rsidRPr="00E23CED">
        <w:rPr>
          <w:spacing w:val="-2"/>
        </w:rPr>
        <w:t xml:space="preserve"> </w:t>
      </w:r>
      <w:r w:rsidR="002D30C4" w:rsidRPr="00E23CED">
        <w:rPr>
          <w:spacing w:val="-2"/>
        </w:rPr>
        <w:t xml:space="preserve">prevent the bottom line being achieved (see NPS-FM </w:t>
      </w:r>
      <w:r w:rsidR="009C1EC9" w:rsidRPr="00E23CED">
        <w:rPr>
          <w:spacing w:val="-2"/>
        </w:rPr>
        <w:t>c</w:t>
      </w:r>
      <w:r w:rsidR="00096648" w:rsidRPr="00E23CED">
        <w:rPr>
          <w:spacing w:val="-2"/>
        </w:rPr>
        <w:t>lause</w:t>
      </w:r>
      <w:r w:rsidR="002D30C4" w:rsidRPr="00E23CED">
        <w:rPr>
          <w:spacing w:val="-2"/>
        </w:rPr>
        <w:t xml:space="preserve"> 3.32)</w:t>
      </w:r>
      <w:r w:rsidR="002D30C4" w:rsidRPr="00E23CED">
        <w:t>.</w:t>
      </w:r>
      <w:r w:rsidR="003A5B52" w:rsidRPr="00E23CED">
        <w:t xml:space="preserve"> </w:t>
      </w:r>
    </w:p>
    <w:p w14:paraId="2D2A14EA" w14:textId="42712A34" w:rsidR="00D60D53" w:rsidRPr="00E23CED" w:rsidRDefault="00027696" w:rsidP="00D60D53">
      <w:pPr>
        <w:pStyle w:val="BodyText"/>
        <w:spacing w:before="0"/>
        <w:ind w:left="397"/>
      </w:pPr>
      <w:r w:rsidRPr="00E23CED">
        <w:t xml:space="preserve">If values </w:t>
      </w:r>
      <w:r w:rsidR="00D12A5D" w:rsidRPr="00E23CED">
        <w:t>we</w:t>
      </w:r>
      <w:r w:rsidRPr="00E23CED">
        <w:t>re being achieved at the baseline state</w:t>
      </w:r>
      <w:r w:rsidR="00044F94" w:rsidRPr="00E23CED">
        <w:t xml:space="preserve">, then a simple </w:t>
      </w:r>
      <w:r w:rsidR="00EE20E4" w:rsidRPr="00E23CED">
        <w:t>approach</w:t>
      </w:r>
      <w:r w:rsidR="00044F94" w:rsidRPr="00E23CED">
        <w:t xml:space="preserve"> </w:t>
      </w:r>
      <w:r w:rsidR="00D12A5D" w:rsidRPr="00E23CED">
        <w:t xml:space="preserve">would be to set </w:t>
      </w:r>
      <w:r w:rsidR="00044F94" w:rsidRPr="00E23CED">
        <w:t xml:space="preserve">nutrient criteria </w:t>
      </w:r>
      <w:r w:rsidR="00EE20E4" w:rsidRPr="00E23CED">
        <w:t>at these baseline levels</w:t>
      </w:r>
      <w:r w:rsidR="00D12A5D" w:rsidRPr="00E23CED">
        <w:t xml:space="preserve">. </w:t>
      </w:r>
      <w:r w:rsidR="00F72E60" w:rsidRPr="00E23CED">
        <w:t>I</w:t>
      </w:r>
      <w:r w:rsidR="009425D9" w:rsidRPr="00E23CED">
        <w:t xml:space="preserve">f evidence indicates </w:t>
      </w:r>
      <w:r w:rsidR="00AC350C" w:rsidRPr="00E23CED">
        <w:t xml:space="preserve">outcomes are not being achieved, </w:t>
      </w:r>
      <w:r w:rsidR="006D5DCB" w:rsidRPr="00E23CED">
        <w:t xml:space="preserve">then nutrient criteria will need to be </w:t>
      </w:r>
      <w:r w:rsidR="008270DB" w:rsidRPr="00E23CED">
        <w:t xml:space="preserve">set to achieve outcomes using </w:t>
      </w:r>
      <w:r w:rsidR="006D5DCB" w:rsidRPr="00E23CED">
        <w:t>the best available science</w:t>
      </w:r>
      <w:r w:rsidR="008270DB" w:rsidRPr="00E23CED">
        <w:t>.</w:t>
      </w:r>
      <w:r w:rsidR="006D5DCB" w:rsidRPr="00E23CED">
        <w:t xml:space="preserve"> </w:t>
      </w:r>
    </w:p>
    <w:p w14:paraId="23118208" w14:textId="6277CF18" w:rsidR="002332AC" w:rsidRPr="00E23CED" w:rsidRDefault="002332AC" w:rsidP="00D60D53">
      <w:pPr>
        <w:pStyle w:val="BodyText"/>
        <w:spacing w:before="0"/>
        <w:ind w:left="397"/>
      </w:pPr>
      <w:r w:rsidRPr="00E23CED">
        <w:t xml:space="preserve">If </w:t>
      </w:r>
      <w:r w:rsidR="005617F0" w:rsidRPr="00E23CED">
        <w:t>a water body has</w:t>
      </w:r>
      <w:r w:rsidR="00D02503" w:rsidRPr="00E23CED">
        <w:t xml:space="preserve"> multiple attributes, then </w:t>
      </w:r>
      <w:r w:rsidR="0018458B" w:rsidRPr="00E23CED">
        <w:t>nutrient criteria must be set to</w:t>
      </w:r>
      <w:r w:rsidR="00A37AAB" w:rsidRPr="00E23CED">
        <w:t> </w:t>
      </w:r>
      <w:r w:rsidR="0018458B" w:rsidRPr="00E23CED">
        <w:t>achieve the TAS for</w:t>
      </w:r>
      <w:r w:rsidR="00924427" w:rsidRPr="00E23CED">
        <w:t xml:space="preserve"> </w:t>
      </w:r>
      <w:r w:rsidR="00D03A32" w:rsidRPr="00E23CED">
        <w:t>all</w:t>
      </w:r>
      <w:r w:rsidR="0018458B" w:rsidRPr="00E23CED">
        <w:t xml:space="preserve"> </w:t>
      </w:r>
      <w:r w:rsidR="00F76A10" w:rsidRPr="00E23CED">
        <w:t>nutrient, or nutrient-affected</w:t>
      </w:r>
      <w:r w:rsidR="009C1EC9" w:rsidRPr="00E23CED">
        <w:t>,</w:t>
      </w:r>
      <w:r w:rsidR="00F76A10" w:rsidRPr="00E23CED">
        <w:t xml:space="preserve"> attribute</w:t>
      </w:r>
      <w:r w:rsidR="00B0082E" w:rsidRPr="00E23CED">
        <w:t>s</w:t>
      </w:r>
      <w:r w:rsidR="00F76A10" w:rsidRPr="00E23CED">
        <w:t>.</w:t>
      </w:r>
      <w:r w:rsidR="00924427" w:rsidRPr="00E23CED">
        <w:t xml:space="preserve"> This </w:t>
      </w:r>
      <w:r w:rsidR="00A01182" w:rsidRPr="00E23CED">
        <w:t>may</w:t>
      </w:r>
      <w:r w:rsidR="00924427" w:rsidRPr="00E23CED">
        <w:t xml:space="preserve"> mean considering </w:t>
      </w:r>
      <w:r w:rsidR="00A01182" w:rsidRPr="00E23CED">
        <w:t>potentially different</w:t>
      </w:r>
      <w:r w:rsidR="00820EC5" w:rsidRPr="00E23CED">
        <w:t xml:space="preserve"> nutrient</w:t>
      </w:r>
      <w:r w:rsidR="00A01182" w:rsidRPr="00E23CED">
        <w:t xml:space="preserve"> </w:t>
      </w:r>
      <w:r w:rsidR="00820EC5" w:rsidRPr="00E23CED">
        <w:t>criteria for different</w:t>
      </w:r>
      <w:r w:rsidR="00793FE9" w:rsidRPr="00E23CED">
        <w:t xml:space="preserve"> types of</w:t>
      </w:r>
      <w:r w:rsidR="00820EC5" w:rsidRPr="00E23CED">
        <w:t xml:space="preserve"> water</w:t>
      </w:r>
      <w:r w:rsidR="001D4CE7" w:rsidRPr="00E23CED">
        <w:t xml:space="preserve"> </w:t>
      </w:r>
      <w:r w:rsidR="00820EC5" w:rsidRPr="00E23CED">
        <w:t>bodies</w:t>
      </w:r>
      <w:r w:rsidR="00574C14" w:rsidRPr="00E23CED">
        <w:t xml:space="preserve"> (eg,</w:t>
      </w:r>
      <w:r w:rsidR="00A37AAB" w:rsidRPr="00E23CED">
        <w:t> </w:t>
      </w:r>
      <w:r w:rsidR="001E1A23" w:rsidRPr="00E23CED">
        <w:t xml:space="preserve">different types of </w:t>
      </w:r>
      <w:r w:rsidR="00574C14" w:rsidRPr="00E23CED">
        <w:t>rivers, lakes, estuaries and groundwater</w:t>
      </w:r>
      <w:r w:rsidR="001E1A23" w:rsidRPr="00E23CED">
        <w:t>)</w:t>
      </w:r>
      <w:r w:rsidR="00820EC5" w:rsidRPr="00E23CED">
        <w:t xml:space="preserve"> in different parts of an FMU</w:t>
      </w:r>
      <w:r w:rsidR="00C04305" w:rsidRPr="00E23CED">
        <w:t>, and</w:t>
      </w:r>
      <w:r w:rsidR="001E1A23" w:rsidRPr="00E23CED">
        <w:t xml:space="preserve"> then</w:t>
      </w:r>
      <w:r w:rsidR="005A4EED" w:rsidRPr="00E23CED">
        <w:t xml:space="preserve"> </w:t>
      </w:r>
      <w:r w:rsidR="00C04305" w:rsidRPr="00E23CED">
        <w:t>reconci</w:t>
      </w:r>
      <w:r w:rsidR="006A32CC" w:rsidRPr="00E23CED">
        <w:t>l</w:t>
      </w:r>
      <w:r w:rsidR="00113145" w:rsidRPr="00E23CED">
        <w:t>ing</w:t>
      </w:r>
      <w:r w:rsidR="00543727" w:rsidRPr="00E23CED">
        <w:t xml:space="preserve"> how to</w:t>
      </w:r>
      <w:r w:rsidR="00C04305" w:rsidRPr="00E23CED">
        <w:t xml:space="preserve"> achieve </w:t>
      </w:r>
      <w:proofErr w:type="gramStart"/>
      <w:r w:rsidR="00C04305" w:rsidRPr="00E23CED">
        <w:t>all of</w:t>
      </w:r>
      <w:proofErr w:type="gramEnd"/>
      <w:r w:rsidR="00C04305" w:rsidRPr="00E23CED">
        <w:t xml:space="preserve"> </w:t>
      </w:r>
      <w:r w:rsidR="00FC345D" w:rsidRPr="00E23CED">
        <w:t>those nutrient criteria at their required locations</w:t>
      </w:r>
      <w:r w:rsidR="00543727" w:rsidRPr="00E23CED">
        <w:t>.</w:t>
      </w:r>
      <w:r w:rsidR="00820EC5" w:rsidRPr="00E23CED">
        <w:t xml:space="preserve"> </w:t>
      </w:r>
    </w:p>
    <w:p w14:paraId="5F2FDE52" w14:textId="77777777" w:rsidR="00E8290F" w:rsidRPr="00E23CED" w:rsidRDefault="00D3092C" w:rsidP="00D60D53">
      <w:pPr>
        <w:pStyle w:val="Numberedparagraph"/>
      </w:pPr>
      <w:r w:rsidRPr="00E23CED">
        <w:rPr>
          <w:b/>
          <w:bCs/>
        </w:rPr>
        <w:t xml:space="preserve">Determine what nutrient </w:t>
      </w:r>
      <w:r w:rsidR="00AD6D88" w:rsidRPr="00E23CED">
        <w:rPr>
          <w:b/>
          <w:bCs/>
        </w:rPr>
        <w:t xml:space="preserve">reductions, if any, are needed to achieve </w:t>
      </w:r>
      <w:r w:rsidR="00C246C7" w:rsidRPr="00E23CED">
        <w:rPr>
          <w:b/>
          <w:bCs/>
        </w:rPr>
        <w:t xml:space="preserve">all </w:t>
      </w:r>
      <w:r w:rsidR="005C7B71" w:rsidRPr="00E23CED">
        <w:rPr>
          <w:b/>
          <w:bCs/>
        </w:rPr>
        <w:t>t</w:t>
      </w:r>
      <w:r w:rsidR="00AD6D88" w:rsidRPr="00E23CED">
        <w:rPr>
          <w:b/>
          <w:bCs/>
        </w:rPr>
        <w:t>he</w:t>
      </w:r>
      <w:r w:rsidR="00C246C7" w:rsidRPr="00E23CED">
        <w:rPr>
          <w:b/>
          <w:bCs/>
        </w:rPr>
        <w:t xml:space="preserve"> identified </w:t>
      </w:r>
      <w:r w:rsidR="00C53117" w:rsidRPr="00E23CED">
        <w:rPr>
          <w:b/>
          <w:bCs/>
        </w:rPr>
        <w:t>nutrient criteria.</w:t>
      </w:r>
      <w:r w:rsidR="00F53654" w:rsidRPr="00E23CED">
        <w:rPr>
          <w:b/>
          <w:bCs/>
        </w:rPr>
        <w:t xml:space="preserve"> </w:t>
      </w:r>
    </w:p>
    <w:p w14:paraId="5C55BC74" w14:textId="545D1009" w:rsidR="008C59DF" w:rsidRPr="00E23CED" w:rsidRDefault="00F53654" w:rsidP="00E8290F">
      <w:pPr>
        <w:pStyle w:val="BodyText"/>
        <w:spacing w:before="0"/>
        <w:ind w:left="397"/>
      </w:pPr>
      <w:r w:rsidRPr="00E23CED">
        <w:t xml:space="preserve">The scale of nutrient reduction </w:t>
      </w:r>
      <w:r w:rsidR="00EC0605" w:rsidRPr="00E23CED">
        <w:t xml:space="preserve">needed </w:t>
      </w:r>
      <w:r w:rsidRPr="00E23CED">
        <w:t xml:space="preserve">to achieve </w:t>
      </w:r>
      <w:r w:rsidR="005F468E" w:rsidRPr="00E23CED">
        <w:t xml:space="preserve">all </w:t>
      </w:r>
      <w:r w:rsidR="00776A93" w:rsidRPr="00E23CED">
        <w:t xml:space="preserve">the nutrient criteria </w:t>
      </w:r>
      <w:r w:rsidR="0045471C" w:rsidRPr="00E23CED">
        <w:t>may</w:t>
      </w:r>
      <w:r w:rsidR="00776A93" w:rsidRPr="00E23CED">
        <w:t xml:space="preserve"> require a reconciliation between different </w:t>
      </w:r>
      <w:r w:rsidR="00047DB5" w:rsidRPr="00E23CED">
        <w:t xml:space="preserve">forms of nutrients, </w:t>
      </w:r>
      <w:r w:rsidR="00D0121A" w:rsidRPr="00E23CED">
        <w:t>relevant to TASs</w:t>
      </w:r>
      <w:r w:rsidR="00AB72C3" w:rsidRPr="00E23CED">
        <w:t xml:space="preserve"> for different water bodies</w:t>
      </w:r>
      <w:r w:rsidR="00D50592" w:rsidRPr="00E23CED">
        <w:t>. This should be considered</w:t>
      </w:r>
      <w:r w:rsidR="00083CCC" w:rsidRPr="00E23CED">
        <w:t xml:space="preserve"> in the context of where nutrient reductions need to occur</w:t>
      </w:r>
      <w:r w:rsidR="00AB72C3" w:rsidRPr="00E23CED">
        <w:t xml:space="preserve"> to achieve the most</w:t>
      </w:r>
      <w:r w:rsidR="00E8290F" w:rsidRPr="00E23CED">
        <w:t> </w:t>
      </w:r>
      <w:r w:rsidR="00AB72C3" w:rsidRPr="00E23CED">
        <w:t>restrictive nutrient criteria</w:t>
      </w:r>
      <w:r w:rsidR="002E059A" w:rsidRPr="00E23CED">
        <w:t xml:space="preserve"> in each</w:t>
      </w:r>
      <w:r w:rsidR="00AB72C3" w:rsidRPr="00E23CED">
        <w:t xml:space="preserve"> part of the ki uta ki tai continuum</w:t>
      </w:r>
      <w:r w:rsidR="00BF0EFC" w:rsidRPr="00E23CED">
        <w:t>. See</w:t>
      </w:r>
      <w:r w:rsidR="002C57BD" w:rsidRPr="00E23CED">
        <w:t xml:space="preserve"> </w:t>
      </w:r>
      <w:hyperlink w:anchor="_3.5__Reconciling" w:history="1">
        <w:r w:rsidR="002C57BD" w:rsidRPr="00E23CED">
          <w:rPr>
            <w:rStyle w:val="Hyperlink"/>
          </w:rPr>
          <w:t>section 3.5 Reconciling nutrient criteria across the freshwater management unit and downstream receiving environments</w:t>
        </w:r>
      </w:hyperlink>
      <w:r w:rsidR="00083CCC" w:rsidRPr="00E23CED">
        <w:t xml:space="preserve">. </w:t>
      </w:r>
      <w:r w:rsidR="00C30864" w:rsidRPr="00E23CED">
        <w:t xml:space="preserve">Identifying the </w:t>
      </w:r>
      <w:r w:rsidR="00555572" w:rsidRPr="00E23CED">
        <w:t>scale of nutrient reduction</w:t>
      </w:r>
      <w:r w:rsidR="000E58C8" w:rsidRPr="00E23CED">
        <w:t>s</w:t>
      </w:r>
      <w:r w:rsidR="00555572" w:rsidRPr="00E23CED">
        <w:t xml:space="preserve"> required</w:t>
      </w:r>
      <w:r w:rsidR="000E58C8" w:rsidRPr="00E23CED">
        <w:t xml:space="preserve"> in an FMU or part</w:t>
      </w:r>
      <w:r w:rsidR="00CD2093" w:rsidRPr="00E23CED">
        <w:t xml:space="preserve"> of an</w:t>
      </w:r>
      <w:r w:rsidR="00386A6A" w:rsidRPr="00E23CED">
        <w:t xml:space="preserve"> FMU</w:t>
      </w:r>
      <w:r w:rsidR="00555572" w:rsidRPr="00E23CED">
        <w:t xml:space="preserve"> form</w:t>
      </w:r>
      <w:r w:rsidR="00A03485" w:rsidRPr="00E23CED">
        <w:t>s</w:t>
      </w:r>
      <w:r w:rsidR="00555572" w:rsidRPr="00E23CED">
        <w:t xml:space="preserve"> the basis</w:t>
      </w:r>
      <w:r w:rsidR="00A03485" w:rsidRPr="00E23CED">
        <w:t xml:space="preserve"> for investigating </w:t>
      </w:r>
      <w:r w:rsidR="001C04F8" w:rsidRPr="00E23CED">
        <w:t>actions</w:t>
      </w:r>
      <w:r w:rsidR="00F722BB" w:rsidRPr="00E23CED">
        <w:t xml:space="preserve"> needed to achieve th</w:t>
      </w:r>
      <w:r w:rsidR="00EC3168" w:rsidRPr="00E23CED">
        <w:t xml:space="preserve">e nutrient </w:t>
      </w:r>
      <w:r w:rsidR="00F722BB" w:rsidRPr="00E23CED">
        <w:t>reductions</w:t>
      </w:r>
      <w:r w:rsidR="00A9403B" w:rsidRPr="00E23CED">
        <w:t xml:space="preserve">. </w:t>
      </w:r>
      <w:r w:rsidR="00BB1FF8" w:rsidRPr="00E23CED">
        <w:t>Th</w:t>
      </w:r>
      <w:r w:rsidR="00EC3168" w:rsidRPr="00E23CED">
        <w:t>at</w:t>
      </w:r>
      <w:r w:rsidR="00BB1FF8" w:rsidRPr="00E23CED">
        <w:t xml:space="preserve"> </w:t>
      </w:r>
      <w:r w:rsidR="00BC5079" w:rsidRPr="00E23CED">
        <w:t>step leads</w:t>
      </w:r>
      <w:r w:rsidR="008B4B90" w:rsidRPr="00E23CED">
        <w:rPr>
          <w:b/>
          <w:bCs/>
        </w:rPr>
        <w:t xml:space="preserve"> </w:t>
      </w:r>
      <w:r w:rsidR="005C0686" w:rsidRPr="00E23CED">
        <w:t xml:space="preserve">into the process of </w:t>
      </w:r>
      <w:r w:rsidR="00BC5079" w:rsidRPr="00E23CED">
        <w:t>setting</w:t>
      </w:r>
      <w:r w:rsidR="00B30765" w:rsidRPr="00E23CED">
        <w:t xml:space="preserve"> limits </w:t>
      </w:r>
      <w:r w:rsidR="008362C5" w:rsidRPr="00E23CED">
        <w:t xml:space="preserve">on resource use </w:t>
      </w:r>
      <w:r w:rsidR="00A304F7" w:rsidRPr="00E23CED">
        <w:t>(</w:t>
      </w:r>
      <w:r w:rsidR="009C1EC9" w:rsidRPr="00E23CED">
        <w:t>c</w:t>
      </w:r>
      <w:r w:rsidR="00096648" w:rsidRPr="00E23CED">
        <w:t>lause</w:t>
      </w:r>
      <w:r w:rsidR="00A304F7" w:rsidRPr="00E23CED">
        <w:t xml:space="preserve"> 3.</w:t>
      </w:r>
      <w:r w:rsidR="000E39E3" w:rsidRPr="00E23CED">
        <w:t xml:space="preserve">14) </w:t>
      </w:r>
      <w:r w:rsidR="00B30765" w:rsidRPr="00E23CED">
        <w:t xml:space="preserve">and </w:t>
      </w:r>
      <w:r w:rsidR="00BC5079" w:rsidRPr="00E23CED">
        <w:t xml:space="preserve">developing </w:t>
      </w:r>
      <w:r w:rsidR="00B30765" w:rsidRPr="00E23CED">
        <w:t>action plans</w:t>
      </w:r>
      <w:r w:rsidR="000E39E3" w:rsidRPr="00E23CED">
        <w:t xml:space="preserve"> (</w:t>
      </w:r>
      <w:r w:rsidR="009C1EC9" w:rsidRPr="00E23CED">
        <w:t>c</w:t>
      </w:r>
      <w:r w:rsidR="00096648" w:rsidRPr="00E23CED">
        <w:t>lause</w:t>
      </w:r>
      <w:r w:rsidR="000E39E3" w:rsidRPr="00E23CED">
        <w:t xml:space="preserve"> 3.15)</w:t>
      </w:r>
      <w:r w:rsidR="00D9601C" w:rsidRPr="00E23CED">
        <w:t>,</w:t>
      </w:r>
      <w:r w:rsidR="005D77A5" w:rsidRPr="00E23CED">
        <w:t xml:space="preserve"> as described in</w:t>
      </w:r>
      <w:r w:rsidR="00471C74" w:rsidRPr="00E23CED">
        <w:t xml:space="preserve"> </w:t>
      </w:r>
      <w:hyperlink w:anchor="_3.2__Relationship" w:history="1">
        <w:r w:rsidR="00471C74" w:rsidRPr="00E23CED">
          <w:rPr>
            <w:rStyle w:val="Hyperlink"/>
          </w:rPr>
          <w:t>section 3.2 Relationship of clause 3.13 to limits and action plans</w:t>
        </w:r>
      </w:hyperlink>
      <w:r w:rsidR="00EC3168" w:rsidRPr="00E23CED">
        <w:t>.</w:t>
      </w:r>
      <w:r w:rsidR="00094904" w:rsidRPr="00E23CED">
        <w:t xml:space="preserve"> Consideration of </w:t>
      </w:r>
      <w:r w:rsidR="00936BAC" w:rsidRPr="00E23CED">
        <w:t xml:space="preserve">the effects of </w:t>
      </w:r>
      <w:r w:rsidR="00094904" w:rsidRPr="00E23CED">
        <w:t xml:space="preserve">climate change may be required. </w:t>
      </w:r>
    </w:p>
    <w:p w14:paraId="733759E5" w14:textId="31B6EF4B" w:rsidR="008C59DF" w:rsidRPr="00E23CED" w:rsidRDefault="008C59DF" w:rsidP="00E8290F">
      <w:pPr>
        <w:pStyle w:val="Figureheading"/>
      </w:pPr>
      <w:bookmarkStart w:id="42" w:name="_2.2.1_Nitrate_and"/>
      <w:bookmarkStart w:id="43" w:name="table1"/>
      <w:bookmarkStart w:id="44" w:name="_Relation_of_clause"/>
      <w:bookmarkStart w:id="45" w:name="figure3"/>
      <w:bookmarkStart w:id="46" w:name="_Toc142661805"/>
      <w:bookmarkEnd w:id="42"/>
      <w:bookmarkEnd w:id="43"/>
      <w:bookmarkEnd w:id="44"/>
      <w:r w:rsidRPr="00E23CED">
        <w:lastRenderedPageBreak/>
        <w:t xml:space="preserve">Figure </w:t>
      </w:r>
      <w:fldSimple w:instr=" SEQ Figure \* ARABIC ">
        <w:r w:rsidR="00FA0487">
          <w:rPr>
            <w:noProof/>
          </w:rPr>
          <w:t>3</w:t>
        </w:r>
      </w:fldSimple>
      <w:r w:rsidR="00350D33" w:rsidRPr="00E23CED">
        <w:t>:</w:t>
      </w:r>
      <w:r w:rsidRPr="00E23CED">
        <w:t xml:space="preserve"> </w:t>
      </w:r>
      <w:bookmarkEnd w:id="45"/>
      <w:r w:rsidR="00E8290F" w:rsidRPr="00E23CED">
        <w:tab/>
      </w:r>
      <w:r w:rsidR="004C26D3" w:rsidRPr="00E23CED">
        <w:t>G</w:t>
      </w:r>
      <w:r w:rsidRPr="00E23CED">
        <w:t xml:space="preserve">eneral approach to implementing </w:t>
      </w:r>
      <w:r w:rsidR="009C1EC9" w:rsidRPr="00E23CED">
        <w:t>c</w:t>
      </w:r>
      <w:r w:rsidR="00096648" w:rsidRPr="00E23CED">
        <w:t>lause</w:t>
      </w:r>
      <w:r w:rsidRPr="00E23CED">
        <w:t xml:space="preserve"> </w:t>
      </w:r>
      <w:proofErr w:type="gramStart"/>
      <w:r w:rsidRPr="00E23CED">
        <w:t>3.13</w:t>
      </w:r>
      <w:bookmarkEnd w:id="46"/>
      <w:proofErr w:type="gramEnd"/>
    </w:p>
    <w:p w14:paraId="2AA2D107" w14:textId="0588AF32" w:rsidR="004C1F65" w:rsidRPr="00E23CED" w:rsidRDefault="004C1F65" w:rsidP="00E8290F">
      <w:pPr>
        <w:pStyle w:val="BodyText"/>
      </w:pPr>
      <w:r w:rsidRPr="00E23CED">
        <w:rPr>
          <w:noProof/>
        </w:rPr>
        <w:drawing>
          <wp:inline distT="0" distB="0" distL="0" distR="0" wp14:anchorId="67B5CB3B" wp14:editId="129188EB">
            <wp:extent cx="5400211" cy="8391421"/>
            <wp:effectExtent l="0" t="0" r="0" b="0"/>
            <wp:docPr id="3" name="Picture 3" descr="General approach to implementing clause 3.13 considering five key steps:&#10;Delineate systems&#10;Identify values&#10;Select attributes&#10;Set nutrient criteria&#10;Achieve nutrient outcom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neral approach to implementing clause 3.13 considering five key steps:&#10;Delineate systems&#10;Identify values&#10;Select attributes&#10;Set nutrient criteria&#10;Achieve nutrient outcomes&#10;&#10;"/>
                    <pic:cNvPicPr/>
                  </pic:nvPicPr>
                  <pic:blipFill>
                    <a:blip r:embed="rId55"/>
                    <a:stretch>
                      <a:fillRect/>
                    </a:stretch>
                  </pic:blipFill>
                  <pic:spPr>
                    <a:xfrm>
                      <a:off x="0" y="0"/>
                      <a:ext cx="5400211" cy="8391421"/>
                    </a:xfrm>
                    <a:prstGeom prst="rect">
                      <a:avLst/>
                    </a:prstGeom>
                  </pic:spPr>
                </pic:pic>
              </a:graphicData>
            </a:graphic>
          </wp:inline>
        </w:drawing>
      </w:r>
    </w:p>
    <w:p w14:paraId="605A9632" w14:textId="50EBED32" w:rsidR="00B60453" w:rsidRPr="00E23CED" w:rsidRDefault="00B2028B" w:rsidP="002A0CBB">
      <w:pPr>
        <w:pStyle w:val="Heading2"/>
      </w:pPr>
      <w:bookmarkStart w:id="47" w:name="_3.2__Relationship"/>
      <w:bookmarkStart w:id="48" w:name="_Ref140420858"/>
      <w:bookmarkStart w:id="49" w:name="_Toc143077511"/>
      <w:bookmarkEnd w:id="47"/>
      <w:r w:rsidRPr="00E23CED">
        <w:lastRenderedPageBreak/>
        <w:t xml:space="preserve">3.2 </w:t>
      </w:r>
      <w:r w:rsidR="00E8290F" w:rsidRPr="00E23CED">
        <w:tab/>
      </w:r>
      <w:r w:rsidR="00B60453" w:rsidRPr="00E23CED">
        <w:t>Relation</w:t>
      </w:r>
      <w:r w:rsidR="0019431C" w:rsidRPr="00E23CED">
        <w:t>ship</w:t>
      </w:r>
      <w:r w:rsidR="00B60453" w:rsidRPr="00E23CED">
        <w:t xml:space="preserve"> of </w:t>
      </w:r>
      <w:r w:rsidR="009C1EC9" w:rsidRPr="00E23CED">
        <w:t>c</w:t>
      </w:r>
      <w:r w:rsidR="00096648" w:rsidRPr="00E23CED">
        <w:t>lause</w:t>
      </w:r>
      <w:r w:rsidR="00B60453" w:rsidRPr="00E23CED">
        <w:t xml:space="preserve"> 3.13 to limits and</w:t>
      </w:r>
      <w:r w:rsidR="0049325A" w:rsidRPr="00E23CED">
        <w:t> </w:t>
      </w:r>
      <w:r w:rsidR="00B60453" w:rsidRPr="00E23CED">
        <w:t>action plans</w:t>
      </w:r>
      <w:bookmarkEnd w:id="48"/>
      <w:bookmarkEnd w:id="49"/>
    </w:p>
    <w:p w14:paraId="2C38721F" w14:textId="113D0B5B" w:rsidR="00346686" w:rsidRPr="00E23CED" w:rsidRDefault="006432D4" w:rsidP="00E8290F">
      <w:pPr>
        <w:pStyle w:val="BodyText"/>
      </w:pPr>
      <w:r w:rsidRPr="00E23CED">
        <w:t xml:space="preserve">For attributes in </w:t>
      </w:r>
      <w:r w:rsidR="000F3A95" w:rsidRPr="00E23CED">
        <w:t>a</w:t>
      </w:r>
      <w:r w:rsidR="00B60453" w:rsidRPr="00E23CED">
        <w:t>ppendix 2A</w:t>
      </w:r>
      <w:r w:rsidRPr="00E23CED">
        <w:t>,</w:t>
      </w:r>
      <w:r w:rsidR="00FB4C0A" w:rsidRPr="00E23CED">
        <w:t xml:space="preserve"> </w:t>
      </w:r>
      <w:r w:rsidRPr="00E23CED">
        <w:t xml:space="preserve">councils </w:t>
      </w:r>
      <w:r w:rsidRPr="00E23CED">
        <w:rPr>
          <w:b/>
          <w:bCs/>
        </w:rPr>
        <w:t>must</w:t>
      </w:r>
      <w:r w:rsidRPr="00E23CED">
        <w:t xml:space="preserve"> set</w:t>
      </w:r>
      <w:r w:rsidR="00B60453" w:rsidRPr="00E23CED">
        <w:t xml:space="preserve"> limits on resource use </w:t>
      </w:r>
      <w:r w:rsidR="00C71278" w:rsidRPr="00E23CED">
        <w:t xml:space="preserve">and the nutrient outcomes needed to achieve </w:t>
      </w:r>
      <w:r w:rsidR="00C05055" w:rsidRPr="00E23CED">
        <w:t xml:space="preserve">the </w:t>
      </w:r>
      <w:r w:rsidR="00C71278" w:rsidRPr="00E23CED">
        <w:t>TAS</w:t>
      </w:r>
      <w:r w:rsidR="00EE6F99" w:rsidRPr="00E23CED">
        <w:t>. They</w:t>
      </w:r>
      <w:r w:rsidR="002A535B" w:rsidRPr="00E23CED">
        <w:t xml:space="preserve"> </w:t>
      </w:r>
      <w:r w:rsidR="002A535B" w:rsidRPr="00E23CED">
        <w:rPr>
          <w:b/>
          <w:bCs/>
        </w:rPr>
        <w:t>may</w:t>
      </w:r>
      <w:r w:rsidR="002A535B" w:rsidRPr="00E23CED">
        <w:t xml:space="preserve"> also </w:t>
      </w:r>
      <w:r w:rsidR="009F64EF" w:rsidRPr="00E23CED">
        <w:t>prepare action plans and impose conditions on resource consents</w:t>
      </w:r>
      <w:r w:rsidR="007C220D" w:rsidRPr="00E23CED">
        <w:t xml:space="preserve"> to help with this</w:t>
      </w:r>
      <w:r w:rsidR="00B60453" w:rsidRPr="00E23CED">
        <w:t xml:space="preserve"> (</w:t>
      </w:r>
      <w:r w:rsidR="000F3A95" w:rsidRPr="00E23CED">
        <w:t>c</w:t>
      </w:r>
      <w:r w:rsidR="00096648" w:rsidRPr="00E23CED">
        <w:t>lause</w:t>
      </w:r>
      <w:r w:rsidR="00B60453" w:rsidRPr="00E23CED">
        <w:t xml:space="preserve"> 3.</w:t>
      </w:r>
      <w:r w:rsidR="006C29B6" w:rsidRPr="00E23CED">
        <w:t>12</w:t>
      </w:r>
      <w:r w:rsidR="00B60453" w:rsidRPr="00E23CED">
        <w:t>)</w:t>
      </w:r>
      <w:r w:rsidR="006C29B6" w:rsidRPr="00E23CED">
        <w:t>.</w:t>
      </w:r>
      <w:r w:rsidR="00B60453" w:rsidRPr="00E23CED">
        <w:t xml:space="preserve"> </w:t>
      </w:r>
    </w:p>
    <w:p w14:paraId="153CF6D3" w14:textId="4B366BD0" w:rsidR="00A14587" w:rsidRPr="00E23CED" w:rsidRDefault="006C29B6" w:rsidP="00E8290F">
      <w:pPr>
        <w:pStyle w:val="BodyText"/>
      </w:pPr>
      <w:r w:rsidRPr="00E23CED">
        <w:t>For attributes in</w:t>
      </w:r>
      <w:r w:rsidR="00B60453" w:rsidRPr="00E23CED">
        <w:t xml:space="preserve"> </w:t>
      </w:r>
      <w:r w:rsidR="000F3A95" w:rsidRPr="00E23CED">
        <w:t>a</w:t>
      </w:r>
      <w:r w:rsidR="00B60453" w:rsidRPr="00E23CED">
        <w:t>ppendix 2B</w:t>
      </w:r>
      <w:r w:rsidR="00FB4C0A" w:rsidRPr="00E23CED">
        <w:t>, councils</w:t>
      </w:r>
      <w:r w:rsidRPr="00E23CED">
        <w:t xml:space="preserve"> </w:t>
      </w:r>
      <w:r w:rsidRPr="00E23CED">
        <w:rPr>
          <w:b/>
          <w:bCs/>
        </w:rPr>
        <w:t>must</w:t>
      </w:r>
      <w:r w:rsidRPr="00E23CED">
        <w:t xml:space="preserve"> </w:t>
      </w:r>
      <w:r w:rsidR="005F139A" w:rsidRPr="00E23CED">
        <w:t>prepare</w:t>
      </w:r>
      <w:r w:rsidR="00B60453" w:rsidRPr="00E23CED">
        <w:t xml:space="preserve"> action plans to achieve</w:t>
      </w:r>
      <w:r w:rsidR="007E7B84" w:rsidRPr="00E23CED">
        <w:t xml:space="preserve"> </w:t>
      </w:r>
      <w:r w:rsidR="007744BF" w:rsidRPr="00E23CED">
        <w:t>the</w:t>
      </w:r>
      <w:r w:rsidR="00B60453" w:rsidRPr="00E23CED">
        <w:t xml:space="preserve"> TAS</w:t>
      </w:r>
      <w:r w:rsidR="00654162" w:rsidRPr="00E23CED">
        <w:t xml:space="preserve"> and </w:t>
      </w:r>
      <w:r w:rsidR="00654162" w:rsidRPr="00E23CED">
        <w:rPr>
          <w:b/>
          <w:bCs/>
        </w:rPr>
        <w:t>may</w:t>
      </w:r>
      <w:r w:rsidR="00654162" w:rsidRPr="00E23CED">
        <w:t xml:space="preserve"> also </w:t>
      </w:r>
      <w:r w:rsidR="00341F27">
        <w:t>set</w:t>
      </w:r>
      <w:r w:rsidR="007F7A76" w:rsidRPr="00E23CED">
        <w:t xml:space="preserve"> limits</w:t>
      </w:r>
      <w:r w:rsidR="00B60453" w:rsidRPr="00E23CED">
        <w:t xml:space="preserve"> </w:t>
      </w:r>
      <w:r w:rsidR="00487606">
        <w:t>and</w:t>
      </w:r>
      <w:r w:rsidR="00B60453" w:rsidRPr="00E23CED">
        <w:t xml:space="preserve"> </w:t>
      </w:r>
      <w:r w:rsidR="009C2243">
        <w:t xml:space="preserve">impose </w:t>
      </w:r>
      <w:r w:rsidR="00F1532C">
        <w:t>conditions on resource consents to help with this</w:t>
      </w:r>
      <w:r w:rsidR="00B60453" w:rsidRPr="00E23CED">
        <w:t xml:space="preserve"> (</w:t>
      </w:r>
      <w:r w:rsidR="000F3A95" w:rsidRPr="00E23CED">
        <w:t>c</w:t>
      </w:r>
      <w:r w:rsidR="00096648" w:rsidRPr="00E23CED">
        <w:t>lause</w:t>
      </w:r>
      <w:r w:rsidR="005F139A" w:rsidRPr="00E23CED">
        <w:t xml:space="preserve"> 3.12</w:t>
      </w:r>
      <w:r w:rsidR="00B60453" w:rsidRPr="00E23CED">
        <w:t>).</w:t>
      </w:r>
      <w:r w:rsidR="00781B22" w:rsidRPr="00E23CED">
        <w:t xml:space="preserve"> For further </w:t>
      </w:r>
      <w:r w:rsidR="003E12EA" w:rsidRPr="00E23CED">
        <w:t>guidance around setting limits (</w:t>
      </w:r>
      <w:r w:rsidR="000F3A95" w:rsidRPr="00E23CED">
        <w:t>c</w:t>
      </w:r>
      <w:r w:rsidR="00096648" w:rsidRPr="00E23CED">
        <w:t>lause</w:t>
      </w:r>
      <w:r w:rsidR="003E12EA" w:rsidRPr="00E23CED">
        <w:t xml:space="preserve"> 3.14) </w:t>
      </w:r>
      <w:r w:rsidR="00725D20" w:rsidRPr="00E23CED">
        <w:t>and preparing action plans (</w:t>
      </w:r>
      <w:r w:rsidR="000F3A95" w:rsidRPr="00E23CED">
        <w:t>c</w:t>
      </w:r>
      <w:r w:rsidR="00096648" w:rsidRPr="00E23CED">
        <w:t>lause</w:t>
      </w:r>
      <w:r w:rsidR="00725D20" w:rsidRPr="00E23CED">
        <w:t xml:space="preserve"> 3.15)</w:t>
      </w:r>
      <w:r w:rsidR="00C05055" w:rsidRPr="00E23CED">
        <w:t>,</w:t>
      </w:r>
      <w:r w:rsidR="00781B22" w:rsidRPr="00E23CED">
        <w:t xml:space="preserve"> </w:t>
      </w:r>
      <w:r w:rsidR="004540CE" w:rsidRPr="00E23CED">
        <w:t>see</w:t>
      </w:r>
      <w:r w:rsidR="003D494D" w:rsidRPr="00E23CED">
        <w:t xml:space="preserve"> </w:t>
      </w:r>
      <w:hyperlink r:id="rId56" w:history="1">
        <w:r w:rsidR="00664CAB" w:rsidRPr="00E23CED">
          <w:rPr>
            <w:rStyle w:val="Hyperlink"/>
            <w:i/>
            <w:iCs/>
          </w:rPr>
          <w:t>He Ārahitanga mō Te Anga Whāinga ā-Motu o te NPS-FM: Guidance on the National Objectives Framework of the NPS-FM</w:t>
        </w:r>
      </w:hyperlink>
      <w:r w:rsidR="000F3A95" w:rsidRPr="00E23CED">
        <w:t xml:space="preserve"> (Ministry for the Environment, 202</w:t>
      </w:r>
      <w:r w:rsidR="00595A1E" w:rsidRPr="00E23CED">
        <w:t>3</w:t>
      </w:r>
      <w:r w:rsidR="000F3A95" w:rsidRPr="00E23CED">
        <w:t>).</w:t>
      </w:r>
      <w:r w:rsidR="008F3B17" w:rsidRPr="00E23CED">
        <w:t xml:space="preserve"> </w:t>
      </w:r>
    </w:p>
    <w:p w14:paraId="63C0435C" w14:textId="3BF9CE9A" w:rsidR="00F17E6F" w:rsidRPr="00E23CED" w:rsidRDefault="00F979BA" w:rsidP="009E6F21">
      <w:pPr>
        <w:pStyle w:val="BodyText"/>
        <w:rPr>
          <w:rFonts w:eastAsia="Calibri" w:cs="Calibri"/>
        </w:rPr>
      </w:pPr>
      <w:r w:rsidRPr="00E23CED">
        <w:rPr>
          <w:rFonts w:eastAsia="Calibri" w:cs="Calibri"/>
        </w:rPr>
        <w:t>One</w:t>
      </w:r>
      <w:r w:rsidR="00B60453" w:rsidRPr="00E23CED">
        <w:rPr>
          <w:rFonts w:eastAsia="Calibri" w:cs="Calibri"/>
        </w:rPr>
        <w:t xml:space="preserve"> </w:t>
      </w:r>
      <w:r w:rsidR="00467B7E" w:rsidRPr="00E23CED">
        <w:rPr>
          <w:rFonts w:eastAsia="Calibri" w:cs="Calibri"/>
        </w:rPr>
        <w:t xml:space="preserve">main </w:t>
      </w:r>
      <w:r w:rsidR="00B60453" w:rsidRPr="00E23CED">
        <w:rPr>
          <w:rFonts w:eastAsia="Calibri" w:cs="Calibri"/>
        </w:rPr>
        <w:t>difference</w:t>
      </w:r>
      <w:r w:rsidRPr="00E23CED">
        <w:rPr>
          <w:rFonts w:eastAsia="Calibri" w:cs="Calibri"/>
        </w:rPr>
        <w:t xml:space="preserve"> between</w:t>
      </w:r>
      <w:r w:rsidR="00947BC7" w:rsidRPr="00E23CED">
        <w:rPr>
          <w:rFonts w:eastAsia="Calibri" w:cs="Calibri"/>
        </w:rPr>
        <w:t xml:space="preserve"> limits and action plans</w:t>
      </w:r>
      <w:r w:rsidR="00B60453" w:rsidRPr="00E23CED">
        <w:rPr>
          <w:rFonts w:eastAsia="Calibri" w:cs="Calibri"/>
        </w:rPr>
        <w:t xml:space="preserve"> is that</w:t>
      </w:r>
      <w:r w:rsidR="00C6413A" w:rsidRPr="00E23CED">
        <w:rPr>
          <w:rFonts w:eastAsia="Calibri" w:cs="Calibri"/>
        </w:rPr>
        <w:t xml:space="preserve"> a</w:t>
      </w:r>
      <w:r w:rsidR="00B60453" w:rsidRPr="00E23CED">
        <w:rPr>
          <w:rFonts w:eastAsia="Calibri" w:cs="Calibri"/>
        </w:rPr>
        <w:t xml:space="preserve"> limit </w:t>
      </w:r>
      <w:r w:rsidR="00947BC7" w:rsidRPr="00E23CED">
        <w:rPr>
          <w:rFonts w:eastAsia="Calibri" w:cs="Calibri"/>
        </w:rPr>
        <w:t xml:space="preserve">may </w:t>
      </w:r>
      <w:r w:rsidR="00B60453" w:rsidRPr="00E23CED">
        <w:rPr>
          <w:rFonts w:eastAsia="Calibri" w:cs="Calibri"/>
        </w:rPr>
        <w:t>be expressed as one of three types of regulatory controls (</w:t>
      </w:r>
      <w:r w:rsidR="006B4118" w:rsidRPr="00E23CED">
        <w:rPr>
          <w:rFonts w:eastAsia="Calibri" w:cs="Calibri"/>
        </w:rPr>
        <w:t>that is</w:t>
      </w:r>
      <w:r w:rsidR="007E7B84" w:rsidRPr="00E23CED">
        <w:rPr>
          <w:rFonts w:eastAsia="Calibri" w:cs="Calibri"/>
        </w:rPr>
        <w:t xml:space="preserve">, </w:t>
      </w:r>
      <w:r w:rsidR="00B60453" w:rsidRPr="00E23CED">
        <w:rPr>
          <w:rFonts w:eastAsia="Calibri" w:cs="Calibri"/>
        </w:rPr>
        <w:t>land use, output or input</w:t>
      </w:r>
      <w:r w:rsidR="007C423D" w:rsidRPr="00E23CED">
        <w:rPr>
          <w:rFonts w:eastAsia="Calibri" w:cs="Calibri"/>
        </w:rPr>
        <w:t xml:space="preserve"> controls</w:t>
      </w:r>
      <w:r w:rsidR="00B60453" w:rsidRPr="00E23CED">
        <w:rPr>
          <w:rFonts w:eastAsia="Calibri" w:cs="Calibri"/>
        </w:rPr>
        <w:t>)</w:t>
      </w:r>
      <w:r w:rsidR="00F17E6F" w:rsidRPr="00E23CED">
        <w:rPr>
          <w:rFonts w:eastAsia="Calibri" w:cs="Calibri"/>
        </w:rPr>
        <w:t xml:space="preserve">, </w:t>
      </w:r>
      <w:r w:rsidR="000F3A95" w:rsidRPr="00E23CED">
        <w:rPr>
          <w:rFonts w:eastAsia="Calibri" w:cs="Calibri"/>
        </w:rPr>
        <w:t xml:space="preserve">while </w:t>
      </w:r>
      <w:r w:rsidR="00F17E6F" w:rsidRPr="00E23CED">
        <w:rPr>
          <w:rFonts w:eastAsia="Calibri" w:cs="Calibri"/>
        </w:rPr>
        <w:t>a</w:t>
      </w:r>
      <w:r w:rsidR="00B60453" w:rsidRPr="00E23CED">
        <w:rPr>
          <w:rFonts w:eastAsia="Calibri" w:cs="Calibri"/>
        </w:rPr>
        <w:t>ction plans are more flexible</w:t>
      </w:r>
      <w:r w:rsidR="00F17E6F" w:rsidRPr="00E23CED">
        <w:rPr>
          <w:rFonts w:eastAsia="Calibri" w:cs="Calibri"/>
        </w:rPr>
        <w:t xml:space="preserve">. Action plans </w:t>
      </w:r>
      <w:r w:rsidR="00B60453" w:rsidRPr="00E23CED">
        <w:rPr>
          <w:rFonts w:eastAsia="Calibri" w:cs="Calibri"/>
        </w:rPr>
        <w:t xml:space="preserve">allow </w:t>
      </w:r>
      <w:r w:rsidR="006B4118" w:rsidRPr="00E23CED">
        <w:rPr>
          <w:rFonts w:eastAsia="Calibri" w:cs="Calibri"/>
        </w:rPr>
        <w:t xml:space="preserve">many </w:t>
      </w:r>
      <w:r w:rsidR="00B60453" w:rsidRPr="00E23CED">
        <w:rPr>
          <w:rFonts w:eastAsia="Calibri" w:cs="Calibri"/>
        </w:rPr>
        <w:t xml:space="preserve">non-regulatory (such as ecosystem restoration by partnering with community and tangata whenua groups) as well as regulatory measures (including </w:t>
      </w:r>
      <w:r w:rsidR="00DF7089" w:rsidRPr="00E23CED">
        <w:rPr>
          <w:rFonts w:eastAsia="Calibri" w:cs="Calibri"/>
        </w:rPr>
        <w:t>amending regional policy statements or plans</w:t>
      </w:r>
      <w:r w:rsidR="00B60453" w:rsidRPr="00E23CED">
        <w:rPr>
          <w:rFonts w:eastAsia="Calibri" w:cs="Calibri"/>
        </w:rPr>
        <w:t xml:space="preserve">). </w:t>
      </w:r>
    </w:p>
    <w:p w14:paraId="37E64474" w14:textId="32ABE24C" w:rsidR="00F17E6F" w:rsidRPr="00E23CED" w:rsidRDefault="00B60453" w:rsidP="009E6F21">
      <w:pPr>
        <w:pStyle w:val="BodyText"/>
        <w:rPr>
          <w:rFonts w:eastAsia="Calibri" w:cs="Calibri"/>
        </w:rPr>
      </w:pPr>
      <w:r w:rsidRPr="00E23CED">
        <w:rPr>
          <w:rFonts w:eastAsia="Calibri" w:cs="Calibri"/>
        </w:rPr>
        <w:t>For any attribute, limits and action plans are not mutually exclusive</w:t>
      </w:r>
      <w:r w:rsidR="001D5C1E" w:rsidRPr="00E23CED">
        <w:rPr>
          <w:rFonts w:eastAsia="Calibri" w:cs="Calibri"/>
        </w:rPr>
        <w:t xml:space="preserve"> and </w:t>
      </w:r>
      <w:r w:rsidR="007C543B" w:rsidRPr="00E23CED">
        <w:rPr>
          <w:rFonts w:eastAsia="Calibri" w:cs="Calibri"/>
        </w:rPr>
        <w:t>are often complementary</w:t>
      </w:r>
      <w:r w:rsidR="00D772B5" w:rsidRPr="00E23CED">
        <w:rPr>
          <w:rFonts w:eastAsia="Calibri" w:cs="Calibri"/>
        </w:rPr>
        <w:t>. F</w:t>
      </w:r>
      <w:r w:rsidRPr="00E23CED">
        <w:rPr>
          <w:rFonts w:eastAsia="Calibri" w:cs="Calibri"/>
        </w:rPr>
        <w:t xml:space="preserve">or example, limits may be </w:t>
      </w:r>
      <w:r w:rsidR="00212A7F" w:rsidRPr="00E23CED">
        <w:rPr>
          <w:rFonts w:eastAsia="Calibri" w:cs="Calibri"/>
        </w:rPr>
        <w:t>used</w:t>
      </w:r>
      <w:r w:rsidRPr="00E23CED">
        <w:rPr>
          <w:rFonts w:eastAsia="Calibri" w:cs="Calibri"/>
        </w:rPr>
        <w:t xml:space="preserve"> to </w:t>
      </w:r>
      <w:r w:rsidR="000F3A95" w:rsidRPr="00E23CED">
        <w:rPr>
          <w:rFonts w:eastAsia="Calibri" w:cs="Calibri"/>
        </w:rPr>
        <w:t xml:space="preserve">help </w:t>
      </w:r>
      <w:r w:rsidR="006B4118" w:rsidRPr="00E23CED">
        <w:rPr>
          <w:rFonts w:eastAsia="Calibri" w:cs="Calibri"/>
        </w:rPr>
        <w:t>reach</w:t>
      </w:r>
      <w:r w:rsidRPr="00E23CED">
        <w:rPr>
          <w:rFonts w:eastAsia="Calibri" w:cs="Calibri"/>
        </w:rPr>
        <w:t xml:space="preserve"> </w:t>
      </w:r>
      <w:r w:rsidR="00E43BE5" w:rsidRPr="00E23CED">
        <w:rPr>
          <w:rFonts w:eastAsia="Calibri" w:cs="Calibri"/>
        </w:rPr>
        <w:t>a</w:t>
      </w:r>
      <w:r w:rsidR="000F3A95" w:rsidRPr="00E23CED">
        <w:rPr>
          <w:rFonts w:eastAsia="Calibri" w:cs="Calibri"/>
        </w:rPr>
        <w:t xml:space="preserve"> </w:t>
      </w:r>
      <w:r w:rsidR="000F3A95" w:rsidRPr="00E23CED">
        <w:t>macroinvertebrate community index</w:t>
      </w:r>
      <w:r w:rsidR="00E43BE5" w:rsidRPr="00E23CED">
        <w:rPr>
          <w:rFonts w:eastAsia="Calibri" w:cs="Calibri"/>
        </w:rPr>
        <w:t xml:space="preserve"> </w:t>
      </w:r>
      <w:r w:rsidR="000F3A95" w:rsidRPr="00E23CED">
        <w:rPr>
          <w:rFonts w:eastAsia="Calibri" w:cs="Calibri"/>
        </w:rPr>
        <w:t>(</w:t>
      </w:r>
      <w:r w:rsidRPr="00E23CED">
        <w:rPr>
          <w:rFonts w:eastAsia="Calibri" w:cs="Calibri"/>
        </w:rPr>
        <w:t>MCI</w:t>
      </w:r>
      <w:r w:rsidR="000F3A95" w:rsidRPr="00E23CED">
        <w:rPr>
          <w:rFonts w:eastAsia="Calibri" w:cs="Calibri"/>
        </w:rPr>
        <w:t>)</w:t>
      </w:r>
      <w:r w:rsidRPr="00E23CED">
        <w:rPr>
          <w:rFonts w:eastAsia="Calibri" w:cs="Calibri"/>
        </w:rPr>
        <w:t xml:space="preserve"> TAS </w:t>
      </w:r>
      <w:r w:rsidR="000F3A95" w:rsidRPr="00E23CED">
        <w:rPr>
          <w:rFonts w:eastAsia="Calibri" w:cs="Calibri"/>
        </w:rPr>
        <w:t xml:space="preserve">alongside </w:t>
      </w:r>
      <w:r w:rsidR="00D772B5" w:rsidRPr="00E23CED">
        <w:rPr>
          <w:rFonts w:eastAsia="Calibri" w:cs="Calibri"/>
        </w:rPr>
        <w:t>the compulsory action plans. Similarly</w:t>
      </w:r>
      <w:r w:rsidR="00F05D81" w:rsidRPr="00E23CED">
        <w:rPr>
          <w:rFonts w:eastAsia="Calibri" w:cs="Calibri"/>
        </w:rPr>
        <w:t>,</w:t>
      </w:r>
      <w:r w:rsidRPr="00E23CED">
        <w:rPr>
          <w:rFonts w:eastAsia="Calibri" w:cs="Calibri"/>
        </w:rPr>
        <w:t xml:space="preserve"> action plans may</w:t>
      </w:r>
      <w:r w:rsidR="0049325A" w:rsidRPr="00E23CED">
        <w:rPr>
          <w:rFonts w:eastAsia="Calibri" w:cs="Calibri"/>
        </w:rPr>
        <w:t> </w:t>
      </w:r>
      <w:r w:rsidRPr="00E23CED">
        <w:rPr>
          <w:rFonts w:eastAsia="Calibri" w:cs="Calibri"/>
        </w:rPr>
        <w:t>be prepared to</w:t>
      </w:r>
      <w:r w:rsidR="00A72CDF" w:rsidRPr="00E23CED">
        <w:rPr>
          <w:rFonts w:eastAsia="Calibri" w:cs="Calibri"/>
        </w:rPr>
        <w:t xml:space="preserve"> </w:t>
      </w:r>
      <w:r w:rsidR="006B4118" w:rsidRPr="00E23CED">
        <w:rPr>
          <w:rFonts w:eastAsia="Calibri" w:cs="Calibri"/>
        </w:rPr>
        <w:t>help</w:t>
      </w:r>
      <w:r w:rsidRPr="00E23CED">
        <w:rPr>
          <w:rFonts w:eastAsia="Calibri" w:cs="Calibri"/>
        </w:rPr>
        <w:t xml:space="preserve"> achiev</w:t>
      </w:r>
      <w:r w:rsidR="006B4118" w:rsidRPr="00E23CED">
        <w:rPr>
          <w:rFonts w:eastAsia="Calibri" w:cs="Calibri"/>
        </w:rPr>
        <w:t>e</w:t>
      </w:r>
      <w:r w:rsidRPr="00E23CED">
        <w:rPr>
          <w:rFonts w:eastAsia="Calibri" w:cs="Calibri"/>
        </w:rPr>
        <w:t xml:space="preserve"> </w:t>
      </w:r>
      <w:r w:rsidR="00E43BE5" w:rsidRPr="00E23CED">
        <w:rPr>
          <w:rFonts w:eastAsia="Calibri" w:cs="Calibri"/>
        </w:rPr>
        <w:t xml:space="preserve">a </w:t>
      </w:r>
      <w:r w:rsidRPr="00E23CED">
        <w:rPr>
          <w:rFonts w:eastAsia="Calibri" w:cs="Calibri"/>
        </w:rPr>
        <w:t>periphyton TAS</w:t>
      </w:r>
      <w:r w:rsidR="00D772B5" w:rsidRPr="00E23CED">
        <w:rPr>
          <w:rFonts w:eastAsia="Calibri" w:cs="Calibri"/>
        </w:rPr>
        <w:t xml:space="preserve"> </w:t>
      </w:r>
      <w:r w:rsidR="006B4118" w:rsidRPr="00E23CED">
        <w:rPr>
          <w:rFonts w:eastAsia="Calibri" w:cs="Calibri"/>
        </w:rPr>
        <w:t>alongside</w:t>
      </w:r>
      <w:r w:rsidR="00D772B5" w:rsidRPr="00E23CED">
        <w:rPr>
          <w:rFonts w:eastAsia="Calibri" w:cs="Calibri"/>
        </w:rPr>
        <w:t xml:space="preserve"> compulsory limits</w:t>
      </w:r>
      <w:r w:rsidRPr="00E23CED">
        <w:rPr>
          <w:rFonts w:eastAsia="Calibri" w:cs="Calibri"/>
        </w:rPr>
        <w:t>.</w:t>
      </w:r>
    </w:p>
    <w:p w14:paraId="424F141E" w14:textId="1F08B035" w:rsidR="00FE4621" w:rsidRPr="00E23CED" w:rsidRDefault="00D94332" w:rsidP="0018322B">
      <w:pPr>
        <w:pStyle w:val="BodyText"/>
        <w:rPr>
          <w:rFonts w:eastAsia="Calibri" w:cs="Calibri"/>
        </w:rPr>
      </w:pPr>
      <w:r w:rsidRPr="00E23CED">
        <w:rPr>
          <w:rFonts w:eastAsia="Calibri" w:cs="Calibri"/>
        </w:rPr>
        <w:t xml:space="preserve">Regional </w:t>
      </w:r>
      <w:r w:rsidR="00F8254A" w:rsidRPr="00E23CED">
        <w:rPr>
          <w:rFonts w:eastAsia="Calibri" w:cs="Calibri"/>
        </w:rPr>
        <w:t>c</w:t>
      </w:r>
      <w:r w:rsidRPr="00E23CED">
        <w:rPr>
          <w:rFonts w:eastAsia="Calibri" w:cs="Calibri"/>
        </w:rPr>
        <w:t>ouncils</w:t>
      </w:r>
      <w:r w:rsidR="00AC702C">
        <w:rPr>
          <w:rFonts w:eastAsia="Calibri" w:cs="Calibri"/>
        </w:rPr>
        <w:t xml:space="preserve"> </w:t>
      </w:r>
      <w:r w:rsidR="00AA6A77">
        <w:rPr>
          <w:rFonts w:eastAsia="Calibri" w:cs="Calibri"/>
        </w:rPr>
        <w:t>must</w:t>
      </w:r>
      <w:r w:rsidR="00691D6A">
        <w:rPr>
          <w:rFonts w:eastAsia="Calibri" w:cs="Calibri"/>
        </w:rPr>
        <w:t xml:space="preserve"> use limits and action plans</w:t>
      </w:r>
      <w:r w:rsidR="00BD64D4">
        <w:rPr>
          <w:rFonts w:eastAsia="Calibri" w:cs="Calibri"/>
        </w:rPr>
        <w:t xml:space="preserve"> </w:t>
      </w:r>
      <w:r w:rsidR="00AA6A77">
        <w:rPr>
          <w:rFonts w:eastAsia="Calibri" w:cs="Calibri"/>
        </w:rPr>
        <w:t xml:space="preserve">(where required) </w:t>
      </w:r>
      <w:r w:rsidR="00690AC7">
        <w:rPr>
          <w:rFonts w:eastAsia="Calibri" w:cs="Calibri"/>
        </w:rPr>
        <w:t xml:space="preserve">to achieve </w:t>
      </w:r>
      <w:r w:rsidR="00AA6A77">
        <w:rPr>
          <w:rFonts w:eastAsia="Calibri" w:cs="Calibri"/>
        </w:rPr>
        <w:t xml:space="preserve">the nutrient outcomes adopted under clause 3.1.3. </w:t>
      </w:r>
      <w:r w:rsidR="00683F08" w:rsidRPr="00E23CED">
        <w:rPr>
          <w:rFonts w:eastAsia="Calibri" w:cs="Calibri"/>
        </w:rPr>
        <w:t>It is implicit that regional councils will need to establish a way to justify</w:t>
      </w:r>
      <w:r w:rsidR="00A94C76" w:rsidRPr="00E23CED">
        <w:rPr>
          <w:rFonts w:eastAsia="Calibri" w:cs="Calibri"/>
        </w:rPr>
        <w:t xml:space="preserve"> the limits </w:t>
      </w:r>
      <w:r w:rsidR="00441DA2" w:rsidRPr="00E23CED">
        <w:rPr>
          <w:rFonts w:eastAsia="Calibri" w:cs="Calibri"/>
        </w:rPr>
        <w:t>(</w:t>
      </w:r>
      <w:r w:rsidR="00A94C76" w:rsidRPr="00E23CED">
        <w:rPr>
          <w:rFonts w:eastAsia="Calibri" w:cs="Calibri"/>
        </w:rPr>
        <w:t xml:space="preserve">and </w:t>
      </w:r>
      <w:r w:rsidR="00D44F6E" w:rsidRPr="00E23CED">
        <w:rPr>
          <w:rFonts w:eastAsia="Calibri" w:cs="Calibri"/>
        </w:rPr>
        <w:t xml:space="preserve">maybe </w:t>
      </w:r>
      <w:r w:rsidR="00A94C76" w:rsidRPr="00E23CED">
        <w:rPr>
          <w:rFonts w:eastAsia="Calibri" w:cs="Calibri"/>
        </w:rPr>
        <w:t>actions</w:t>
      </w:r>
      <w:r w:rsidR="00D44F6E" w:rsidRPr="00E23CED">
        <w:rPr>
          <w:rFonts w:eastAsia="Calibri" w:cs="Calibri"/>
        </w:rPr>
        <w:t>)</w:t>
      </w:r>
      <w:r w:rsidR="00A94C76" w:rsidRPr="00E23CED">
        <w:rPr>
          <w:rFonts w:eastAsia="Calibri" w:cs="Calibri"/>
        </w:rPr>
        <w:t xml:space="preserve"> </w:t>
      </w:r>
      <w:r w:rsidR="0009488F" w:rsidRPr="00E23CED">
        <w:rPr>
          <w:rFonts w:eastAsia="Calibri" w:cs="Calibri"/>
        </w:rPr>
        <w:t xml:space="preserve">deemed </w:t>
      </w:r>
      <w:r w:rsidR="00A94C76" w:rsidRPr="00E23CED">
        <w:rPr>
          <w:rFonts w:eastAsia="Calibri" w:cs="Calibri"/>
        </w:rPr>
        <w:t>necessary</w:t>
      </w:r>
      <w:r w:rsidR="007B027A" w:rsidRPr="00E23CED">
        <w:rPr>
          <w:rFonts w:eastAsia="Calibri" w:cs="Calibri"/>
        </w:rPr>
        <w:t xml:space="preserve">. </w:t>
      </w:r>
      <w:r w:rsidR="00AC5E4B" w:rsidRPr="00E23CED">
        <w:rPr>
          <w:rFonts w:eastAsia="Calibri" w:cs="Calibri"/>
        </w:rPr>
        <w:t>To do that</w:t>
      </w:r>
      <w:r w:rsidR="006B4118" w:rsidRPr="00E23CED">
        <w:rPr>
          <w:rFonts w:eastAsia="Calibri" w:cs="Calibri"/>
        </w:rPr>
        <w:t>,</w:t>
      </w:r>
      <w:r w:rsidR="002E152C" w:rsidRPr="00E23CED">
        <w:rPr>
          <w:rFonts w:eastAsia="Calibri" w:cs="Calibri"/>
        </w:rPr>
        <w:t xml:space="preserve"> </w:t>
      </w:r>
      <w:r w:rsidR="003E6C38" w:rsidRPr="00E23CED">
        <w:rPr>
          <w:rFonts w:eastAsia="Calibri" w:cs="Calibri"/>
        </w:rPr>
        <w:t>councils will need to develop ways of testing</w:t>
      </w:r>
      <w:r w:rsidR="00F76456" w:rsidRPr="00E23CED">
        <w:rPr>
          <w:rFonts w:eastAsia="Calibri" w:cs="Calibri"/>
        </w:rPr>
        <w:t xml:space="preserve"> </w:t>
      </w:r>
      <w:r w:rsidR="00464CD2" w:rsidRPr="00E23CED">
        <w:rPr>
          <w:rFonts w:eastAsia="Calibri" w:cs="Calibri"/>
        </w:rPr>
        <w:t>the effectiveness of</w:t>
      </w:r>
      <w:r w:rsidR="00F76456" w:rsidRPr="00E23CED">
        <w:rPr>
          <w:rFonts w:eastAsia="Calibri" w:cs="Calibri"/>
        </w:rPr>
        <w:t xml:space="preserve"> various options for limits and actions </w:t>
      </w:r>
      <w:r w:rsidR="003348D0" w:rsidRPr="00E23CED">
        <w:rPr>
          <w:rFonts w:eastAsia="Calibri" w:cs="Calibri"/>
        </w:rPr>
        <w:t>in achieving draft nutrient outcomes.</w:t>
      </w:r>
      <w:r w:rsidR="00200330" w:rsidRPr="00E23CED">
        <w:rPr>
          <w:rFonts w:eastAsia="Calibri" w:cs="Calibri"/>
        </w:rPr>
        <w:t xml:space="preserve"> That is beyond the scope of this guidance. </w:t>
      </w:r>
      <w:r w:rsidR="00D54F27" w:rsidRPr="00E23CED">
        <w:rPr>
          <w:rFonts w:eastAsia="Calibri" w:cs="Calibri"/>
        </w:rPr>
        <w:t>A</w:t>
      </w:r>
      <w:r w:rsidR="00DC174F" w:rsidRPr="00E23CED">
        <w:rPr>
          <w:rFonts w:eastAsia="Calibri" w:cs="Calibri"/>
        </w:rPr>
        <w:t xml:space="preserve"> current best practice approach</w:t>
      </w:r>
      <w:r w:rsidR="00B409B1" w:rsidRPr="00E23CED">
        <w:rPr>
          <w:rFonts w:eastAsia="Calibri" w:cs="Calibri"/>
        </w:rPr>
        <w:t xml:space="preserve"> broadly</w:t>
      </w:r>
      <w:r w:rsidR="00DC174F" w:rsidRPr="00E23CED">
        <w:rPr>
          <w:rFonts w:eastAsia="Calibri" w:cs="Calibri"/>
        </w:rPr>
        <w:t xml:space="preserve"> in</w:t>
      </w:r>
      <w:r w:rsidR="004479AF" w:rsidRPr="00E23CED">
        <w:rPr>
          <w:rFonts w:eastAsia="Calibri" w:cs="Calibri"/>
        </w:rPr>
        <w:t>cludes</w:t>
      </w:r>
      <w:r w:rsidR="00A75256" w:rsidRPr="00E23CED">
        <w:rPr>
          <w:rFonts w:eastAsia="Calibri" w:cs="Calibri"/>
        </w:rPr>
        <w:t xml:space="preserve"> the following</w:t>
      </w:r>
      <w:r w:rsidR="00D54F27" w:rsidRPr="00E23CED">
        <w:rPr>
          <w:rFonts w:eastAsia="Calibri" w:cs="Calibri"/>
        </w:rPr>
        <w:t xml:space="preserve"> steps</w:t>
      </w:r>
      <w:r w:rsidR="00A75256" w:rsidRPr="00E23CED">
        <w:rPr>
          <w:rFonts w:eastAsia="Calibri" w:cs="Calibri"/>
        </w:rPr>
        <w:t>.</w:t>
      </w:r>
    </w:p>
    <w:p w14:paraId="6BC71DE2" w14:textId="183509D7" w:rsidR="00581313" w:rsidRPr="00E23CED" w:rsidRDefault="00892192" w:rsidP="0049325A">
      <w:pPr>
        <w:pStyle w:val="Bullet"/>
        <w:rPr>
          <w:rFonts w:eastAsia="Calibri"/>
        </w:rPr>
      </w:pPr>
      <w:r w:rsidRPr="00E23CED">
        <w:rPr>
          <w:rFonts w:eastAsia="Calibri"/>
        </w:rPr>
        <w:t>C</w:t>
      </w:r>
      <w:r w:rsidR="00DC174F" w:rsidRPr="00E23CED">
        <w:rPr>
          <w:rFonts w:eastAsia="Calibri"/>
        </w:rPr>
        <w:t xml:space="preserve">onsider </w:t>
      </w:r>
      <w:r w:rsidR="00F9322B" w:rsidRPr="00E23CED">
        <w:rPr>
          <w:rFonts w:eastAsia="Calibri"/>
        </w:rPr>
        <w:t xml:space="preserve">the </w:t>
      </w:r>
      <w:r w:rsidR="00DC174F" w:rsidRPr="00E23CED">
        <w:rPr>
          <w:rFonts w:eastAsia="Calibri"/>
        </w:rPr>
        <w:t xml:space="preserve">loads of </w:t>
      </w:r>
      <w:r w:rsidR="00CB6235" w:rsidRPr="00E23CED">
        <w:rPr>
          <w:rFonts w:eastAsia="Calibri"/>
        </w:rPr>
        <w:t xml:space="preserve">nitrogen and phosphorus </w:t>
      </w:r>
      <w:r w:rsidR="00F9322B" w:rsidRPr="00E23CED">
        <w:rPr>
          <w:rFonts w:eastAsia="Calibri"/>
        </w:rPr>
        <w:t xml:space="preserve">that </w:t>
      </w:r>
      <w:r w:rsidR="00CB6235" w:rsidRPr="00E23CED">
        <w:rPr>
          <w:rFonts w:eastAsia="Calibri"/>
        </w:rPr>
        <w:t>can be accommodated in a catchment while</w:t>
      </w:r>
      <w:r w:rsidR="001E4D00" w:rsidRPr="00E23CED">
        <w:rPr>
          <w:rFonts w:eastAsia="Calibri"/>
        </w:rPr>
        <w:t xml:space="preserve"> achieving the nutrient outcomes</w:t>
      </w:r>
      <w:r w:rsidR="00063833" w:rsidRPr="00E23CED">
        <w:rPr>
          <w:rFonts w:eastAsia="Calibri"/>
        </w:rPr>
        <w:t xml:space="preserve"> (</w:t>
      </w:r>
      <w:r w:rsidR="00904BC4" w:rsidRPr="00E23CED">
        <w:rPr>
          <w:rFonts w:eastAsia="Calibri"/>
        </w:rPr>
        <w:t xml:space="preserve">where </w:t>
      </w:r>
      <w:r w:rsidR="001721E2" w:rsidRPr="00E23CED">
        <w:rPr>
          <w:rFonts w:eastAsia="Calibri"/>
        </w:rPr>
        <w:t>the nutrient outcomes</w:t>
      </w:r>
      <w:r w:rsidR="00904BC4" w:rsidRPr="00E23CED">
        <w:rPr>
          <w:rFonts w:eastAsia="Calibri"/>
        </w:rPr>
        <w:t xml:space="preserve"> </w:t>
      </w:r>
      <w:r w:rsidR="00063833" w:rsidRPr="00E23CED">
        <w:rPr>
          <w:rFonts w:eastAsia="Calibri"/>
        </w:rPr>
        <w:t>are defined</w:t>
      </w:r>
      <w:r w:rsidR="001721E2" w:rsidRPr="00E23CED">
        <w:rPr>
          <w:rFonts w:eastAsia="Calibri"/>
        </w:rPr>
        <w:t xml:space="preserve"> initially</w:t>
      </w:r>
      <w:r w:rsidR="00063833" w:rsidRPr="00E23CED">
        <w:rPr>
          <w:rFonts w:eastAsia="Calibri"/>
        </w:rPr>
        <w:t xml:space="preserve"> as concent</w:t>
      </w:r>
      <w:r w:rsidR="00904BC4" w:rsidRPr="00E23CED">
        <w:rPr>
          <w:rFonts w:eastAsia="Calibri"/>
        </w:rPr>
        <w:t>rations</w:t>
      </w:r>
      <w:r w:rsidR="00FF1D44" w:rsidRPr="00E23CED">
        <w:rPr>
          <w:rFonts w:eastAsia="Calibri"/>
        </w:rPr>
        <w:t xml:space="preserve"> rather than loads</w:t>
      </w:r>
      <w:r w:rsidR="001721E2" w:rsidRPr="00E23CED">
        <w:rPr>
          <w:rFonts w:eastAsia="Calibri"/>
        </w:rPr>
        <w:t>)</w:t>
      </w:r>
      <w:r w:rsidR="006B4118" w:rsidRPr="00E23CED">
        <w:rPr>
          <w:rFonts w:eastAsia="Calibri"/>
        </w:rPr>
        <w:t>.</w:t>
      </w:r>
    </w:p>
    <w:p w14:paraId="62AFB975" w14:textId="2F760D38" w:rsidR="002C4393" w:rsidRPr="00E23CED" w:rsidRDefault="00892192" w:rsidP="0049325A">
      <w:pPr>
        <w:pStyle w:val="Bullet"/>
        <w:rPr>
          <w:rFonts w:eastAsia="Calibri" w:cs="Calibri"/>
        </w:rPr>
      </w:pPr>
      <w:r w:rsidRPr="00E23CED">
        <w:rPr>
          <w:rFonts w:eastAsia="Calibri" w:cs="Calibri"/>
        </w:rPr>
        <w:t>Es</w:t>
      </w:r>
      <w:r w:rsidR="009F00E9" w:rsidRPr="00E23CED">
        <w:rPr>
          <w:rFonts w:eastAsia="Calibri" w:cs="Calibri"/>
        </w:rPr>
        <w:t>timat</w:t>
      </w:r>
      <w:r w:rsidRPr="00E23CED">
        <w:rPr>
          <w:rFonts w:eastAsia="Calibri" w:cs="Calibri"/>
        </w:rPr>
        <w:t>e</w:t>
      </w:r>
      <w:r w:rsidR="00077DD6" w:rsidRPr="00E23CED">
        <w:rPr>
          <w:rFonts w:eastAsia="Calibri" w:cs="Calibri"/>
        </w:rPr>
        <w:t xml:space="preserve"> what </w:t>
      </w:r>
      <w:r w:rsidR="00077DD6" w:rsidRPr="00E23CED">
        <w:rPr>
          <w:rFonts w:eastAsia="Calibri"/>
        </w:rPr>
        <w:t>reductions</w:t>
      </w:r>
      <w:r w:rsidR="009A75C2" w:rsidRPr="00E23CED">
        <w:rPr>
          <w:rFonts w:eastAsia="Calibri" w:cs="Calibri"/>
        </w:rPr>
        <w:t xml:space="preserve"> (</w:t>
      </w:r>
      <w:r w:rsidR="006E1654" w:rsidRPr="00E23CED">
        <w:rPr>
          <w:rFonts w:eastAsia="Calibri" w:cs="Calibri"/>
        </w:rPr>
        <w:t>eg</w:t>
      </w:r>
      <w:r w:rsidR="009A75C2" w:rsidRPr="00E23CED">
        <w:rPr>
          <w:rFonts w:eastAsia="Calibri" w:cs="Calibri"/>
        </w:rPr>
        <w:t>, percentage change)</w:t>
      </w:r>
      <w:r w:rsidR="00077DD6" w:rsidRPr="00E23CED">
        <w:rPr>
          <w:rFonts w:eastAsia="Calibri" w:cs="Calibri"/>
        </w:rPr>
        <w:t xml:space="preserve"> in </w:t>
      </w:r>
      <w:r w:rsidR="00B425DD" w:rsidRPr="00E23CED">
        <w:rPr>
          <w:rFonts w:eastAsia="Calibri" w:cs="Calibri"/>
        </w:rPr>
        <w:t xml:space="preserve">catchment </w:t>
      </w:r>
      <w:r w:rsidR="00077DD6" w:rsidRPr="00E23CED">
        <w:rPr>
          <w:rFonts w:eastAsia="Calibri" w:cs="Calibri"/>
        </w:rPr>
        <w:t>loads</w:t>
      </w:r>
      <w:r w:rsidR="003B7849" w:rsidRPr="00E23CED">
        <w:rPr>
          <w:rFonts w:eastAsia="Calibri" w:cs="Calibri"/>
        </w:rPr>
        <w:t>, if</w:t>
      </w:r>
      <w:r w:rsidR="00077DD6" w:rsidRPr="00E23CED">
        <w:rPr>
          <w:rFonts w:eastAsia="Calibri" w:cs="Calibri"/>
        </w:rPr>
        <w:t xml:space="preserve"> any</w:t>
      </w:r>
      <w:r w:rsidR="00B425DD" w:rsidRPr="00E23CED">
        <w:rPr>
          <w:rFonts w:eastAsia="Calibri" w:cs="Calibri"/>
        </w:rPr>
        <w:t>,</w:t>
      </w:r>
      <w:r w:rsidR="00077DD6" w:rsidRPr="00E23CED">
        <w:rPr>
          <w:rFonts w:eastAsia="Calibri" w:cs="Calibri"/>
        </w:rPr>
        <w:t xml:space="preserve"> are needed</w:t>
      </w:r>
      <w:r w:rsidR="00413CE7" w:rsidRPr="00E23CED">
        <w:rPr>
          <w:rFonts w:eastAsia="Calibri" w:cs="Calibri"/>
        </w:rPr>
        <w:t xml:space="preserve"> </w:t>
      </w:r>
      <w:r w:rsidR="002C4393" w:rsidRPr="00E23CED">
        <w:rPr>
          <w:rFonts w:eastAsia="Calibri" w:cs="Calibri"/>
        </w:rPr>
        <w:t xml:space="preserve">compared </w:t>
      </w:r>
      <w:r w:rsidR="006E1654" w:rsidRPr="00E23CED">
        <w:rPr>
          <w:rFonts w:eastAsia="Calibri" w:cs="Calibri"/>
        </w:rPr>
        <w:t>with</w:t>
      </w:r>
      <w:r w:rsidR="002C4393" w:rsidRPr="00E23CED">
        <w:rPr>
          <w:rFonts w:eastAsia="Calibri" w:cs="Calibri"/>
        </w:rPr>
        <w:t xml:space="preserve"> current loads</w:t>
      </w:r>
      <w:r w:rsidR="006B4118" w:rsidRPr="00E23CED">
        <w:rPr>
          <w:rFonts w:eastAsia="Calibri" w:cs="Calibri"/>
        </w:rPr>
        <w:t>.</w:t>
      </w:r>
    </w:p>
    <w:p w14:paraId="1370B229" w14:textId="5EE5FC47" w:rsidR="00E65B08" w:rsidRPr="00E23CED" w:rsidRDefault="009A3E28" w:rsidP="0049325A">
      <w:pPr>
        <w:pStyle w:val="Bullet"/>
        <w:rPr>
          <w:rFonts w:eastAsia="Calibri" w:cs="Calibri"/>
        </w:rPr>
      </w:pPr>
      <w:r w:rsidRPr="00E23CED">
        <w:rPr>
          <w:rFonts w:eastAsia="Calibri" w:cs="Calibri"/>
          <w:spacing w:val="-2"/>
        </w:rPr>
        <w:t>E</w:t>
      </w:r>
      <w:r w:rsidR="009F00E9" w:rsidRPr="00E23CED">
        <w:rPr>
          <w:rFonts w:eastAsia="Calibri" w:cs="Calibri"/>
          <w:spacing w:val="-2"/>
        </w:rPr>
        <w:t>stimat</w:t>
      </w:r>
      <w:r w:rsidRPr="00E23CED">
        <w:rPr>
          <w:rFonts w:eastAsia="Calibri" w:cs="Calibri"/>
          <w:spacing w:val="-2"/>
        </w:rPr>
        <w:t xml:space="preserve">e </w:t>
      </w:r>
      <w:r w:rsidR="00E32CB0" w:rsidRPr="00E23CED">
        <w:rPr>
          <w:rFonts w:eastAsia="Calibri" w:cs="Calibri"/>
          <w:spacing w:val="-2"/>
        </w:rPr>
        <w:t xml:space="preserve">the </w:t>
      </w:r>
      <w:r w:rsidR="00E32CB0" w:rsidRPr="00E23CED">
        <w:rPr>
          <w:rFonts w:eastAsia="Calibri"/>
          <w:spacing w:val="-2"/>
        </w:rPr>
        <w:t>effectiveness</w:t>
      </w:r>
      <w:r w:rsidR="009A75C2" w:rsidRPr="00E23CED">
        <w:rPr>
          <w:rFonts w:eastAsia="Calibri" w:cs="Calibri"/>
          <w:spacing w:val="-2"/>
        </w:rPr>
        <w:t xml:space="preserve"> (</w:t>
      </w:r>
      <w:r w:rsidR="006E1654" w:rsidRPr="00E23CED">
        <w:rPr>
          <w:rFonts w:eastAsia="Calibri" w:cs="Calibri"/>
          <w:spacing w:val="-2"/>
        </w:rPr>
        <w:t>eg</w:t>
      </w:r>
      <w:r w:rsidR="006B4118" w:rsidRPr="00E23CED">
        <w:rPr>
          <w:rFonts w:eastAsia="Calibri" w:cs="Calibri"/>
          <w:spacing w:val="-2"/>
        </w:rPr>
        <w:t>,</w:t>
      </w:r>
      <w:r w:rsidR="00BA7A71" w:rsidRPr="00E23CED">
        <w:rPr>
          <w:rFonts w:eastAsia="Calibri" w:cs="Calibri"/>
          <w:spacing w:val="-2"/>
        </w:rPr>
        <w:t xml:space="preserve"> percentage load reduction</w:t>
      </w:r>
      <w:r w:rsidR="00A02026" w:rsidRPr="00E23CED">
        <w:rPr>
          <w:rFonts w:eastAsia="Calibri" w:cs="Calibri"/>
          <w:spacing w:val="-2"/>
        </w:rPr>
        <w:t>s</w:t>
      </w:r>
      <w:r w:rsidR="00AB01C2" w:rsidRPr="00E23CED">
        <w:rPr>
          <w:rFonts w:eastAsia="Calibri" w:cs="Calibri"/>
          <w:spacing w:val="-2"/>
        </w:rPr>
        <w:t xml:space="preserve"> that may be</w:t>
      </w:r>
      <w:r w:rsidR="004E4F3C" w:rsidRPr="00E23CED">
        <w:rPr>
          <w:rFonts w:eastAsia="Calibri" w:cs="Calibri"/>
          <w:spacing w:val="-2"/>
        </w:rPr>
        <w:t xml:space="preserve"> achieved</w:t>
      </w:r>
      <w:r w:rsidR="00BA7A71" w:rsidRPr="00E23CED">
        <w:rPr>
          <w:rFonts w:eastAsia="Calibri" w:cs="Calibri"/>
          <w:spacing w:val="-2"/>
        </w:rPr>
        <w:t>)</w:t>
      </w:r>
      <w:r w:rsidR="00DA0BDF" w:rsidRPr="00E23CED">
        <w:rPr>
          <w:rFonts w:eastAsia="Calibri" w:cs="Calibri"/>
        </w:rPr>
        <w:t xml:space="preserve"> </w:t>
      </w:r>
      <w:r w:rsidR="00E32CB0" w:rsidRPr="00E23CED">
        <w:rPr>
          <w:rFonts w:eastAsia="Calibri" w:cs="Calibri"/>
        </w:rPr>
        <w:t xml:space="preserve">of various </w:t>
      </w:r>
      <w:r w:rsidR="00044407" w:rsidRPr="00E23CED">
        <w:rPr>
          <w:rFonts w:eastAsia="Calibri" w:cs="Calibri"/>
        </w:rPr>
        <w:t xml:space="preserve">options for </w:t>
      </w:r>
      <w:r w:rsidR="00E32CB0" w:rsidRPr="00E23CED">
        <w:rPr>
          <w:rFonts w:eastAsia="Calibri" w:cs="Calibri"/>
        </w:rPr>
        <w:t>limit</w:t>
      </w:r>
      <w:r w:rsidR="00BA7A71" w:rsidRPr="00E23CED">
        <w:rPr>
          <w:rFonts w:eastAsia="Calibri" w:cs="Calibri"/>
        </w:rPr>
        <w:t>s</w:t>
      </w:r>
      <w:r w:rsidR="00E32CB0" w:rsidRPr="00E23CED">
        <w:rPr>
          <w:rFonts w:eastAsia="Calibri" w:cs="Calibri"/>
        </w:rPr>
        <w:t xml:space="preserve"> and action</w:t>
      </w:r>
      <w:r w:rsidR="00044407" w:rsidRPr="00E23CED">
        <w:rPr>
          <w:rFonts w:eastAsia="Calibri" w:cs="Calibri"/>
        </w:rPr>
        <w:t>s</w:t>
      </w:r>
      <w:r w:rsidRPr="00E23CED">
        <w:rPr>
          <w:rFonts w:eastAsia="Calibri" w:cs="Calibri"/>
        </w:rPr>
        <w:t>,</w:t>
      </w:r>
      <w:r w:rsidR="00954C7B" w:rsidRPr="00E23CED">
        <w:rPr>
          <w:rFonts w:eastAsia="Calibri" w:cs="Calibri"/>
        </w:rPr>
        <w:t xml:space="preserve"> individually and</w:t>
      </w:r>
      <w:r w:rsidR="00D823DA" w:rsidRPr="00E23CED">
        <w:rPr>
          <w:rFonts w:eastAsia="Calibri" w:cs="Calibri"/>
        </w:rPr>
        <w:t xml:space="preserve"> then</w:t>
      </w:r>
      <w:r w:rsidR="00954C7B" w:rsidRPr="00E23CED">
        <w:rPr>
          <w:rFonts w:eastAsia="Calibri" w:cs="Calibri"/>
        </w:rPr>
        <w:t xml:space="preserve"> cumulatively</w:t>
      </w:r>
      <w:r w:rsidR="00C84960" w:rsidRPr="00E23CED">
        <w:rPr>
          <w:rFonts w:eastAsia="Calibri" w:cs="Calibri"/>
        </w:rPr>
        <w:t xml:space="preserve"> for the catchment,</w:t>
      </w:r>
      <w:r w:rsidRPr="00E23CED">
        <w:rPr>
          <w:rFonts w:eastAsia="Calibri" w:cs="Calibri"/>
        </w:rPr>
        <w:t xml:space="preserve"> t</w:t>
      </w:r>
      <w:r w:rsidR="00D659E6" w:rsidRPr="00E23CED">
        <w:rPr>
          <w:rFonts w:eastAsia="Calibri" w:cs="Calibri"/>
        </w:rPr>
        <w:t>ypically</w:t>
      </w:r>
      <w:r w:rsidRPr="00E23CED">
        <w:rPr>
          <w:rFonts w:eastAsia="Calibri" w:cs="Calibri"/>
        </w:rPr>
        <w:t xml:space="preserve"> using </w:t>
      </w:r>
      <w:r w:rsidR="00A80F95" w:rsidRPr="00E23CED">
        <w:rPr>
          <w:rFonts w:eastAsia="Calibri" w:cs="Calibri"/>
        </w:rPr>
        <w:t>a</w:t>
      </w:r>
      <w:r w:rsidR="00D659E6" w:rsidRPr="00E23CED">
        <w:rPr>
          <w:rFonts w:eastAsia="Calibri" w:cs="Calibri"/>
        </w:rPr>
        <w:t xml:space="preserve"> scenario</w:t>
      </w:r>
      <w:r w:rsidR="00A80F95" w:rsidRPr="00E23CED">
        <w:rPr>
          <w:rFonts w:eastAsia="Calibri" w:cs="Calibri"/>
        </w:rPr>
        <w:t>-</w:t>
      </w:r>
      <w:r w:rsidR="00D659E6" w:rsidRPr="00E23CED">
        <w:rPr>
          <w:rFonts w:eastAsia="Calibri" w:cs="Calibri"/>
        </w:rPr>
        <w:t>testing</w:t>
      </w:r>
      <w:r w:rsidR="00A80F95" w:rsidRPr="00E23CED">
        <w:rPr>
          <w:rFonts w:eastAsia="Calibri" w:cs="Calibri"/>
        </w:rPr>
        <w:t xml:space="preserve"> approach</w:t>
      </w:r>
      <w:r w:rsidR="006B4118" w:rsidRPr="00E23CED">
        <w:rPr>
          <w:rFonts w:eastAsia="Calibri" w:cs="Calibri"/>
        </w:rPr>
        <w:t>.</w:t>
      </w:r>
    </w:p>
    <w:p w14:paraId="2B0AABB4" w14:textId="48434D0D" w:rsidR="00A72CDF" w:rsidRPr="00E23CED" w:rsidRDefault="008C765B" w:rsidP="0049325A">
      <w:pPr>
        <w:pStyle w:val="Bullet"/>
        <w:rPr>
          <w:rFonts w:eastAsia="Calibri" w:cs="Calibri"/>
        </w:rPr>
      </w:pPr>
      <w:r w:rsidRPr="00E23CED">
        <w:rPr>
          <w:rFonts w:eastAsia="Calibri" w:cs="Calibri"/>
        </w:rPr>
        <w:t>C</w:t>
      </w:r>
      <w:r w:rsidR="00E65B08" w:rsidRPr="00E23CED">
        <w:rPr>
          <w:rFonts w:eastAsia="Calibri" w:cs="Calibri"/>
        </w:rPr>
        <w:t>onsider</w:t>
      </w:r>
      <w:r w:rsidRPr="00E23CED">
        <w:rPr>
          <w:rFonts w:eastAsia="Calibri" w:cs="Calibri"/>
        </w:rPr>
        <w:t xml:space="preserve"> </w:t>
      </w:r>
      <w:r w:rsidR="006D43F2" w:rsidRPr="00E23CED">
        <w:rPr>
          <w:rFonts w:eastAsia="Calibri" w:cs="Calibri"/>
        </w:rPr>
        <w:t>the</w:t>
      </w:r>
      <w:r w:rsidR="00196411" w:rsidRPr="00E23CED">
        <w:rPr>
          <w:rFonts w:eastAsia="Calibri" w:cs="Calibri"/>
        </w:rPr>
        <w:t xml:space="preserve"> full</w:t>
      </w:r>
      <w:r w:rsidR="006D43F2" w:rsidRPr="00E23CED">
        <w:rPr>
          <w:rFonts w:eastAsia="Calibri" w:cs="Calibri"/>
        </w:rPr>
        <w:t xml:space="preserve"> implications</w:t>
      </w:r>
      <w:r w:rsidR="00200330" w:rsidRPr="00E23CED">
        <w:rPr>
          <w:rFonts w:eastAsia="Calibri" w:cs="Calibri"/>
        </w:rPr>
        <w:t xml:space="preserve"> of the options for limits and actions</w:t>
      </w:r>
      <w:r w:rsidR="00056CE4" w:rsidRPr="00E23CED">
        <w:rPr>
          <w:rFonts w:eastAsia="Calibri" w:cs="Calibri"/>
        </w:rPr>
        <w:t>,</w:t>
      </w:r>
      <w:r w:rsidR="00382D27" w:rsidRPr="00E23CED">
        <w:rPr>
          <w:rFonts w:eastAsia="Calibri" w:cs="Calibri"/>
        </w:rPr>
        <w:t xml:space="preserve"> as part of</w:t>
      </w:r>
      <w:r w:rsidR="003C783D" w:rsidRPr="00E23CED">
        <w:rPr>
          <w:rFonts w:eastAsia="Calibri" w:cs="Calibri"/>
        </w:rPr>
        <w:t xml:space="preserve"> fully implementing the </w:t>
      </w:r>
      <w:r w:rsidR="001B7F72" w:rsidRPr="00E23CED">
        <w:rPr>
          <w:rFonts w:eastAsia="Calibri" w:cs="Calibri"/>
        </w:rPr>
        <w:t>National Objectives Framework (</w:t>
      </w:r>
      <w:r w:rsidR="003C783D" w:rsidRPr="00E23CED">
        <w:rPr>
          <w:rFonts w:eastAsia="Calibri" w:cs="Calibri"/>
        </w:rPr>
        <w:t>NOF</w:t>
      </w:r>
      <w:r w:rsidR="001B7F72" w:rsidRPr="00E23CED">
        <w:rPr>
          <w:rFonts w:eastAsia="Calibri" w:cs="Calibri"/>
        </w:rPr>
        <w:t>)</w:t>
      </w:r>
      <w:r w:rsidR="003C783D" w:rsidRPr="00E23CED">
        <w:rPr>
          <w:rFonts w:eastAsia="Calibri" w:cs="Calibri"/>
        </w:rPr>
        <w:t xml:space="preserve"> process to</w:t>
      </w:r>
      <w:r w:rsidR="00382D27" w:rsidRPr="00E23CED">
        <w:rPr>
          <w:rFonts w:eastAsia="Calibri" w:cs="Calibri"/>
        </w:rPr>
        <w:t xml:space="preserve"> </w:t>
      </w:r>
      <w:r w:rsidR="00E70763" w:rsidRPr="00E23CED">
        <w:rPr>
          <w:rFonts w:eastAsia="Calibri" w:cs="Calibri"/>
        </w:rPr>
        <w:t>finalis</w:t>
      </w:r>
      <w:r w:rsidR="00354318" w:rsidRPr="00E23CED">
        <w:rPr>
          <w:rFonts w:eastAsia="Calibri" w:cs="Calibri"/>
        </w:rPr>
        <w:t>e</w:t>
      </w:r>
      <w:r w:rsidR="00E70763" w:rsidRPr="00E23CED">
        <w:rPr>
          <w:rFonts w:eastAsia="Calibri" w:cs="Calibri"/>
        </w:rPr>
        <w:t xml:space="preserve"> the setting </w:t>
      </w:r>
      <w:r w:rsidR="003E65DD" w:rsidRPr="00E23CED">
        <w:rPr>
          <w:rFonts w:eastAsia="Calibri" w:cs="Calibri"/>
        </w:rPr>
        <w:t>of</w:t>
      </w:r>
      <w:r w:rsidR="00F0783F" w:rsidRPr="00E23CED">
        <w:rPr>
          <w:rFonts w:eastAsia="Calibri" w:cs="Calibri"/>
        </w:rPr>
        <w:t> </w:t>
      </w:r>
      <w:r w:rsidR="003E65DD" w:rsidRPr="00E23CED">
        <w:rPr>
          <w:rFonts w:eastAsia="Calibri" w:cs="Calibri"/>
        </w:rPr>
        <w:t>TAS, nutrient outcomes</w:t>
      </w:r>
      <w:r w:rsidR="0043200F" w:rsidRPr="00E23CED">
        <w:rPr>
          <w:rFonts w:eastAsia="Calibri" w:cs="Calibri"/>
        </w:rPr>
        <w:t>, limits and any actions</w:t>
      </w:r>
      <w:r w:rsidR="003C00D0" w:rsidRPr="00E23CED">
        <w:rPr>
          <w:rFonts w:eastAsia="Calibri" w:cs="Calibri"/>
        </w:rPr>
        <w:t>,</w:t>
      </w:r>
      <w:r w:rsidR="0043200F" w:rsidRPr="00E23CED">
        <w:rPr>
          <w:rFonts w:eastAsia="Calibri" w:cs="Calibri"/>
        </w:rPr>
        <w:t xml:space="preserve"> and </w:t>
      </w:r>
      <w:r w:rsidR="0003633F" w:rsidRPr="00E23CED">
        <w:rPr>
          <w:rFonts w:eastAsia="Calibri" w:cs="Calibri"/>
        </w:rPr>
        <w:t>associated</w:t>
      </w:r>
      <w:r w:rsidR="0043200F" w:rsidRPr="00E23CED">
        <w:rPr>
          <w:rFonts w:eastAsia="Calibri" w:cs="Calibri"/>
        </w:rPr>
        <w:t xml:space="preserve"> timeframes</w:t>
      </w:r>
      <w:r w:rsidR="00354318" w:rsidRPr="00E23CED">
        <w:rPr>
          <w:rFonts w:eastAsia="Calibri" w:cs="Calibri"/>
        </w:rPr>
        <w:t xml:space="preserve"> for achieving</w:t>
      </w:r>
      <w:r w:rsidR="00F0783F" w:rsidRPr="00E23CED">
        <w:rPr>
          <w:rFonts w:eastAsia="Calibri" w:cs="Calibri"/>
        </w:rPr>
        <w:t> </w:t>
      </w:r>
      <w:r w:rsidR="00354318" w:rsidRPr="00E23CED">
        <w:rPr>
          <w:rFonts w:eastAsia="Calibri" w:cs="Calibri"/>
        </w:rPr>
        <w:t>them</w:t>
      </w:r>
      <w:r w:rsidR="006F231D" w:rsidRPr="00E23CED">
        <w:rPr>
          <w:rFonts w:eastAsia="Calibri" w:cs="Calibri"/>
        </w:rPr>
        <w:t>.</w:t>
      </w:r>
      <w:r w:rsidR="00E32CB0" w:rsidRPr="00E23CED">
        <w:rPr>
          <w:rFonts w:eastAsia="Calibri" w:cs="Calibri"/>
        </w:rPr>
        <w:t xml:space="preserve"> </w:t>
      </w:r>
    </w:p>
    <w:p w14:paraId="1D5AABEB" w14:textId="41A67457" w:rsidR="00B006B2" w:rsidRPr="00E23CED" w:rsidRDefault="009F163D" w:rsidP="0049325A">
      <w:pPr>
        <w:pStyle w:val="Bullet"/>
        <w:rPr>
          <w:rFonts w:eastAsia="Calibri" w:cs="Calibri"/>
        </w:rPr>
      </w:pPr>
      <w:bookmarkStart w:id="50" w:name="_3._Applying_clause"/>
      <w:bookmarkEnd w:id="50"/>
      <w:r w:rsidRPr="00E23CED">
        <w:rPr>
          <w:rFonts w:eastAsia="Calibri" w:cs="Calibri"/>
        </w:rPr>
        <w:t xml:space="preserve">Consider </w:t>
      </w:r>
      <w:r w:rsidR="00310C27" w:rsidRPr="00E23CED">
        <w:rPr>
          <w:rFonts w:eastAsia="Calibri" w:cs="Calibri"/>
        </w:rPr>
        <w:t>non-nutrient</w:t>
      </w:r>
      <w:r w:rsidR="00346686" w:rsidRPr="00E23CED">
        <w:rPr>
          <w:rFonts w:eastAsia="Calibri" w:cs="Calibri"/>
        </w:rPr>
        <w:t>-</w:t>
      </w:r>
      <w:r w:rsidR="00310C27" w:rsidRPr="00E23CED">
        <w:rPr>
          <w:rFonts w:eastAsia="Calibri" w:cs="Calibri"/>
        </w:rPr>
        <w:t>related</w:t>
      </w:r>
      <w:r w:rsidR="00E205ED" w:rsidRPr="00E23CED">
        <w:rPr>
          <w:rFonts w:eastAsia="Calibri" w:cs="Calibri"/>
        </w:rPr>
        <w:t xml:space="preserve"> attributes or aspects </w:t>
      </w:r>
      <w:r w:rsidR="00310C27" w:rsidRPr="00E23CED">
        <w:rPr>
          <w:rFonts w:eastAsia="Calibri" w:cs="Calibri"/>
        </w:rPr>
        <w:t>(</w:t>
      </w:r>
      <w:r w:rsidR="00C36A93" w:rsidRPr="00E23CED">
        <w:rPr>
          <w:rFonts w:eastAsia="Calibri" w:cs="Calibri"/>
        </w:rPr>
        <w:t>eg</w:t>
      </w:r>
      <w:r w:rsidR="00F671C2" w:rsidRPr="00E23CED">
        <w:rPr>
          <w:rFonts w:eastAsia="Calibri" w:cs="Calibri"/>
        </w:rPr>
        <w:t>,</w:t>
      </w:r>
      <w:r w:rsidR="00E205ED" w:rsidRPr="00E23CED">
        <w:rPr>
          <w:rFonts w:eastAsia="Calibri" w:cs="Calibri"/>
        </w:rPr>
        <w:t xml:space="preserve"> sediment or flow regimes) that will be required to meet</w:t>
      </w:r>
      <w:r w:rsidR="00420B4E" w:rsidRPr="00E23CED">
        <w:rPr>
          <w:rFonts w:eastAsia="Calibri" w:cs="Calibri"/>
        </w:rPr>
        <w:t xml:space="preserve"> TASs for nutrient</w:t>
      </w:r>
      <w:r w:rsidR="00F671C2" w:rsidRPr="00E23CED">
        <w:rPr>
          <w:rFonts w:eastAsia="Calibri" w:cs="Calibri"/>
        </w:rPr>
        <w:t>-</w:t>
      </w:r>
      <w:r w:rsidR="00420B4E" w:rsidRPr="00E23CED">
        <w:rPr>
          <w:rFonts w:eastAsia="Calibri" w:cs="Calibri"/>
        </w:rPr>
        <w:t>affected attributes</w:t>
      </w:r>
      <w:r w:rsidR="006B4118" w:rsidRPr="00E23CED">
        <w:rPr>
          <w:rFonts w:eastAsia="Calibri" w:cs="Calibri"/>
        </w:rPr>
        <w:t>.</w:t>
      </w:r>
    </w:p>
    <w:p w14:paraId="0A92136E" w14:textId="47E379E0" w:rsidR="00572CA5" w:rsidRPr="00E23CED" w:rsidRDefault="003E5746" w:rsidP="0049325A">
      <w:pPr>
        <w:pStyle w:val="Heading2"/>
        <w:spacing w:after="240"/>
      </w:pPr>
      <w:bookmarkStart w:id="51" w:name="_3.3_Deriving_nutrient"/>
      <w:bookmarkStart w:id="52" w:name="_3.3__Deriving"/>
      <w:bookmarkStart w:id="53" w:name="_Ref140416372"/>
      <w:bookmarkStart w:id="54" w:name="_Toc143077512"/>
      <w:bookmarkEnd w:id="51"/>
      <w:bookmarkEnd w:id="52"/>
      <w:r w:rsidRPr="00E23CED">
        <w:lastRenderedPageBreak/>
        <w:t>3</w:t>
      </w:r>
      <w:r w:rsidR="00572CA5" w:rsidRPr="00E23CED">
        <w:t>.</w:t>
      </w:r>
      <w:r w:rsidR="0028097E" w:rsidRPr="00E23CED">
        <w:t>3</w:t>
      </w:r>
      <w:r w:rsidR="00572CA5" w:rsidRPr="00E23CED">
        <w:t xml:space="preserve"> </w:t>
      </w:r>
      <w:r w:rsidR="0049325A" w:rsidRPr="00E23CED">
        <w:tab/>
      </w:r>
      <w:r w:rsidR="00572CA5" w:rsidRPr="00E23CED">
        <w:t xml:space="preserve">Deriving nutrient criteria for </w:t>
      </w:r>
      <w:proofErr w:type="gramStart"/>
      <w:r w:rsidR="00F37FFA" w:rsidRPr="00E23CED">
        <w:t>rivers</w:t>
      </w:r>
      <w:bookmarkEnd w:id="53"/>
      <w:bookmarkEnd w:id="54"/>
      <w:proofErr w:type="gramEnd"/>
      <w:r w:rsidR="003A5B52" w:rsidRPr="00E23CED">
        <w:t xml:space="preserve"> </w:t>
      </w:r>
    </w:p>
    <w:tbl>
      <w:tblP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72CA5" w:rsidRPr="00E23CED" w14:paraId="1BE77E09" w14:textId="77777777" w:rsidTr="00C8342E">
        <w:tc>
          <w:tcPr>
            <w:tcW w:w="8505" w:type="dxa"/>
            <w:shd w:val="clear" w:color="auto" w:fill="D5EBE8" w:themeFill="accent3"/>
          </w:tcPr>
          <w:p w14:paraId="210029B2" w14:textId="753E8B84" w:rsidR="00572CA5" w:rsidRPr="00E23CED" w:rsidRDefault="00C44DAB" w:rsidP="007951B9">
            <w:pPr>
              <w:pStyle w:val="Greenheading-casestudytables"/>
            </w:pPr>
            <w:r w:rsidRPr="00E23CED">
              <w:t xml:space="preserve">Main </w:t>
            </w:r>
            <w:r w:rsidR="00572CA5" w:rsidRPr="00E23CED">
              <w:t>points</w:t>
            </w:r>
          </w:p>
          <w:p w14:paraId="1E4C5720" w14:textId="06F4C20D" w:rsidR="00572CA5" w:rsidRPr="00E23CED" w:rsidRDefault="00096648" w:rsidP="002322AC">
            <w:pPr>
              <w:pStyle w:val="Boxbullet"/>
            </w:pPr>
            <w:r w:rsidRPr="00E23CED">
              <w:t>Clause</w:t>
            </w:r>
            <w:r w:rsidR="00572CA5" w:rsidRPr="00E23CED">
              <w:t xml:space="preserve"> 3.13(1) applies to all</w:t>
            </w:r>
            <w:r w:rsidR="00652319" w:rsidRPr="00E23CED">
              <w:t xml:space="preserve"> </w:t>
            </w:r>
            <w:r w:rsidR="00572CA5" w:rsidRPr="00E23CED">
              <w:t xml:space="preserve">attributes affected by nutrients </w:t>
            </w:r>
            <w:r w:rsidR="00572CA5" w:rsidRPr="00E23CED" w:rsidDel="00652319">
              <w:t>across all</w:t>
            </w:r>
            <w:r w:rsidR="00572CA5" w:rsidRPr="00E23CED">
              <w:t xml:space="preserve"> </w:t>
            </w:r>
            <w:r w:rsidR="00D21D37" w:rsidRPr="00E23CED">
              <w:t>water bodies</w:t>
            </w:r>
            <w:r w:rsidR="009A4C14" w:rsidRPr="00E23CED">
              <w:t>.</w:t>
            </w:r>
            <w:r w:rsidR="0073739E" w:rsidRPr="00E23CED">
              <w:t xml:space="preserve"> </w:t>
            </w:r>
            <w:r w:rsidR="009A4C14" w:rsidRPr="00E23CED">
              <w:t>N</w:t>
            </w:r>
            <w:r w:rsidR="002F50BA" w:rsidRPr="00E23CED">
              <w:t xml:space="preserve">utrient criteria must be set </w:t>
            </w:r>
            <w:r w:rsidR="009A4C14" w:rsidRPr="00E23CED">
              <w:t xml:space="preserve">to </w:t>
            </w:r>
            <w:r w:rsidR="00E63E09" w:rsidRPr="00E23CED">
              <w:t xml:space="preserve">both achieve </w:t>
            </w:r>
            <w:r w:rsidR="00655A32" w:rsidRPr="00E23CED">
              <w:t>target attribute states (</w:t>
            </w:r>
            <w:r w:rsidR="00E63E09" w:rsidRPr="00E23CED">
              <w:t>TASs</w:t>
            </w:r>
            <w:r w:rsidR="00655A32" w:rsidRPr="00E23CED">
              <w:t>)</w:t>
            </w:r>
            <w:r w:rsidR="009A4C14" w:rsidRPr="00E23CED">
              <w:t xml:space="preserve"> in </w:t>
            </w:r>
            <w:r w:rsidR="00E63E09" w:rsidRPr="00E23CED">
              <w:t xml:space="preserve">all </w:t>
            </w:r>
            <w:r w:rsidR="002F50BA" w:rsidRPr="00E23CED">
              <w:t>river</w:t>
            </w:r>
            <w:r w:rsidR="009A4C14" w:rsidRPr="00E23CED">
              <w:t xml:space="preserve"> </w:t>
            </w:r>
            <w:r w:rsidR="009A4C14" w:rsidRPr="00E23CED">
              <w:rPr>
                <w:color w:val="1B556B" w:themeColor="text2"/>
              </w:rPr>
              <w:t>types</w:t>
            </w:r>
            <w:r w:rsidR="00F671C2" w:rsidRPr="00E23CED">
              <w:rPr>
                <w:color w:val="1B556B" w:themeColor="text2"/>
              </w:rPr>
              <w:t>,</w:t>
            </w:r>
            <w:r w:rsidR="007D0228" w:rsidRPr="00E23CED">
              <w:rPr>
                <w:rStyle w:val="FootnoteReference"/>
                <w:color w:val="1B556B" w:themeColor="text2"/>
                <w:sz w:val="20"/>
              </w:rPr>
              <w:footnoteReference w:id="4"/>
            </w:r>
            <w:r w:rsidR="009A4C14" w:rsidRPr="00E23CED">
              <w:rPr>
                <w:color w:val="1B556B" w:themeColor="text2"/>
              </w:rPr>
              <w:t xml:space="preserve"> </w:t>
            </w:r>
            <w:r w:rsidR="00E63E09" w:rsidRPr="00E23CED">
              <w:rPr>
                <w:color w:val="1B556B" w:themeColor="text2"/>
              </w:rPr>
              <w:t>as well as TA</w:t>
            </w:r>
            <w:r w:rsidR="00E63E09" w:rsidRPr="00E23CED">
              <w:t xml:space="preserve">Ss </w:t>
            </w:r>
            <w:r w:rsidR="009A4C14" w:rsidRPr="00E23CED">
              <w:t>in a</w:t>
            </w:r>
            <w:r w:rsidR="00E63E09" w:rsidRPr="00E23CED">
              <w:t>ll</w:t>
            </w:r>
            <w:r w:rsidR="009A4C14" w:rsidRPr="00E23CED">
              <w:t xml:space="preserve"> downstream receiving environments</w:t>
            </w:r>
            <w:r w:rsidR="00572CA5" w:rsidRPr="00E23CED">
              <w:t xml:space="preserve">. </w:t>
            </w:r>
          </w:p>
          <w:p w14:paraId="71B728B6" w14:textId="1B1B5FF6" w:rsidR="00572CA5" w:rsidRPr="00E23CED" w:rsidRDefault="00096648" w:rsidP="002322AC">
            <w:pPr>
              <w:pStyle w:val="Boxbullet"/>
            </w:pPr>
            <w:r w:rsidRPr="00E23CED">
              <w:t>Clause</w:t>
            </w:r>
            <w:r w:rsidR="00572CA5" w:rsidRPr="00E23CED">
              <w:t xml:space="preserve"> 3.13(5) contains examples of nutrient-affected attributes</w:t>
            </w:r>
            <w:r w:rsidR="00E63E09" w:rsidRPr="00E23CED">
              <w:t xml:space="preserve"> in rivers</w:t>
            </w:r>
            <w:r w:rsidR="00572CA5" w:rsidRPr="00E23CED">
              <w:t>, including periphyton, dissolved oxygen, fish, macroinvertebrates</w:t>
            </w:r>
            <w:r w:rsidR="0051051C" w:rsidRPr="00E23CED">
              <w:t>,</w:t>
            </w:r>
            <w:r w:rsidR="00572CA5" w:rsidRPr="00E23CED">
              <w:t xml:space="preserve"> and ecosystem metabolism.</w:t>
            </w:r>
          </w:p>
          <w:p w14:paraId="1DEC6093" w14:textId="73071B42" w:rsidR="00E8519A" w:rsidRPr="00E23CED" w:rsidRDefault="00E8519A" w:rsidP="002322AC">
            <w:pPr>
              <w:pStyle w:val="Boxbullet"/>
            </w:pPr>
            <w:r w:rsidRPr="00E23CED">
              <w:t xml:space="preserve">If </w:t>
            </w:r>
            <w:r w:rsidR="007C752B" w:rsidRPr="00E23CED">
              <w:t>TASs for nutrient or nutrient-affected attributes are being met, it may be appropriate to set nutrient criteria at the baseline state</w:t>
            </w:r>
            <w:r w:rsidR="00973F2B" w:rsidRPr="00E23CED">
              <w:t>. Where TASs are not being met, nutrient criteria that are expected to achieve the TAS will need to be established.</w:t>
            </w:r>
          </w:p>
          <w:p w14:paraId="017DBD2C" w14:textId="7B7B4461" w:rsidR="00572CA5" w:rsidRPr="00E23CED" w:rsidRDefault="00E963D3" w:rsidP="002322AC">
            <w:pPr>
              <w:pStyle w:val="Boxbullet"/>
            </w:pPr>
            <w:r w:rsidRPr="00E23CED">
              <w:t xml:space="preserve">The technical guidance provided in </w:t>
            </w:r>
            <w:hyperlink r:id="rId57" w:history="1">
              <w:r w:rsidR="00B9683C" w:rsidRPr="00E23CED">
                <w:rPr>
                  <w:rStyle w:val="Hyperlink"/>
                  <w:rFonts w:cstheme="minorHAnsi"/>
                  <w:i/>
                </w:rPr>
                <w:t>Setting instream nutrient concentration thresholds for nutrient-affected attributes in rivers: Guidance on implementing clause 3.13 of the NPS-FM</w:t>
              </w:r>
            </w:hyperlink>
            <w:r w:rsidRPr="00E23CED">
              <w:t xml:space="preserve"> </w:t>
            </w:r>
            <w:r w:rsidR="001B7F72" w:rsidRPr="00E23CED">
              <w:t xml:space="preserve">(Ministry for the Environment, 2022b) </w:t>
            </w:r>
            <w:r w:rsidRPr="00E23CED">
              <w:t xml:space="preserve">provides </w:t>
            </w:r>
            <w:r w:rsidR="0063233F" w:rsidRPr="00E23CED">
              <w:t>several</w:t>
            </w:r>
            <w:r w:rsidR="00AD70F1" w:rsidRPr="00E23CED">
              <w:t xml:space="preserve"> strategies for identifying appropriate nutrient criteria</w:t>
            </w:r>
            <w:r w:rsidR="001B7F72" w:rsidRPr="00E23CED">
              <w:t>;</w:t>
            </w:r>
            <w:r w:rsidR="00AD70F1" w:rsidRPr="00E23CED">
              <w:t xml:space="preserve"> </w:t>
            </w:r>
            <w:r w:rsidR="001B7F72" w:rsidRPr="00E23CED">
              <w:t>s</w:t>
            </w:r>
            <w:r w:rsidR="00AD70F1" w:rsidRPr="00E23CED">
              <w:t>trategy 1 present</w:t>
            </w:r>
            <w:r w:rsidR="001B7F72" w:rsidRPr="00E23CED">
              <w:t>s</w:t>
            </w:r>
            <w:r w:rsidR="00AD70F1" w:rsidRPr="00E23CED">
              <w:t xml:space="preserve"> a short-term solution</w:t>
            </w:r>
            <w:r w:rsidR="001B7F72" w:rsidRPr="00E23CED">
              <w:t>,</w:t>
            </w:r>
            <w:r w:rsidR="00AD70F1" w:rsidRPr="00E23CED">
              <w:t xml:space="preserve"> </w:t>
            </w:r>
            <w:r w:rsidR="00664927" w:rsidRPr="00E23CED">
              <w:t xml:space="preserve">where instream nutrient criteria are obtained from </w:t>
            </w:r>
            <w:r w:rsidR="0092414E" w:rsidRPr="00E23CED">
              <w:t xml:space="preserve">the </w:t>
            </w:r>
            <w:r w:rsidR="00664927" w:rsidRPr="00E23CED">
              <w:t xml:space="preserve">existing </w:t>
            </w:r>
            <w:r w:rsidR="0092414E" w:rsidRPr="00E23CED">
              <w:t>literature</w:t>
            </w:r>
            <w:r w:rsidR="006C311A" w:rsidRPr="00E23CED">
              <w:t>.</w:t>
            </w:r>
          </w:p>
          <w:p w14:paraId="7E9FCD92" w14:textId="2E686F85" w:rsidR="001B7F72" w:rsidRPr="00E23CED" w:rsidRDefault="00664927" w:rsidP="002322AC">
            <w:pPr>
              <w:pStyle w:val="Boxbullet"/>
            </w:pPr>
            <w:r w:rsidRPr="00E23CED">
              <w:t xml:space="preserve">Three </w:t>
            </w:r>
            <w:r w:rsidR="0092414E" w:rsidRPr="00E23CED">
              <w:t xml:space="preserve">sources of nutrient criteria </w:t>
            </w:r>
            <w:r w:rsidR="00B04D91" w:rsidRPr="00E23CED">
              <w:t xml:space="preserve">that can be </w:t>
            </w:r>
            <w:r w:rsidR="005F358F" w:rsidRPr="00E23CED">
              <w:t xml:space="preserve">considered </w:t>
            </w:r>
            <w:r w:rsidR="00C035BE" w:rsidRPr="00E23CED">
              <w:t>alongside</w:t>
            </w:r>
            <w:r w:rsidR="00A76F24" w:rsidRPr="00E23CED">
              <w:t xml:space="preserve"> </w:t>
            </w:r>
            <w:r w:rsidR="001B7F72" w:rsidRPr="00E23CED">
              <w:t>s</w:t>
            </w:r>
            <w:r w:rsidR="00A76F24" w:rsidRPr="00E23CED">
              <w:t xml:space="preserve">trategy 1 </w:t>
            </w:r>
            <w:r w:rsidR="0092414E" w:rsidRPr="00E23CED">
              <w:t>are</w:t>
            </w:r>
            <w:r w:rsidR="001B7F72" w:rsidRPr="00E23CED">
              <w:t>:</w:t>
            </w:r>
          </w:p>
          <w:p w14:paraId="5808C94C" w14:textId="7906EA1D" w:rsidR="001B7F72" w:rsidRPr="00E23CED" w:rsidRDefault="00166B6A" w:rsidP="002322AC">
            <w:pPr>
              <w:pStyle w:val="Boxsub-bullet"/>
            </w:pPr>
            <w:r w:rsidRPr="00E23CED">
              <w:t xml:space="preserve">from </w:t>
            </w:r>
            <w:r w:rsidR="00F617A4" w:rsidRPr="00E23CED">
              <w:t>the</w:t>
            </w:r>
            <w:r w:rsidR="00BC7FC8" w:rsidRPr="00E23CED">
              <w:t xml:space="preserve"> literature </w:t>
            </w:r>
            <w:r w:rsidRPr="00E23CED">
              <w:t xml:space="preserve">review provided </w:t>
            </w:r>
            <w:r w:rsidR="00BC7FC8" w:rsidRPr="00E23CED">
              <w:t xml:space="preserve">in </w:t>
            </w:r>
            <w:r w:rsidR="00B9683C" w:rsidRPr="00E23CED">
              <w:rPr>
                <w:rFonts w:cstheme="minorHAnsi"/>
                <w:i/>
              </w:rPr>
              <w:t>Setting instream nutrient concentration thresholds for nutrient-affected attributes in rivers: Guidance on implementing clause 3.13 of the NPS-FM</w:t>
            </w:r>
            <w:r w:rsidR="001B7F72" w:rsidRPr="00E23CED">
              <w:t xml:space="preserve"> (Ministry for the Environment, 2022b)</w:t>
            </w:r>
          </w:p>
          <w:p w14:paraId="68C912D5" w14:textId="42FB4023" w:rsidR="001B7F72" w:rsidRPr="00E23CED" w:rsidRDefault="00F617A4" w:rsidP="002322AC">
            <w:pPr>
              <w:pStyle w:val="Boxsub-bullet"/>
              <w:rPr>
                <w:color w:val="1B556B" w:themeColor="text2"/>
              </w:rPr>
            </w:pPr>
            <w:r w:rsidRPr="00E23CED">
              <w:rPr>
                <w:color w:val="1B556B" w:themeColor="text2"/>
              </w:rPr>
              <w:t xml:space="preserve">from </w:t>
            </w:r>
            <w:r w:rsidR="00A76F24" w:rsidRPr="00E23CED">
              <w:rPr>
                <w:color w:val="1B556B" w:themeColor="text2"/>
              </w:rPr>
              <w:t xml:space="preserve">the NPS-FM attribute tables </w:t>
            </w:r>
            <w:r w:rsidR="00E81895" w:rsidRPr="00E23CED">
              <w:rPr>
                <w:color w:val="1B556B" w:themeColor="text2"/>
              </w:rPr>
              <w:t>or</w:t>
            </w:r>
            <w:r w:rsidR="00752B9D" w:rsidRPr="00E23CED">
              <w:rPr>
                <w:color w:val="1B556B" w:themeColor="text2"/>
              </w:rPr>
              <w:t xml:space="preserve"> Freshwater</w:t>
            </w:r>
            <w:r w:rsidR="00E81895" w:rsidRPr="00E23CED">
              <w:rPr>
                <w:color w:val="1B556B" w:themeColor="text2"/>
              </w:rPr>
              <w:t xml:space="preserve"> </w:t>
            </w:r>
            <w:r w:rsidR="00F12957" w:rsidRPr="00E23CED">
              <w:t xml:space="preserve">Science </w:t>
            </w:r>
            <w:r w:rsidR="00B801E3" w:rsidRPr="00E23CED">
              <w:t xml:space="preserve">and </w:t>
            </w:r>
            <w:r w:rsidR="00F12957" w:rsidRPr="00E23CED">
              <w:t xml:space="preserve">Technical Advisory </w:t>
            </w:r>
            <w:r w:rsidR="00F12957" w:rsidRPr="00E23CED">
              <w:rPr>
                <w:color w:val="1B556B" w:themeColor="text2"/>
              </w:rPr>
              <w:t>Group</w:t>
            </w:r>
            <w:r w:rsidR="00A76F24" w:rsidRPr="00E23CED">
              <w:rPr>
                <w:color w:val="1B556B" w:themeColor="text2"/>
              </w:rPr>
              <w:t xml:space="preserve"> report</w:t>
            </w:r>
            <w:r w:rsidR="00E81895" w:rsidRPr="00E23CED">
              <w:rPr>
                <w:color w:val="1B556B" w:themeColor="text2"/>
              </w:rPr>
              <w:t>s</w:t>
            </w:r>
            <w:r w:rsidR="004E78CF" w:rsidRPr="00E23CED">
              <w:rPr>
                <w:rStyle w:val="FootnoteReference"/>
                <w:color w:val="1B556B" w:themeColor="text2"/>
                <w:sz w:val="20"/>
              </w:rPr>
              <w:footnoteReference w:id="5"/>
            </w:r>
          </w:p>
          <w:p w14:paraId="5D5B8AC5" w14:textId="3BD86524" w:rsidR="00664927" w:rsidRPr="00E23CED" w:rsidRDefault="00E81895" w:rsidP="002322AC">
            <w:pPr>
              <w:pStyle w:val="Boxsub-bullet"/>
              <w:spacing w:after="180"/>
            </w:pPr>
            <w:r w:rsidRPr="00E23CED">
              <w:t>the</w:t>
            </w:r>
            <w:r w:rsidR="001B7F72" w:rsidRPr="00E23CED">
              <w:t xml:space="preserve"> tables contained in</w:t>
            </w:r>
            <w:r w:rsidRPr="00E23CED">
              <w:t xml:space="preserve"> </w:t>
            </w:r>
            <w:hyperlink r:id="rId58" w:history="1">
              <w:r w:rsidR="00384CE4" w:rsidRPr="00E23CED">
                <w:rPr>
                  <w:rStyle w:val="Hyperlink"/>
                  <w:rFonts w:eastAsiaTheme="majorEastAsia"/>
                  <w:i/>
                  <w:iCs/>
                </w:rPr>
                <w:t>Guidance on look</w:t>
              </w:r>
              <w:r w:rsidR="00D30466" w:rsidRPr="00E23CED">
                <w:rPr>
                  <w:rStyle w:val="Hyperlink"/>
                  <w:rFonts w:eastAsiaTheme="majorEastAsia"/>
                  <w:i/>
                  <w:iCs/>
                </w:rPr>
                <w:t>-</w:t>
              </w:r>
              <w:r w:rsidR="00384CE4" w:rsidRPr="00E23CED">
                <w:rPr>
                  <w:rStyle w:val="Hyperlink"/>
                  <w:rFonts w:eastAsiaTheme="majorEastAsia"/>
                  <w:i/>
                  <w:iCs/>
                </w:rPr>
                <w:t>up tables for setting nutrient targets for periphyton</w:t>
              </w:r>
            </w:hyperlink>
            <w:r w:rsidR="001B7F72" w:rsidRPr="00E23CED">
              <w:t xml:space="preserve"> (Ministry for the Environment, 2022a).</w:t>
            </w:r>
          </w:p>
        </w:tc>
      </w:tr>
    </w:tbl>
    <w:p w14:paraId="3319E982" w14:textId="2EAA7DCE" w:rsidR="00572CA5" w:rsidRPr="00E23CED" w:rsidRDefault="00572CA5" w:rsidP="002322AC">
      <w:pPr>
        <w:pStyle w:val="BodyText"/>
        <w:spacing w:before="240"/>
      </w:pPr>
      <w:r w:rsidRPr="00E23CED">
        <w:t>As part of the process of implementing the NOF within an FMU</w:t>
      </w:r>
      <w:r w:rsidR="004D4A10" w:rsidRPr="00E23CED">
        <w:t>,</w:t>
      </w:r>
      <w:r w:rsidR="0008557C" w:rsidRPr="00E23CED">
        <w:rPr>
          <w:rStyle w:val="FootnoteReference"/>
        </w:rPr>
        <w:footnoteReference w:id="6"/>
      </w:r>
      <w:r w:rsidR="0008557C" w:rsidRPr="00E23CED">
        <w:rPr>
          <w:rStyle w:val="Hyperlink"/>
          <w:color w:val="auto"/>
        </w:rPr>
        <w:t xml:space="preserve"> </w:t>
      </w:r>
      <w:r w:rsidR="001B7F72" w:rsidRPr="00E23CED">
        <w:rPr>
          <w:rStyle w:val="Hyperlink"/>
          <w:color w:val="auto"/>
        </w:rPr>
        <w:t>c</w:t>
      </w:r>
      <w:r w:rsidR="00096648" w:rsidRPr="00E23CED">
        <w:rPr>
          <w:rStyle w:val="Hyperlink"/>
          <w:color w:val="auto"/>
        </w:rPr>
        <w:t>lause</w:t>
      </w:r>
      <w:r w:rsidRPr="00E23CED">
        <w:rPr>
          <w:rStyle w:val="Hyperlink"/>
          <w:color w:val="auto"/>
        </w:rPr>
        <w:t xml:space="preserve"> 3.13(1) directs that </w:t>
      </w:r>
      <w:r w:rsidRPr="00E23CED">
        <w:t xml:space="preserve">nutrient outcomes to achieve the TAS must be derived for all relevant </w:t>
      </w:r>
      <w:r w:rsidR="00F37A09" w:rsidRPr="00E23CED">
        <w:t xml:space="preserve">affected </w:t>
      </w:r>
      <w:r w:rsidRPr="00E23CED">
        <w:t>attributes. The</w:t>
      </w:r>
      <w:r w:rsidR="001E34FE">
        <w:t> </w:t>
      </w:r>
      <w:r w:rsidRPr="00E23CED">
        <w:t xml:space="preserve">attributes may be from </w:t>
      </w:r>
      <w:r w:rsidR="006B0E2C" w:rsidRPr="00E23CED">
        <w:t>a</w:t>
      </w:r>
      <w:r w:rsidRPr="00E23CED">
        <w:t xml:space="preserve">ppendix 2A (requiring limits on resource use) or </w:t>
      </w:r>
      <w:r w:rsidR="006B0E2C" w:rsidRPr="00E23CED">
        <w:t>a</w:t>
      </w:r>
      <w:r w:rsidRPr="00E23CED">
        <w:t>ppendix 2B (requiring</w:t>
      </w:r>
      <w:r w:rsidR="001E34FE">
        <w:t xml:space="preserve"> </w:t>
      </w:r>
      <w:r w:rsidRPr="00E23CED">
        <w:t>action plans</w:t>
      </w:r>
      <w:proofErr w:type="gramStart"/>
      <w:r w:rsidRPr="00E23CED">
        <w:t>)</w:t>
      </w:r>
      <w:r w:rsidR="006B0E2C" w:rsidRPr="00E23CED">
        <w:t>,</w:t>
      </w:r>
      <w:r w:rsidRPr="00E23CED">
        <w:t xml:space="preserve"> or</w:t>
      </w:r>
      <w:proofErr w:type="gramEnd"/>
      <w:r w:rsidRPr="00E23CED">
        <w:t xml:space="preserve"> can be </w:t>
      </w:r>
      <w:r w:rsidR="006B5277" w:rsidRPr="00E23CED">
        <w:t>other</w:t>
      </w:r>
      <w:r w:rsidR="00947B19" w:rsidRPr="00E23CED">
        <w:t xml:space="preserve"> non-compulsory</w:t>
      </w:r>
      <w:r w:rsidR="006B5277" w:rsidRPr="00E23CED">
        <w:t xml:space="preserve"> </w:t>
      </w:r>
      <w:r w:rsidRPr="00E23CED">
        <w:t xml:space="preserve">attributes included in regional plans. Derivation of </w:t>
      </w:r>
      <w:r w:rsidR="006B0E2C" w:rsidRPr="00E23CED">
        <w:t>instream concentration thresholds (</w:t>
      </w:r>
      <w:r w:rsidRPr="00E23CED">
        <w:t>ICTs</w:t>
      </w:r>
      <w:r w:rsidR="006B0E2C" w:rsidRPr="00E23CED">
        <w:t>)</w:t>
      </w:r>
      <w:r w:rsidRPr="00E23CED">
        <w:t xml:space="preserve"> is more challenging for some attributes than others (</w:t>
      </w:r>
      <w:r w:rsidR="006B0E2C" w:rsidRPr="00E23CED">
        <w:t>Ministry for the Environment</w:t>
      </w:r>
      <w:r w:rsidR="005A5F42" w:rsidRPr="00E23CED">
        <w:t>,</w:t>
      </w:r>
      <w:r w:rsidRPr="00E23CED">
        <w:t xml:space="preserve"> 2022b). The final choice of ICT for the FMU</w:t>
      </w:r>
      <w:r w:rsidR="006B0E2C" w:rsidRPr="00E23CED">
        <w:t>,</w:t>
      </w:r>
      <w:r w:rsidR="00CC0096" w:rsidRPr="00E23CED">
        <w:t xml:space="preserve"> or </w:t>
      </w:r>
      <w:r w:rsidR="00BD5B75" w:rsidRPr="00E23CED">
        <w:t xml:space="preserve">relevant </w:t>
      </w:r>
      <w:r w:rsidR="00CC0096" w:rsidRPr="00E23CED">
        <w:t xml:space="preserve">part of </w:t>
      </w:r>
      <w:r w:rsidR="00BD5B75" w:rsidRPr="00E23CED">
        <w:t>an FMU</w:t>
      </w:r>
      <w:r w:rsidR="006B0E2C" w:rsidRPr="00E23CED">
        <w:t>,</w:t>
      </w:r>
      <w:r w:rsidRPr="00E23CED">
        <w:t xml:space="preserve"> will always be the lowest</w:t>
      </w:r>
      <w:r w:rsidR="00BD5B75" w:rsidRPr="00E23CED">
        <w:t xml:space="preserve"> among the </w:t>
      </w:r>
      <w:r w:rsidR="001E79D4" w:rsidRPr="00E23CED">
        <w:t xml:space="preserve">attributes </w:t>
      </w:r>
      <w:r w:rsidR="005F5854" w:rsidRPr="00E23CED">
        <w:t>relevant for that part of the FMU</w:t>
      </w:r>
      <w:r w:rsidRPr="00E23CED">
        <w:t xml:space="preserve">, to protect the </w:t>
      </w:r>
      <w:r w:rsidR="00F94E68" w:rsidRPr="00E23CED">
        <w:t>attributes or</w:t>
      </w:r>
      <w:r w:rsidR="005E6DED" w:rsidRPr="00E23CED">
        <w:t xml:space="preserve"> water </w:t>
      </w:r>
      <w:r w:rsidR="00F94E68" w:rsidRPr="00E23CED">
        <w:t xml:space="preserve">bodies </w:t>
      </w:r>
      <w:r w:rsidRPr="00E23CED">
        <w:t>most sensitive to nutrient enrichment</w:t>
      </w:r>
      <w:r w:rsidR="00F94E68" w:rsidRPr="00E23CED">
        <w:t xml:space="preserve"> and</w:t>
      </w:r>
      <w:r w:rsidR="00587B4F" w:rsidRPr="00E23CED">
        <w:t>,</w:t>
      </w:r>
      <w:r w:rsidR="00F94E68" w:rsidRPr="00E23CED">
        <w:t xml:space="preserve"> therefore</w:t>
      </w:r>
      <w:r w:rsidR="00587B4F" w:rsidRPr="00E23CED">
        <w:t>,</w:t>
      </w:r>
      <w:r w:rsidR="00F94E68" w:rsidRPr="00E23CED">
        <w:t xml:space="preserve"> achieve all </w:t>
      </w:r>
      <w:r w:rsidR="00BD3354" w:rsidRPr="00E23CED">
        <w:t>TASs</w:t>
      </w:r>
      <w:r w:rsidRPr="00E23CED">
        <w:t xml:space="preserve">. </w:t>
      </w:r>
    </w:p>
    <w:p w14:paraId="4F0FF3A8" w14:textId="61CB6E82" w:rsidR="00F37A09" w:rsidRPr="00E23CED" w:rsidRDefault="00572CA5" w:rsidP="002322AC">
      <w:pPr>
        <w:pStyle w:val="BodyText"/>
      </w:pPr>
      <w:r w:rsidRPr="00E23CED">
        <w:t>While the adverse effects of nutrient enrichment are often clear (see</w:t>
      </w:r>
      <w:r w:rsidR="00905A95" w:rsidRPr="00E23CED">
        <w:t xml:space="preserve"> </w:t>
      </w:r>
      <w:hyperlink w:anchor="_2.1.2__Nitrogen" w:history="1">
        <w:r w:rsidR="00905A95" w:rsidRPr="00E23CED">
          <w:rPr>
            <w:rStyle w:val="Hyperlink"/>
          </w:rPr>
          <w:t>section 2.1.2 Nitrogen and phosphorus</w:t>
        </w:r>
      </w:hyperlink>
      <w:r w:rsidRPr="00E23CED">
        <w:t xml:space="preserve">), the mechanisms by which they affect the ecosystem constituents represented by the attributes in </w:t>
      </w:r>
      <w:r w:rsidR="006B0E2C" w:rsidRPr="00E23CED">
        <w:t>a</w:t>
      </w:r>
      <w:r w:rsidRPr="00E23CED">
        <w:t>ppendices 2A and 2B are complex. This is because every ecosystem constituent interacts not only with nutrients</w:t>
      </w:r>
      <w:r w:rsidR="006B0E2C" w:rsidRPr="00E23CED">
        <w:t>,</w:t>
      </w:r>
      <w:r w:rsidRPr="00E23CED">
        <w:t xml:space="preserve"> but also with other constituents and site-specific factors. Site-specific factors include shade (light), temperature, local hydrology and hydraulics, streambed substrate composition, geomorphology of the surrounding </w:t>
      </w:r>
      <w:r w:rsidRPr="00E23CED">
        <w:lastRenderedPageBreak/>
        <w:t>land,</w:t>
      </w:r>
      <w:r w:rsidR="00C8342E" w:rsidRPr="00E23CED">
        <w:t> </w:t>
      </w:r>
      <w:r w:rsidRPr="00E23CED">
        <w:t xml:space="preserve">and water chemistry. </w:t>
      </w:r>
      <w:r w:rsidR="00F37A09" w:rsidRPr="00E23CED">
        <w:fldChar w:fldCharType="begin"/>
      </w:r>
      <w:r w:rsidR="00F37A09" w:rsidRPr="00E23CED">
        <w:instrText xml:space="preserve"> REF _Ref135042289 \h  \* MERGEFORMAT </w:instrText>
      </w:r>
      <w:r w:rsidR="00F37A09" w:rsidRPr="00E23CED">
        <w:fldChar w:fldCharType="separate"/>
      </w:r>
      <w:r w:rsidR="00FA0487" w:rsidRPr="00E23CED">
        <w:t xml:space="preserve">Figure </w:t>
      </w:r>
      <w:r w:rsidR="00FA0487">
        <w:t>4</w:t>
      </w:r>
      <w:r w:rsidR="00F37A09" w:rsidRPr="00E23CED">
        <w:fldChar w:fldCharType="end"/>
      </w:r>
      <w:r w:rsidR="00F37A09" w:rsidRPr="00E23CED">
        <w:t xml:space="preserve"> shows a</w:t>
      </w:r>
      <w:r w:rsidRPr="00E23CED">
        <w:t xml:space="preserve"> conceptual model of interactions among ecosystem constituents</w:t>
      </w:r>
      <w:r w:rsidR="00D76DD1" w:rsidRPr="00E23CED">
        <w:t>.</w:t>
      </w:r>
      <w:r w:rsidR="003A5B52" w:rsidRPr="00E23CED">
        <w:t xml:space="preserve"> </w:t>
      </w:r>
    </w:p>
    <w:p w14:paraId="586D5F7F" w14:textId="44BF8A36" w:rsidR="00572CA5" w:rsidRPr="00E23CED" w:rsidRDefault="00572CA5" w:rsidP="00572CA5">
      <w:pPr>
        <w:pStyle w:val="BodyText"/>
      </w:pPr>
      <w:r w:rsidRPr="00E23CED">
        <w:t xml:space="preserve">The complexity of ecosystems and the </w:t>
      </w:r>
      <w:r w:rsidR="001D4CE7" w:rsidRPr="00E23CED">
        <w:t xml:space="preserve">many </w:t>
      </w:r>
      <w:r w:rsidRPr="00E23CED">
        <w:t>interactions between constituents means identif</w:t>
      </w:r>
      <w:r w:rsidR="001D4CE7" w:rsidRPr="00E23CED">
        <w:t>ying</w:t>
      </w:r>
      <w:r w:rsidRPr="00E23CED">
        <w:t xml:space="preserve"> relationships between nutrient concentrations and ecosystem constituents is challenging (see reviews in </w:t>
      </w:r>
      <w:r w:rsidR="001D4CE7" w:rsidRPr="00E23CED">
        <w:t>s</w:t>
      </w:r>
      <w:r w:rsidRPr="00E23CED">
        <w:t xml:space="preserve">ection 2 of </w:t>
      </w:r>
      <w:r w:rsidR="001D4CE7" w:rsidRPr="00E23CED">
        <w:t>Ministry for the Environment</w:t>
      </w:r>
      <w:r w:rsidRPr="00E23CED">
        <w:t xml:space="preserve"> </w:t>
      </w:r>
      <w:r w:rsidR="001D4CE7" w:rsidRPr="00E23CED">
        <w:t>(</w:t>
      </w:r>
      <w:r w:rsidRPr="00E23CED">
        <w:t>2022b</w:t>
      </w:r>
      <w:r w:rsidR="001D4CE7" w:rsidRPr="00E23CED">
        <w:t>)</w:t>
      </w:r>
      <w:r w:rsidRPr="00E23CED">
        <w:t xml:space="preserve">). </w:t>
      </w:r>
    </w:p>
    <w:p w14:paraId="76F56473" w14:textId="1C3A034D" w:rsidR="00572CA5" w:rsidRPr="00E23CED" w:rsidRDefault="00572CA5" w:rsidP="00572CA5">
      <w:pPr>
        <w:pStyle w:val="Figureheading"/>
      </w:pPr>
      <w:bookmarkStart w:id="55" w:name="_Ref135042289"/>
      <w:bookmarkStart w:id="56" w:name="_Toc142661806"/>
      <w:r w:rsidRPr="00E23CED">
        <w:t xml:space="preserve">Figure </w:t>
      </w:r>
      <w:fldSimple w:instr=" SEQ Figure \* ARABIC ">
        <w:r w:rsidR="00FA0487">
          <w:rPr>
            <w:noProof/>
          </w:rPr>
          <w:t>4</w:t>
        </w:r>
      </w:fldSimple>
      <w:bookmarkEnd w:id="55"/>
      <w:r w:rsidRPr="00E23CED">
        <w:t>:</w:t>
      </w:r>
      <w:r w:rsidR="00B6599D" w:rsidRPr="00E23CED">
        <w:t xml:space="preserve"> </w:t>
      </w:r>
      <w:r w:rsidR="00C8342E" w:rsidRPr="00E23CED">
        <w:tab/>
      </w:r>
      <w:r w:rsidR="00C218B9" w:rsidRPr="00E23CED">
        <w:t>S</w:t>
      </w:r>
      <w:r w:rsidRPr="00E23CED">
        <w:t>imple conceptual model of the linkages between nutrients and constituents of river</w:t>
      </w:r>
      <w:r w:rsidR="00C8342E" w:rsidRPr="00E23CED">
        <w:t> </w:t>
      </w:r>
      <w:r w:rsidRPr="00E23CED">
        <w:t>ecosystems</w:t>
      </w:r>
      <w:bookmarkEnd w:id="56"/>
    </w:p>
    <w:p w14:paraId="02C69AF4" w14:textId="28E93A6D" w:rsidR="00572CA5" w:rsidRPr="00E23CED" w:rsidRDefault="00572CA5" w:rsidP="00967F4B">
      <w:pPr>
        <w:pStyle w:val="BodyText"/>
        <w:jc w:val="center"/>
      </w:pPr>
      <w:r w:rsidRPr="00E23CED">
        <w:rPr>
          <w:noProof/>
        </w:rPr>
        <w:drawing>
          <wp:inline distT="0" distB="0" distL="0" distR="0" wp14:anchorId="553A9E61" wp14:editId="260EE2D2">
            <wp:extent cx="5108015" cy="4994564"/>
            <wp:effectExtent l="0" t="0" r="0" b="0"/>
            <wp:docPr id="17" name="Picture 17" descr="diagram of a simple conceptual model of the linkages between nutrients and constituents of river ecosystems:&#10;DIN and DRP&#10;Algae and heterotrophic microbes&#10;Macroinvertebrates&#10;Fish&#10;Dissolved oxygen&#10;Ecosystem metabolism&#10;Macrophy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a simple conceptual model of the linkages between nutrients and constituents of river ecosystems:&#10;DIN and DRP&#10;Algae and heterotrophic microbes&#10;Macroinvertebrates&#10;Fish&#10;Dissolved oxygen&#10;Ecosystem metabolism&#10;Macrophytes&#10;"/>
                    <pic:cNvPicPr>
                      <a:picLocks noChangeAspect="1" noChangeArrowheads="1"/>
                    </pic:cNvPicPr>
                  </pic:nvPicPr>
                  <pic:blipFill rotWithShape="1">
                    <a:blip r:embed="rId59"/>
                    <a:srcRect l="3928" t="12396" r="3069" b="23282"/>
                    <a:stretch/>
                  </pic:blipFill>
                  <pic:spPr bwMode="auto">
                    <a:xfrm>
                      <a:off x="0" y="0"/>
                      <a:ext cx="5137474" cy="5023369"/>
                    </a:xfrm>
                    <a:prstGeom prst="rect">
                      <a:avLst/>
                    </a:prstGeom>
                    <a:noFill/>
                    <a:ln>
                      <a:noFill/>
                    </a:ln>
                    <a:extLst>
                      <a:ext uri="{53640926-AAD7-44D8-BBD7-CCE9431645EC}">
                        <a14:shadowObscured xmlns:a14="http://schemas.microsoft.com/office/drawing/2010/main"/>
                      </a:ext>
                    </a:extLst>
                  </pic:spPr>
                </pic:pic>
              </a:graphicData>
            </a:graphic>
          </wp:inline>
        </w:drawing>
      </w:r>
    </w:p>
    <w:p w14:paraId="2971FC5E" w14:textId="2D1E2775" w:rsidR="00AF7FA9" w:rsidRPr="00E23CED" w:rsidRDefault="003246F7" w:rsidP="00BE28BD">
      <w:pPr>
        <w:pStyle w:val="Note"/>
      </w:pPr>
      <w:r w:rsidRPr="00E23CED">
        <w:t xml:space="preserve">Note: DIN = </w:t>
      </w:r>
      <w:r w:rsidR="00881BE9" w:rsidRPr="00E23CED">
        <w:t xml:space="preserve">dissolved inorganic nitrogen; </w:t>
      </w:r>
      <w:r w:rsidR="00B052B2" w:rsidRPr="00E23CED">
        <w:t>DRP = dissolved reactive phosphorus</w:t>
      </w:r>
      <w:r w:rsidR="00E55520" w:rsidRPr="00E23CED">
        <w:t>; NPS-FM</w:t>
      </w:r>
      <w:r w:rsidR="00BE28BD" w:rsidRPr="00E23CED">
        <w:t xml:space="preserve"> = National Policy Statement for Freshwater Management 2020.</w:t>
      </w:r>
    </w:p>
    <w:p w14:paraId="394C5932" w14:textId="2840E7D7" w:rsidR="001D4CE7" w:rsidRPr="00E23CED" w:rsidRDefault="001D4CE7" w:rsidP="00967F4B">
      <w:pPr>
        <w:pStyle w:val="Source"/>
        <w:spacing w:before="0"/>
      </w:pPr>
      <w:r w:rsidRPr="00E23CED">
        <w:t>Source: Adapted from Ministry for the Environment (2022b)</w:t>
      </w:r>
    </w:p>
    <w:p w14:paraId="2305BE18" w14:textId="64DF36EF" w:rsidR="00572CA5" w:rsidRPr="00E23CED" w:rsidRDefault="00E67690" w:rsidP="00967F4B">
      <w:pPr>
        <w:pStyle w:val="Heading3"/>
        <w:tabs>
          <w:tab w:val="clear" w:pos="851"/>
          <w:tab w:val="left" w:pos="964"/>
        </w:tabs>
      </w:pPr>
      <w:r w:rsidRPr="00E23CED">
        <w:t xml:space="preserve">3.3.1 </w:t>
      </w:r>
      <w:r w:rsidR="00C8342E" w:rsidRPr="00E23CED">
        <w:tab/>
      </w:r>
      <w:r w:rsidR="00572CA5" w:rsidRPr="00E23CED">
        <w:t xml:space="preserve">Applicability of </w:t>
      </w:r>
      <w:r w:rsidR="001D4CE7" w:rsidRPr="00E23CED">
        <w:t>c</w:t>
      </w:r>
      <w:r w:rsidR="00096648" w:rsidRPr="00E23CED">
        <w:t>lause</w:t>
      </w:r>
      <w:r w:rsidR="00572CA5" w:rsidRPr="00E23CED">
        <w:t xml:space="preserve"> 3.13(1)</w:t>
      </w:r>
    </w:p>
    <w:p w14:paraId="2E5A630E" w14:textId="6FE8CF2C" w:rsidR="00572CA5" w:rsidRPr="00E23CED" w:rsidRDefault="00096648" w:rsidP="00C8342E">
      <w:pPr>
        <w:pStyle w:val="BodyText"/>
        <w:rPr>
          <w:spacing w:val="-2"/>
        </w:rPr>
      </w:pPr>
      <w:r w:rsidRPr="00E23CED">
        <w:rPr>
          <w:spacing w:val="-2"/>
        </w:rPr>
        <w:t>Clause</w:t>
      </w:r>
      <w:r w:rsidR="00572CA5" w:rsidRPr="00E23CED">
        <w:rPr>
          <w:spacing w:val="-2"/>
        </w:rPr>
        <w:t xml:space="preserve"> 3.13(1) applies to all </w:t>
      </w:r>
      <w:r w:rsidR="007344C8" w:rsidRPr="00E23CED">
        <w:rPr>
          <w:spacing w:val="-2"/>
        </w:rPr>
        <w:t>water</w:t>
      </w:r>
      <w:r w:rsidR="001D4CE7" w:rsidRPr="00E23CED">
        <w:rPr>
          <w:spacing w:val="-2"/>
        </w:rPr>
        <w:t xml:space="preserve"> </w:t>
      </w:r>
      <w:r w:rsidR="007344C8" w:rsidRPr="00E23CED">
        <w:rPr>
          <w:spacing w:val="-2"/>
        </w:rPr>
        <w:t>bodies</w:t>
      </w:r>
      <w:r w:rsidR="00345D82" w:rsidRPr="00E23CED">
        <w:rPr>
          <w:spacing w:val="-2"/>
        </w:rPr>
        <w:t>,</w:t>
      </w:r>
      <w:r w:rsidR="007344C8" w:rsidRPr="00E23CED">
        <w:rPr>
          <w:spacing w:val="-2"/>
        </w:rPr>
        <w:t xml:space="preserve"> and therefore all </w:t>
      </w:r>
      <w:r w:rsidR="00572CA5" w:rsidRPr="00E23CED">
        <w:rPr>
          <w:spacing w:val="-2"/>
        </w:rPr>
        <w:t>rivers</w:t>
      </w:r>
      <w:r w:rsidR="00345D82" w:rsidRPr="00E23CED">
        <w:rPr>
          <w:spacing w:val="-2"/>
        </w:rPr>
        <w:t>,</w:t>
      </w:r>
      <w:r w:rsidR="00572CA5" w:rsidRPr="00E23CED">
        <w:rPr>
          <w:spacing w:val="-2"/>
        </w:rPr>
        <w:t xml:space="preserve"> across Aotearoa.</w:t>
      </w:r>
    </w:p>
    <w:p w14:paraId="229F1188" w14:textId="3D4CB235" w:rsidR="00572CA5" w:rsidRPr="00E23CED" w:rsidRDefault="007344C8" w:rsidP="00572CA5">
      <w:pPr>
        <w:pStyle w:val="BodyText"/>
        <w:widowControl w:val="0"/>
      </w:pPr>
      <w:r w:rsidRPr="00E23CED">
        <w:t>River s</w:t>
      </w:r>
      <w:r w:rsidR="00572CA5" w:rsidRPr="00E23CED">
        <w:t xml:space="preserve">ites </w:t>
      </w:r>
      <w:r w:rsidR="00A3298C" w:rsidRPr="00E23CED">
        <w:t>used to represent an</w:t>
      </w:r>
      <w:r w:rsidR="00572CA5" w:rsidRPr="00E23CED">
        <w:t xml:space="preserve"> FMU may range from small alpine streams to large </w:t>
      </w:r>
      <w:r w:rsidR="00572CA5" w:rsidRPr="00E23CED">
        <w:rPr>
          <w:spacing w:val="-2"/>
        </w:rPr>
        <w:t>lowland rivers, from wholly wadeable to wholly unwadeable, and may be hard</w:t>
      </w:r>
      <w:r w:rsidR="00345D82" w:rsidRPr="00E23CED">
        <w:rPr>
          <w:spacing w:val="-2"/>
        </w:rPr>
        <w:t xml:space="preserve"> </w:t>
      </w:r>
      <w:r w:rsidR="00572CA5" w:rsidRPr="00E23CED">
        <w:rPr>
          <w:spacing w:val="-2"/>
        </w:rPr>
        <w:t>bottomed or soft</w:t>
      </w:r>
      <w:r w:rsidR="00345D82" w:rsidRPr="00E23CED">
        <w:t xml:space="preserve"> </w:t>
      </w:r>
      <w:r w:rsidR="00572CA5" w:rsidRPr="00E23CED">
        <w:t>bottomed. Stream size and type will dictate which attributes are relevant for implement</w:t>
      </w:r>
      <w:r w:rsidR="00345D82" w:rsidRPr="00E23CED">
        <w:t>ing</w:t>
      </w:r>
      <w:r w:rsidR="00572CA5" w:rsidRPr="00E23CED">
        <w:t xml:space="preserve"> </w:t>
      </w:r>
      <w:r w:rsidR="00345D82" w:rsidRPr="00E23CED">
        <w:t>c</w:t>
      </w:r>
      <w:r w:rsidR="00096648" w:rsidRPr="00E23CED">
        <w:t>lause</w:t>
      </w:r>
      <w:r w:rsidR="00572CA5" w:rsidRPr="00E23CED">
        <w:t xml:space="preserve"> 3.13(1). </w:t>
      </w:r>
    </w:p>
    <w:p w14:paraId="31C0D18B" w14:textId="0E45E3F3" w:rsidR="00572CA5" w:rsidRPr="00E23CED" w:rsidRDefault="00572CA5" w:rsidP="00C427B9">
      <w:pPr>
        <w:pStyle w:val="BodyText"/>
        <w:keepLines/>
        <w:spacing w:before="100" w:after="100"/>
      </w:pPr>
      <w:r w:rsidRPr="00E23CED">
        <w:lastRenderedPageBreak/>
        <w:t xml:space="preserve">For example, hard-bottomed river sites – </w:t>
      </w:r>
      <w:r w:rsidR="68555B24" w:rsidRPr="00E23CED">
        <w:t>where</w:t>
      </w:r>
      <w:r w:rsidRPr="00E23CED">
        <w:t xml:space="preserve"> more than 50</w:t>
      </w:r>
      <w:r w:rsidR="00345D82" w:rsidRPr="00E23CED">
        <w:t xml:space="preserve"> per cent</w:t>
      </w:r>
      <w:r w:rsidRPr="00E23CED">
        <w:t xml:space="preserve"> of the bed is made up</w:t>
      </w:r>
      <w:r w:rsidR="00D72ECF" w:rsidRPr="00E23CED">
        <w:t> </w:t>
      </w:r>
      <w:r w:rsidRPr="00E23CED">
        <w:t>of gravel or larger bed particles – typically support periphyton growth</w:t>
      </w:r>
      <w:r w:rsidR="0096488B" w:rsidRPr="00E23CED">
        <w:t xml:space="preserve"> (Clapcott et al, 2011)</w:t>
      </w:r>
      <w:r w:rsidRPr="00E23CED">
        <w:t>.</w:t>
      </w:r>
      <w:r w:rsidR="00D72ECF" w:rsidRPr="00E23CED">
        <w:t> </w:t>
      </w:r>
      <w:r w:rsidRPr="00E23CED">
        <w:t xml:space="preserve">Data exclusively from hard-bottomed rivers were used to develop the periphyton attribute, and the periphyton attribute and corresponding ICTs will generally be relevant in hard-bottomed rivers that are also wadeable. </w:t>
      </w:r>
    </w:p>
    <w:p w14:paraId="4EA491E1" w14:textId="2A468A57" w:rsidR="00572CA5" w:rsidRPr="00E23CED" w:rsidRDefault="00572CA5" w:rsidP="00C427B9">
      <w:pPr>
        <w:pStyle w:val="BodyText"/>
        <w:spacing w:before="100" w:after="100"/>
      </w:pPr>
      <w:proofErr w:type="gramStart"/>
      <w:r w:rsidRPr="00E23CED">
        <w:t>Soft-bottomed river</w:t>
      </w:r>
      <w:proofErr w:type="gramEnd"/>
      <w:r w:rsidRPr="00E23CED">
        <w:t xml:space="preserve"> sites – </w:t>
      </w:r>
      <w:r w:rsidR="7B1EDE36" w:rsidRPr="00E23CED">
        <w:t>where</w:t>
      </w:r>
      <w:r w:rsidRPr="00E23CED">
        <w:t xml:space="preserve"> more than 50</w:t>
      </w:r>
      <w:r w:rsidR="00345D82" w:rsidRPr="00E23CED">
        <w:t xml:space="preserve"> per cent</w:t>
      </w:r>
      <w:r w:rsidRPr="00E23CED">
        <w:t xml:space="preserve"> of the bed is made up of sand or silt –</w:t>
      </w:r>
      <w:r w:rsidR="00C8342E" w:rsidRPr="00E23CED">
        <w:t> </w:t>
      </w:r>
      <w:r w:rsidR="00AB1C4D" w:rsidRPr="00E23CED">
        <w:t>can sometimes</w:t>
      </w:r>
      <w:r w:rsidRPr="00E23CED">
        <w:t xml:space="preserve"> support conspicuous growth of periphyton on the bed after long periods of stable flows, </w:t>
      </w:r>
      <w:r w:rsidR="00B778A0" w:rsidRPr="00E23CED">
        <w:t>or</w:t>
      </w:r>
      <w:r w:rsidRPr="00E23CED">
        <w:t xml:space="preserve"> macrophyte communities. Cover by macrophytes</w:t>
      </w:r>
      <w:r w:rsidR="00345D82" w:rsidRPr="00E23CED">
        <w:t>,</w:t>
      </w:r>
      <w:r w:rsidRPr="00E23CED">
        <w:t xml:space="preserve"> or by the epiphytic algae associated with macrophytes</w:t>
      </w:r>
      <w:r w:rsidR="00345D82" w:rsidRPr="00E23CED">
        <w:t>,</w:t>
      </w:r>
      <w:r w:rsidRPr="00E23CED">
        <w:t xml:space="preserve"> could be adopted as</w:t>
      </w:r>
      <w:r w:rsidR="00652319" w:rsidRPr="00E23CED">
        <w:t xml:space="preserve"> additional</w:t>
      </w:r>
      <w:r w:rsidRPr="00E23CED">
        <w:t xml:space="preserve"> attributes at these sites. </w:t>
      </w:r>
      <w:r w:rsidR="00345D82" w:rsidRPr="00E23CED">
        <w:t>D</w:t>
      </w:r>
      <w:r w:rsidRPr="00E23CED">
        <w:t xml:space="preserve">issolved oxygen may </w:t>
      </w:r>
      <w:r w:rsidR="00345D82" w:rsidRPr="00E23CED">
        <w:t xml:space="preserve">also </w:t>
      </w:r>
      <w:r w:rsidRPr="00E23CED">
        <w:t>be a relevant attribute.</w:t>
      </w:r>
    </w:p>
    <w:p w14:paraId="0FD5F48F" w14:textId="624B56AD" w:rsidR="00572CA5" w:rsidRPr="00E23CED" w:rsidRDefault="003E5746" w:rsidP="00C427B9">
      <w:pPr>
        <w:pStyle w:val="Heading3"/>
        <w:tabs>
          <w:tab w:val="clear" w:pos="851"/>
          <w:tab w:val="left" w:pos="964"/>
        </w:tabs>
        <w:spacing w:before="320"/>
      </w:pPr>
      <w:r w:rsidRPr="00E23CED">
        <w:t>3</w:t>
      </w:r>
      <w:r w:rsidR="00572CA5" w:rsidRPr="00E23CED">
        <w:t>.</w:t>
      </w:r>
      <w:r w:rsidR="0028097E" w:rsidRPr="00E23CED">
        <w:t>3</w:t>
      </w:r>
      <w:r w:rsidR="00572CA5" w:rsidRPr="00E23CED">
        <w:t>.</w:t>
      </w:r>
      <w:r w:rsidR="008617F5" w:rsidRPr="00E23CED">
        <w:t>2</w:t>
      </w:r>
      <w:r w:rsidR="00B6599D" w:rsidRPr="00E23CED">
        <w:t xml:space="preserve"> </w:t>
      </w:r>
      <w:r w:rsidR="00C8342E" w:rsidRPr="00E23CED">
        <w:tab/>
      </w:r>
      <w:r w:rsidR="001946E0" w:rsidRPr="00E23CED">
        <w:t>A</w:t>
      </w:r>
      <w:r w:rsidR="00572CA5" w:rsidRPr="00E23CED">
        <w:t>ttributes</w:t>
      </w:r>
      <w:r w:rsidR="00CA0B53" w:rsidRPr="00E23CED">
        <w:t xml:space="preserve"> </w:t>
      </w:r>
      <w:r w:rsidR="00E048CB" w:rsidRPr="00E23CED">
        <w:t xml:space="preserve">to </w:t>
      </w:r>
      <w:proofErr w:type="gramStart"/>
      <w:r w:rsidR="00CA0B53" w:rsidRPr="00E23CED">
        <w:t>consider</w:t>
      </w:r>
      <w:proofErr w:type="gramEnd"/>
      <w:r w:rsidR="00572CA5" w:rsidRPr="00E23CED">
        <w:t xml:space="preserve"> </w:t>
      </w:r>
    </w:p>
    <w:p w14:paraId="45EAEFFA" w14:textId="198689F8" w:rsidR="00572CA5" w:rsidRPr="00E23CED" w:rsidRDefault="00572CA5" w:rsidP="00C427B9">
      <w:pPr>
        <w:pStyle w:val="BodyText"/>
        <w:spacing w:before="100" w:after="100"/>
      </w:pPr>
      <w:r>
        <w:t xml:space="preserve">Nutrient management must </w:t>
      </w:r>
      <w:r w:rsidR="004F28F1">
        <w:t>consider</w:t>
      </w:r>
      <w:r>
        <w:t xml:space="preserve"> nutrient-affected attributes in a river system. Periphyton biomass (</w:t>
      </w:r>
      <w:r w:rsidR="00160E73">
        <w:t>chlorophyll a (</w:t>
      </w:r>
      <w:r>
        <w:t>chl-a</w:t>
      </w:r>
      <w:r w:rsidR="00160E73">
        <w:t>)</w:t>
      </w:r>
      <w:r>
        <w:t>) has been an attribute in the NPS-FM since 2014</w:t>
      </w:r>
      <w:r w:rsidR="00B74AE0">
        <w:t>,</w:t>
      </w:r>
      <w:r w:rsidR="00BF7112">
        <w:t xml:space="preserve"> and dissolved oxygen below point source discharges since 2017</w:t>
      </w:r>
      <w:r>
        <w:t>. The NPS-FM 2020 introduced seven new compulsory attributes</w:t>
      </w:r>
      <w:r w:rsidR="00345D82">
        <w:t>,</w:t>
      </w:r>
      <w:r>
        <w:t xml:space="preserve"> representing ecosystem constituents in rivers such as macroinvertebrates, fish and ecosystem metabolism</w:t>
      </w:r>
      <w:r w:rsidR="00CE54D4">
        <w:t xml:space="preserve"> (</w:t>
      </w:r>
      <w:r w:rsidR="00345D82">
        <w:t>t</w:t>
      </w:r>
      <w:r w:rsidR="00CE54D4">
        <w:t>able 1)</w:t>
      </w:r>
      <w:r>
        <w:t>.</w:t>
      </w:r>
    </w:p>
    <w:p w14:paraId="1F3B44CA" w14:textId="46170612" w:rsidR="00572CA5" w:rsidRPr="00E23CED" w:rsidRDefault="00572CA5" w:rsidP="00D72ECF">
      <w:pPr>
        <w:pStyle w:val="Tableheading"/>
      </w:pPr>
      <w:bookmarkStart w:id="57" w:name="_Toc142661793"/>
      <w:r w:rsidRPr="00E23CED">
        <w:t xml:space="preserve">Table </w:t>
      </w:r>
      <w:r w:rsidRPr="00E23CED">
        <w:fldChar w:fldCharType="begin"/>
      </w:r>
      <w:r w:rsidRPr="00E23CED">
        <w:instrText>SEQ Table \* ARABIC</w:instrText>
      </w:r>
      <w:r w:rsidRPr="00E23CED">
        <w:fldChar w:fldCharType="separate"/>
      </w:r>
      <w:r w:rsidR="00FA0487">
        <w:rPr>
          <w:noProof/>
        </w:rPr>
        <w:t>1</w:t>
      </w:r>
      <w:r w:rsidRPr="00E23CED">
        <w:fldChar w:fldCharType="end"/>
      </w:r>
      <w:r w:rsidRPr="00E23CED">
        <w:t>:</w:t>
      </w:r>
      <w:r w:rsidR="00B74AE0" w:rsidRPr="00E23CED">
        <w:t xml:space="preserve"> </w:t>
      </w:r>
      <w:r w:rsidR="00D72ECF" w:rsidRPr="00E23CED">
        <w:tab/>
      </w:r>
      <w:r w:rsidR="001739BF" w:rsidRPr="00E23CED">
        <w:t>N</w:t>
      </w:r>
      <w:r w:rsidRPr="00E23CED" w:rsidDel="00BF7112">
        <w:t>u</w:t>
      </w:r>
      <w:r w:rsidRPr="00E23CED">
        <w:t>trient-affected attributes</w:t>
      </w:r>
      <w:r w:rsidR="00BF7112" w:rsidRPr="00E23CED">
        <w:t>, including those</w:t>
      </w:r>
      <w:r w:rsidRPr="00E23CED">
        <w:t xml:space="preserve"> introduced in the </w:t>
      </w:r>
      <w:r w:rsidR="005A23ED" w:rsidRPr="00E23CED">
        <w:t>National Policy Statement for Freshwater Management 2020</w:t>
      </w:r>
      <w:bookmarkEnd w:id="57"/>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694"/>
        <w:gridCol w:w="2283"/>
        <w:gridCol w:w="3544"/>
        <w:gridCol w:w="1984"/>
      </w:tblGrid>
      <w:tr w:rsidR="00CB0747" w:rsidRPr="00E23CED" w14:paraId="682AA560" w14:textId="77777777" w:rsidTr="00D72ECF">
        <w:trPr>
          <w:tblHeader/>
        </w:trPr>
        <w:tc>
          <w:tcPr>
            <w:tcW w:w="694" w:type="dxa"/>
            <w:shd w:val="clear" w:color="auto" w:fill="1B556B"/>
          </w:tcPr>
          <w:p w14:paraId="3FCAC5E3" w14:textId="5A048CA9" w:rsidR="00572CA5" w:rsidRPr="00E23CED" w:rsidRDefault="00F22169" w:rsidP="00C427B9">
            <w:pPr>
              <w:pStyle w:val="TableTextbold"/>
              <w:spacing w:before="40" w:after="40"/>
              <w:rPr>
                <w:color w:val="FFFFFF" w:themeColor="background1"/>
              </w:rPr>
            </w:pPr>
            <w:r w:rsidRPr="00E23CED">
              <w:rPr>
                <w:color w:val="FFFFFF" w:themeColor="background1"/>
              </w:rPr>
              <w:t>Year</w:t>
            </w:r>
          </w:p>
        </w:tc>
        <w:tc>
          <w:tcPr>
            <w:tcW w:w="2283" w:type="dxa"/>
            <w:shd w:val="clear" w:color="auto" w:fill="1B556B"/>
          </w:tcPr>
          <w:p w14:paraId="61165A66" w14:textId="77777777" w:rsidR="00572CA5" w:rsidRPr="00E23CED" w:rsidRDefault="00572CA5" w:rsidP="00C427B9">
            <w:pPr>
              <w:pStyle w:val="TableTextbold"/>
              <w:spacing w:before="40" w:after="40"/>
              <w:rPr>
                <w:color w:val="FFFFFF" w:themeColor="background1"/>
              </w:rPr>
            </w:pPr>
            <w:r w:rsidRPr="00E23CED">
              <w:rPr>
                <w:color w:val="FFFFFF" w:themeColor="background1"/>
              </w:rPr>
              <w:t>Attribute</w:t>
            </w:r>
          </w:p>
        </w:tc>
        <w:tc>
          <w:tcPr>
            <w:tcW w:w="3544" w:type="dxa"/>
            <w:shd w:val="clear" w:color="auto" w:fill="1B556B"/>
          </w:tcPr>
          <w:p w14:paraId="3196D917" w14:textId="77777777" w:rsidR="00572CA5" w:rsidRPr="00E23CED" w:rsidRDefault="00572CA5" w:rsidP="00C427B9">
            <w:pPr>
              <w:pStyle w:val="TableTextbold"/>
              <w:spacing w:before="40" w:after="40"/>
              <w:rPr>
                <w:color w:val="FFFFFF" w:themeColor="background1"/>
              </w:rPr>
            </w:pPr>
            <w:r w:rsidRPr="00E23CED">
              <w:rPr>
                <w:color w:val="FFFFFF" w:themeColor="background1"/>
              </w:rPr>
              <w:t>Attribute unit</w:t>
            </w:r>
          </w:p>
        </w:tc>
        <w:tc>
          <w:tcPr>
            <w:tcW w:w="1984" w:type="dxa"/>
            <w:shd w:val="clear" w:color="auto" w:fill="1B556B"/>
          </w:tcPr>
          <w:p w14:paraId="03131FA0" w14:textId="0818683C" w:rsidR="00572CA5" w:rsidRPr="00E23CED" w:rsidRDefault="00572CA5" w:rsidP="00C427B9">
            <w:pPr>
              <w:pStyle w:val="TableTextbold"/>
              <w:spacing w:before="40" w:after="40"/>
              <w:rPr>
                <w:color w:val="FFFFFF" w:themeColor="background1"/>
              </w:rPr>
            </w:pPr>
            <w:r w:rsidRPr="00E23CED">
              <w:rPr>
                <w:color w:val="FFFFFF" w:themeColor="background1"/>
              </w:rPr>
              <w:t>NPS-FM reference</w:t>
            </w:r>
          </w:p>
        </w:tc>
      </w:tr>
      <w:tr w:rsidR="00081A96" w:rsidRPr="00E23CED" w14:paraId="5E2047E3" w14:textId="77777777" w:rsidTr="00D72ECF">
        <w:tc>
          <w:tcPr>
            <w:tcW w:w="694" w:type="dxa"/>
          </w:tcPr>
          <w:p w14:paraId="11E2D76F" w14:textId="1E8E5408" w:rsidR="00572CA5" w:rsidRPr="00E23CED" w:rsidRDefault="00F22169" w:rsidP="00C427B9">
            <w:pPr>
              <w:pStyle w:val="TableText"/>
              <w:spacing w:before="40" w:after="40"/>
            </w:pPr>
            <w:r w:rsidRPr="00E23CED">
              <w:t>2014</w:t>
            </w:r>
          </w:p>
        </w:tc>
        <w:tc>
          <w:tcPr>
            <w:tcW w:w="2283" w:type="dxa"/>
          </w:tcPr>
          <w:p w14:paraId="466F7452" w14:textId="77777777" w:rsidR="00572CA5" w:rsidRPr="00E23CED" w:rsidRDefault="00572CA5" w:rsidP="00C427B9">
            <w:pPr>
              <w:pStyle w:val="TableText"/>
              <w:spacing w:before="40" w:after="40"/>
            </w:pPr>
            <w:r w:rsidRPr="00E23CED">
              <w:t>Periphyton</w:t>
            </w:r>
          </w:p>
        </w:tc>
        <w:tc>
          <w:tcPr>
            <w:tcW w:w="3544" w:type="dxa"/>
            <w:shd w:val="clear" w:color="auto" w:fill="auto"/>
          </w:tcPr>
          <w:p w14:paraId="3CCE5411" w14:textId="7DFEE872" w:rsidR="00572CA5" w:rsidRPr="00E23CED" w:rsidRDefault="00572CA5" w:rsidP="00C427B9">
            <w:pPr>
              <w:pStyle w:val="TableText"/>
              <w:spacing w:before="40" w:after="40"/>
            </w:pPr>
            <w:r w:rsidRPr="00E23CED">
              <w:t>Chlorophyll a (</w:t>
            </w:r>
            <w:r w:rsidR="00E86DB0" w:rsidRPr="00E23CED">
              <w:t>milligrams per square metre</w:t>
            </w:r>
            <w:r w:rsidRPr="00E23CED">
              <w:t>)</w:t>
            </w:r>
          </w:p>
        </w:tc>
        <w:tc>
          <w:tcPr>
            <w:tcW w:w="1984" w:type="dxa"/>
            <w:shd w:val="clear" w:color="auto" w:fill="auto"/>
          </w:tcPr>
          <w:p w14:paraId="527BE7B1" w14:textId="37285287" w:rsidR="00572CA5" w:rsidRPr="00E23CED" w:rsidRDefault="00572CA5" w:rsidP="00C427B9">
            <w:pPr>
              <w:pStyle w:val="TableText"/>
              <w:spacing w:before="40" w:after="40"/>
            </w:pPr>
            <w:r w:rsidRPr="00E23CED">
              <w:t xml:space="preserve">Appendix 2A, </w:t>
            </w:r>
            <w:r w:rsidR="00345D82" w:rsidRPr="00E23CED">
              <w:t>t</w:t>
            </w:r>
            <w:r w:rsidRPr="00E23CED">
              <w:t>able 2</w:t>
            </w:r>
          </w:p>
        </w:tc>
      </w:tr>
      <w:tr w:rsidR="00BF7112" w:rsidRPr="00E23CED" w14:paraId="46EEF89A" w14:textId="77777777" w:rsidTr="00D72ECF">
        <w:tc>
          <w:tcPr>
            <w:tcW w:w="694" w:type="dxa"/>
          </w:tcPr>
          <w:p w14:paraId="18A66038" w14:textId="04849CB5" w:rsidR="00BF7112" w:rsidRPr="00E23CED" w:rsidRDefault="00FD6E53" w:rsidP="00C427B9">
            <w:pPr>
              <w:pStyle w:val="TableText"/>
              <w:spacing w:before="40" w:after="40"/>
            </w:pPr>
            <w:r w:rsidRPr="00E23CED">
              <w:t>20</w:t>
            </w:r>
            <w:r w:rsidR="00F22169" w:rsidRPr="00E23CED">
              <w:t>17</w:t>
            </w:r>
          </w:p>
        </w:tc>
        <w:tc>
          <w:tcPr>
            <w:tcW w:w="2283" w:type="dxa"/>
          </w:tcPr>
          <w:p w14:paraId="41C5FFE9" w14:textId="672A8501" w:rsidR="00BF7112" w:rsidRPr="00E23CED" w:rsidRDefault="00BF7112" w:rsidP="00C427B9">
            <w:pPr>
              <w:pStyle w:val="TableText"/>
              <w:spacing w:before="40" w:after="40"/>
            </w:pPr>
            <w:r w:rsidRPr="00E23CED">
              <w:t>Dissolved oxygen below point sources</w:t>
            </w:r>
          </w:p>
        </w:tc>
        <w:tc>
          <w:tcPr>
            <w:tcW w:w="3544" w:type="dxa"/>
            <w:shd w:val="clear" w:color="auto" w:fill="auto"/>
          </w:tcPr>
          <w:p w14:paraId="63F776FE" w14:textId="6295D8B3" w:rsidR="00BF7112" w:rsidRPr="00E23CED" w:rsidRDefault="00BF7112" w:rsidP="00C427B9">
            <w:pPr>
              <w:pStyle w:val="TableText"/>
              <w:spacing w:before="40" w:after="40"/>
            </w:pPr>
            <w:r w:rsidRPr="00E23CED">
              <w:t>Dissolved oxygen (milligrams per litre)</w:t>
            </w:r>
          </w:p>
        </w:tc>
        <w:tc>
          <w:tcPr>
            <w:tcW w:w="1984" w:type="dxa"/>
            <w:shd w:val="clear" w:color="auto" w:fill="auto"/>
          </w:tcPr>
          <w:p w14:paraId="279CD6F3" w14:textId="20F2DB4A" w:rsidR="00BF7112" w:rsidRPr="00E23CED" w:rsidRDefault="00BF7112" w:rsidP="00C427B9">
            <w:pPr>
              <w:pStyle w:val="TableText"/>
              <w:spacing w:before="40" w:after="40"/>
            </w:pPr>
            <w:r w:rsidRPr="00E23CED">
              <w:t xml:space="preserve">Appendix 2A, </w:t>
            </w:r>
            <w:r w:rsidR="00345D82" w:rsidRPr="00E23CED">
              <w:t>t</w:t>
            </w:r>
            <w:r w:rsidRPr="00E23CED">
              <w:t>able 7</w:t>
            </w:r>
          </w:p>
        </w:tc>
      </w:tr>
      <w:tr w:rsidR="00081A96" w:rsidRPr="00E23CED" w14:paraId="570C2B6C" w14:textId="77777777" w:rsidTr="00D72ECF">
        <w:tc>
          <w:tcPr>
            <w:tcW w:w="694" w:type="dxa"/>
          </w:tcPr>
          <w:p w14:paraId="67596B67" w14:textId="517FF502" w:rsidR="00572CA5" w:rsidRPr="00E23CED" w:rsidRDefault="00F22169" w:rsidP="00C427B9">
            <w:pPr>
              <w:pStyle w:val="TableText"/>
              <w:spacing w:before="40" w:after="40"/>
            </w:pPr>
            <w:r w:rsidRPr="00E23CED">
              <w:t>2020</w:t>
            </w:r>
          </w:p>
        </w:tc>
        <w:tc>
          <w:tcPr>
            <w:tcW w:w="2283" w:type="dxa"/>
          </w:tcPr>
          <w:p w14:paraId="6C7A378A" w14:textId="77777777" w:rsidR="00572CA5" w:rsidRPr="00E23CED" w:rsidRDefault="00572CA5" w:rsidP="00C427B9">
            <w:pPr>
              <w:pStyle w:val="TableText"/>
              <w:spacing w:before="40" w:after="40"/>
            </w:pPr>
            <w:r w:rsidRPr="00E23CED">
              <w:t>Fish (rivers) </w:t>
            </w:r>
          </w:p>
        </w:tc>
        <w:tc>
          <w:tcPr>
            <w:tcW w:w="3544" w:type="dxa"/>
            <w:shd w:val="clear" w:color="auto" w:fill="auto"/>
          </w:tcPr>
          <w:p w14:paraId="27B1A345" w14:textId="2D4D5150" w:rsidR="00572CA5" w:rsidRPr="00E23CED" w:rsidRDefault="00572CA5" w:rsidP="00C427B9">
            <w:pPr>
              <w:pStyle w:val="TableText"/>
              <w:spacing w:before="40" w:after="40"/>
            </w:pPr>
            <w:r w:rsidRPr="00E23CED">
              <w:t xml:space="preserve">Fish </w:t>
            </w:r>
            <w:r w:rsidR="00E86DB0" w:rsidRPr="00E23CED">
              <w:t>i</w:t>
            </w:r>
            <w:r w:rsidRPr="00E23CED">
              <w:t xml:space="preserve">ndex of </w:t>
            </w:r>
            <w:r w:rsidR="00E86DB0" w:rsidRPr="00E23CED">
              <w:t>b</w:t>
            </w:r>
            <w:r w:rsidRPr="00E23CED">
              <w:t xml:space="preserve">iotic </w:t>
            </w:r>
            <w:r w:rsidR="00E86DB0" w:rsidRPr="00E23CED">
              <w:t>i</w:t>
            </w:r>
            <w:r w:rsidRPr="00E23CED">
              <w:t xml:space="preserve">ntegrity </w:t>
            </w:r>
          </w:p>
        </w:tc>
        <w:tc>
          <w:tcPr>
            <w:tcW w:w="1984" w:type="dxa"/>
            <w:shd w:val="clear" w:color="auto" w:fill="auto"/>
          </w:tcPr>
          <w:p w14:paraId="64D1448A" w14:textId="7D60D17E" w:rsidR="00572CA5" w:rsidRPr="00E23CED" w:rsidRDefault="00572CA5" w:rsidP="00C427B9">
            <w:pPr>
              <w:pStyle w:val="TableText"/>
              <w:spacing w:before="40" w:after="40"/>
            </w:pPr>
            <w:r w:rsidRPr="00E23CED">
              <w:t xml:space="preserve">Appendix 2B, </w:t>
            </w:r>
            <w:r w:rsidR="00345D82" w:rsidRPr="00E23CED">
              <w:t>t</w:t>
            </w:r>
            <w:r w:rsidRPr="00E23CED">
              <w:t>able 13 </w:t>
            </w:r>
          </w:p>
        </w:tc>
      </w:tr>
      <w:tr w:rsidR="00081A96" w:rsidRPr="00E23CED" w14:paraId="388C0F89" w14:textId="77777777" w:rsidTr="00D72ECF">
        <w:tc>
          <w:tcPr>
            <w:tcW w:w="694" w:type="dxa"/>
          </w:tcPr>
          <w:p w14:paraId="543A2DA3" w14:textId="7C8D34F5" w:rsidR="00572CA5" w:rsidRPr="00E23CED" w:rsidRDefault="00F22169" w:rsidP="00C427B9">
            <w:pPr>
              <w:pStyle w:val="TableText"/>
              <w:spacing w:before="40" w:after="40"/>
            </w:pPr>
            <w:r w:rsidRPr="00E23CED">
              <w:t>2020</w:t>
            </w:r>
          </w:p>
        </w:tc>
        <w:tc>
          <w:tcPr>
            <w:tcW w:w="2283" w:type="dxa"/>
          </w:tcPr>
          <w:p w14:paraId="56F5A36D" w14:textId="77777777" w:rsidR="00572CA5" w:rsidRPr="00E23CED" w:rsidRDefault="00572CA5" w:rsidP="00C427B9">
            <w:pPr>
              <w:pStyle w:val="TableText"/>
              <w:spacing w:before="40" w:after="40"/>
            </w:pPr>
            <w:r w:rsidRPr="00E23CED">
              <w:t>Macroinvertebrates </w:t>
            </w:r>
          </w:p>
        </w:tc>
        <w:tc>
          <w:tcPr>
            <w:tcW w:w="3544" w:type="dxa"/>
            <w:shd w:val="clear" w:color="auto" w:fill="auto"/>
          </w:tcPr>
          <w:p w14:paraId="288B64F1" w14:textId="7C274152" w:rsidR="00572CA5" w:rsidRPr="00E23CED" w:rsidRDefault="00572CA5" w:rsidP="00C427B9">
            <w:pPr>
              <w:pStyle w:val="TableText"/>
              <w:spacing w:before="40" w:after="40"/>
            </w:pPr>
            <w:r w:rsidRPr="00E23CED">
              <w:t xml:space="preserve">Macroinvertebrate </w:t>
            </w:r>
            <w:r w:rsidR="00E86DB0" w:rsidRPr="00E23CED">
              <w:t>c</w:t>
            </w:r>
            <w:r w:rsidRPr="00E23CED">
              <w:t xml:space="preserve">ommunity </w:t>
            </w:r>
            <w:r w:rsidR="00E86DB0" w:rsidRPr="00E23CED">
              <w:t>i</w:t>
            </w:r>
            <w:r w:rsidRPr="00E23CED">
              <w:t>ndex</w:t>
            </w:r>
            <w:r w:rsidR="00B11220">
              <w:t xml:space="preserve"> </w:t>
            </w:r>
          </w:p>
        </w:tc>
        <w:tc>
          <w:tcPr>
            <w:tcW w:w="1984" w:type="dxa"/>
            <w:shd w:val="clear" w:color="auto" w:fill="auto"/>
          </w:tcPr>
          <w:p w14:paraId="06AC2AF3" w14:textId="10B98761" w:rsidR="00572CA5" w:rsidRPr="00E23CED" w:rsidRDefault="00572CA5" w:rsidP="00C427B9">
            <w:pPr>
              <w:pStyle w:val="TableText"/>
              <w:spacing w:before="40" w:after="40"/>
            </w:pPr>
            <w:r w:rsidRPr="00E23CED">
              <w:t xml:space="preserve">Appendix 2B, </w:t>
            </w:r>
            <w:r w:rsidR="00345D82" w:rsidRPr="00E23CED">
              <w:t>t</w:t>
            </w:r>
            <w:r w:rsidRPr="00E23CED">
              <w:t>able 14 </w:t>
            </w:r>
          </w:p>
        </w:tc>
      </w:tr>
      <w:tr w:rsidR="00081A96" w:rsidRPr="00E23CED" w14:paraId="411DA506" w14:textId="77777777" w:rsidTr="00D72ECF">
        <w:tc>
          <w:tcPr>
            <w:tcW w:w="694" w:type="dxa"/>
          </w:tcPr>
          <w:p w14:paraId="754777BB" w14:textId="3398B1B0" w:rsidR="00572CA5" w:rsidRPr="00E23CED" w:rsidRDefault="00F22169" w:rsidP="00C427B9">
            <w:pPr>
              <w:pStyle w:val="TableText"/>
              <w:spacing w:before="40" w:after="40"/>
            </w:pPr>
            <w:r w:rsidRPr="00E23CED">
              <w:t>2020</w:t>
            </w:r>
          </w:p>
        </w:tc>
        <w:tc>
          <w:tcPr>
            <w:tcW w:w="2283" w:type="dxa"/>
          </w:tcPr>
          <w:p w14:paraId="51C92CC1" w14:textId="77777777" w:rsidR="00572CA5" w:rsidRPr="00E23CED" w:rsidRDefault="00572CA5" w:rsidP="00C427B9">
            <w:pPr>
              <w:pStyle w:val="TableText"/>
              <w:spacing w:before="40" w:after="40"/>
            </w:pPr>
            <w:r w:rsidRPr="00E23CED">
              <w:t>Macroinvertebrates </w:t>
            </w:r>
          </w:p>
        </w:tc>
        <w:tc>
          <w:tcPr>
            <w:tcW w:w="3544" w:type="dxa"/>
          </w:tcPr>
          <w:p w14:paraId="2DC6D0A4" w14:textId="279D4051" w:rsidR="00572CA5" w:rsidRPr="00E23CED" w:rsidRDefault="00572CA5" w:rsidP="00C427B9">
            <w:pPr>
              <w:pStyle w:val="TableText"/>
              <w:spacing w:before="40" w:after="40"/>
            </w:pPr>
            <w:r w:rsidRPr="00E23CED">
              <w:t xml:space="preserve">Quantitative </w:t>
            </w:r>
            <w:r w:rsidR="00E86DB0" w:rsidRPr="00E23CED">
              <w:t>m</w:t>
            </w:r>
            <w:r w:rsidRPr="00E23CED">
              <w:t xml:space="preserve">acroinvertebrate </w:t>
            </w:r>
            <w:r w:rsidR="00E86DB0" w:rsidRPr="00E23CED">
              <w:t>c</w:t>
            </w:r>
            <w:r w:rsidRPr="00E23CED">
              <w:t xml:space="preserve">ommunity </w:t>
            </w:r>
            <w:r w:rsidR="00E86DB0" w:rsidRPr="00E23CED">
              <w:t>i</w:t>
            </w:r>
            <w:r w:rsidRPr="00E23CED">
              <w:t>ndex</w:t>
            </w:r>
            <w:r w:rsidR="00B11220">
              <w:t xml:space="preserve"> </w:t>
            </w:r>
          </w:p>
        </w:tc>
        <w:tc>
          <w:tcPr>
            <w:tcW w:w="1984" w:type="dxa"/>
          </w:tcPr>
          <w:p w14:paraId="3F3EE5F7" w14:textId="4796F699" w:rsidR="00572CA5" w:rsidRPr="00E23CED" w:rsidRDefault="00572CA5" w:rsidP="00C427B9">
            <w:pPr>
              <w:pStyle w:val="TableText"/>
              <w:spacing w:before="40" w:after="40"/>
            </w:pPr>
            <w:r w:rsidRPr="00E23CED">
              <w:t xml:space="preserve">Appendix 2B, </w:t>
            </w:r>
            <w:r w:rsidR="00345D82" w:rsidRPr="00E23CED">
              <w:t>t</w:t>
            </w:r>
            <w:r w:rsidRPr="00E23CED">
              <w:t>able 14 </w:t>
            </w:r>
          </w:p>
        </w:tc>
      </w:tr>
      <w:tr w:rsidR="00081A96" w:rsidRPr="00E23CED" w14:paraId="32C7DB43" w14:textId="77777777" w:rsidTr="00D72ECF">
        <w:tc>
          <w:tcPr>
            <w:tcW w:w="694" w:type="dxa"/>
          </w:tcPr>
          <w:p w14:paraId="551F0D1B" w14:textId="179B7007" w:rsidR="00572CA5" w:rsidRPr="00E23CED" w:rsidRDefault="00F22169" w:rsidP="00C427B9">
            <w:pPr>
              <w:pStyle w:val="TableText"/>
              <w:spacing w:before="40" w:after="40"/>
            </w:pPr>
            <w:r w:rsidRPr="00E23CED">
              <w:t>2020</w:t>
            </w:r>
          </w:p>
        </w:tc>
        <w:tc>
          <w:tcPr>
            <w:tcW w:w="2283" w:type="dxa"/>
          </w:tcPr>
          <w:p w14:paraId="2346B73A" w14:textId="77777777" w:rsidR="00572CA5" w:rsidRPr="00E23CED" w:rsidRDefault="00572CA5" w:rsidP="00C427B9">
            <w:pPr>
              <w:pStyle w:val="TableText"/>
              <w:spacing w:before="40" w:after="40"/>
            </w:pPr>
            <w:r w:rsidRPr="00E23CED">
              <w:t>Macroinvertebrates </w:t>
            </w:r>
          </w:p>
        </w:tc>
        <w:tc>
          <w:tcPr>
            <w:tcW w:w="3544" w:type="dxa"/>
          </w:tcPr>
          <w:p w14:paraId="6AEFED8E" w14:textId="29A693EA" w:rsidR="00572CA5" w:rsidRPr="00E23CED" w:rsidRDefault="00572CA5" w:rsidP="00C427B9">
            <w:pPr>
              <w:pStyle w:val="TableText"/>
              <w:spacing w:before="40" w:after="40"/>
            </w:pPr>
            <w:r w:rsidRPr="00E23CED">
              <w:t xml:space="preserve">Macroinvertebrate </w:t>
            </w:r>
            <w:r w:rsidR="00E86DB0" w:rsidRPr="00E23CED">
              <w:t>a</w:t>
            </w:r>
            <w:r w:rsidRPr="00E23CED">
              <w:t xml:space="preserve">verage </w:t>
            </w:r>
            <w:r w:rsidR="00E86DB0" w:rsidRPr="00E23CED">
              <w:t>s</w:t>
            </w:r>
            <w:r w:rsidRPr="00E23CED">
              <w:t xml:space="preserve">core </w:t>
            </w:r>
            <w:r w:rsidR="00E86DB0" w:rsidRPr="00E23CED">
              <w:t>p</w:t>
            </w:r>
            <w:r w:rsidRPr="00E23CED">
              <w:t xml:space="preserve">er </w:t>
            </w:r>
            <w:r w:rsidR="00E86DB0" w:rsidRPr="00E23CED">
              <w:t>m</w:t>
            </w:r>
            <w:r w:rsidRPr="00E23CED">
              <w:t xml:space="preserve">etric </w:t>
            </w:r>
          </w:p>
        </w:tc>
        <w:tc>
          <w:tcPr>
            <w:tcW w:w="1984" w:type="dxa"/>
          </w:tcPr>
          <w:p w14:paraId="1179575A" w14:textId="6E83B54A" w:rsidR="00572CA5" w:rsidRPr="00E23CED" w:rsidRDefault="00572CA5" w:rsidP="00C427B9">
            <w:pPr>
              <w:pStyle w:val="TableText"/>
              <w:spacing w:before="40" w:after="40"/>
            </w:pPr>
            <w:r w:rsidRPr="00E23CED">
              <w:t xml:space="preserve">Appendix 2B, </w:t>
            </w:r>
            <w:r w:rsidR="00345D82" w:rsidRPr="00E23CED">
              <w:t>t</w:t>
            </w:r>
            <w:r w:rsidRPr="00E23CED">
              <w:t>able 15 </w:t>
            </w:r>
          </w:p>
        </w:tc>
      </w:tr>
      <w:tr w:rsidR="00081A96" w:rsidRPr="00E23CED" w14:paraId="3C7532FD" w14:textId="77777777" w:rsidTr="00D72ECF">
        <w:tc>
          <w:tcPr>
            <w:tcW w:w="694" w:type="dxa"/>
          </w:tcPr>
          <w:p w14:paraId="0CA76F20" w14:textId="56720887" w:rsidR="00572CA5" w:rsidRPr="00E23CED" w:rsidRDefault="00F22169" w:rsidP="00C427B9">
            <w:pPr>
              <w:pStyle w:val="TableText"/>
              <w:spacing w:before="40" w:after="40"/>
            </w:pPr>
            <w:r w:rsidRPr="00E23CED">
              <w:t>2020</w:t>
            </w:r>
          </w:p>
        </w:tc>
        <w:tc>
          <w:tcPr>
            <w:tcW w:w="2283" w:type="dxa"/>
          </w:tcPr>
          <w:p w14:paraId="0E5EDFE4" w14:textId="77777777" w:rsidR="00572CA5" w:rsidRPr="00E23CED" w:rsidRDefault="00572CA5" w:rsidP="00C427B9">
            <w:pPr>
              <w:pStyle w:val="TableText"/>
              <w:spacing w:before="40" w:after="40"/>
            </w:pPr>
            <w:r w:rsidRPr="00E23CED">
              <w:t>Ecosystem metabolism </w:t>
            </w:r>
          </w:p>
        </w:tc>
        <w:tc>
          <w:tcPr>
            <w:tcW w:w="3544" w:type="dxa"/>
          </w:tcPr>
          <w:p w14:paraId="68BFE952" w14:textId="32A7C5E5" w:rsidR="00572CA5" w:rsidRPr="00E23CED" w:rsidRDefault="00572CA5" w:rsidP="00C427B9">
            <w:pPr>
              <w:pStyle w:val="TableText"/>
              <w:spacing w:before="40" w:after="40"/>
            </w:pPr>
            <w:r w:rsidRPr="00E23CED">
              <w:t>Gross primary production (grams of dissolved oxygen per square metre per day) </w:t>
            </w:r>
          </w:p>
        </w:tc>
        <w:tc>
          <w:tcPr>
            <w:tcW w:w="1984" w:type="dxa"/>
          </w:tcPr>
          <w:p w14:paraId="2566D12C" w14:textId="4DCEBE4F" w:rsidR="00572CA5" w:rsidRPr="00E23CED" w:rsidRDefault="00572CA5" w:rsidP="00C427B9">
            <w:pPr>
              <w:pStyle w:val="TableText"/>
              <w:spacing w:before="40" w:after="40"/>
            </w:pPr>
            <w:r w:rsidRPr="00E23CED">
              <w:t xml:space="preserve">Appendix 2B, </w:t>
            </w:r>
            <w:r w:rsidR="00345D82" w:rsidRPr="00E23CED">
              <w:t>t</w:t>
            </w:r>
            <w:r w:rsidRPr="00E23CED">
              <w:t>able 21 </w:t>
            </w:r>
          </w:p>
        </w:tc>
      </w:tr>
      <w:tr w:rsidR="00081A96" w:rsidRPr="00E23CED" w14:paraId="3937FCEA" w14:textId="77777777" w:rsidTr="00D72ECF">
        <w:tc>
          <w:tcPr>
            <w:tcW w:w="694" w:type="dxa"/>
          </w:tcPr>
          <w:p w14:paraId="062117D3" w14:textId="6813CAD4" w:rsidR="00572CA5" w:rsidRPr="00E23CED" w:rsidRDefault="00F22169" w:rsidP="00C427B9">
            <w:pPr>
              <w:pStyle w:val="TableText"/>
              <w:spacing w:before="40" w:after="40"/>
            </w:pPr>
            <w:r w:rsidRPr="00E23CED">
              <w:t>2020</w:t>
            </w:r>
          </w:p>
        </w:tc>
        <w:tc>
          <w:tcPr>
            <w:tcW w:w="2283" w:type="dxa"/>
          </w:tcPr>
          <w:p w14:paraId="3E9BA5EF" w14:textId="77777777" w:rsidR="00572CA5" w:rsidRPr="00E23CED" w:rsidRDefault="00572CA5" w:rsidP="00C427B9">
            <w:pPr>
              <w:pStyle w:val="TableText"/>
              <w:spacing w:before="40" w:after="40"/>
            </w:pPr>
            <w:r w:rsidRPr="00E23CED">
              <w:t>Ecosystem metabolism </w:t>
            </w:r>
          </w:p>
        </w:tc>
        <w:tc>
          <w:tcPr>
            <w:tcW w:w="3544" w:type="dxa"/>
          </w:tcPr>
          <w:p w14:paraId="7439A913" w14:textId="583FE457" w:rsidR="00572CA5" w:rsidRPr="00E23CED" w:rsidRDefault="00572CA5" w:rsidP="00C427B9">
            <w:pPr>
              <w:pStyle w:val="TableText"/>
              <w:spacing w:before="40" w:after="40"/>
            </w:pPr>
            <w:r w:rsidRPr="00E23CED">
              <w:t>Ecosystem respiration (grams of dissolved oxygen per square metre per day) </w:t>
            </w:r>
          </w:p>
        </w:tc>
        <w:tc>
          <w:tcPr>
            <w:tcW w:w="1984" w:type="dxa"/>
          </w:tcPr>
          <w:p w14:paraId="63182347" w14:textId="0F67C23B" w:rsidR="00572CA5" w:rsidRPr="00E23CED" w:rsidRDefault="00572CA5" w:rsidP="00C427B9">
            <w:pPr>
              <w:pStyle w:val="TableText"/>
              <w:spacing w:before="40" w:after="40"/>
            </w:pPr>
            <w:r w:rsidRPr="00E23CED">
              <w:t xml:space="preserve">Appendix 2B, </w:t>
            </w:r>
            <w:r w:rsidR="00345D82" w:rsidRPr="00E23CED">
              <w:t>t</w:t>
            </w:r>
            <w:r w:rsidRPr="00E23CED">
              <w:t>able 21 </w:t>
            </w:r>
          </w:p>
        </w:tc>
      </w:tr>
      <w:tr w:rsidR="00081A96" w:rsidRPr="00E23CED" w14:paraId="67E05416" w14:textId="77777777" w:rsidTr="00D72ECF">
        <w:tc>
          <w:tcPr>
            <w:tcW w:w="694" w:type="dxa"/>
          </w:tcPr>
          <w:p w14:paraId="30670A16" w14:textId="28C9A673" w:rsidR="00572CA5" w:rsidRPr="00E23CED" w:rsidRDefault="00F22169" w:rsidP="00C427B9">
            <w:pPr>
              <w:pStyle w:val="TableText"/>
              <w:spacing w:before="40" w:after="40"/>
            </w:pPr>
            <w:r w:rsidRPr="00E23CED">
              <w:t>2020</w:t>
            </w:r>
            <w:r w:rsidR="00572CA5" w:rsidRPr="00E23CED">
              <w:t> </w:t>
            </w:r>
          </w:p>
        </w:tc>
        <w:tc>
          <w:tcPr>
            <w:tcW w:w="2283" w:type="dxa"/>
          </w:tcPr>
          <w:p w14:paraId="7BFACB6D" w14:textId="1B6A8BC8" w:rsidR="00572CA5" w:rsidRPr="00E23CED" w:rsidRDefault="00572CA5" w:rsidP="00C427B9">
            <w:pPr>
              <w:pStyle w:val="TableText"/>
              <w:spacing w:before="40" w:after="40"/>
            </w:pPr>
            <w:r w:rsidRPr="00E23CED">
              <w:t>Dissolved oxygen</w:t>
            </w:r>
            <w:r w:rsidR="00D72ECF" w:rsidRPr="00E23CED">
              <w:t xml:space="preserve"> </w:t>
            </w:r>
            <w:r w:rsidR="00BF7112" w:rsidRPr="00E23CED">
              <w:t>(all rivers)</w:t>
            </w:r>
          </w:p>
        </w:tc>
        <w:tc>
          <w:tcPr>
            <w:tcW w:w="3544" w:type="dxa"/>
          </w:tcPr>
          <w:p w14:paraId="5F5B01D7" w14:textId="77777777" w:rsidR="00572CA5" w:rsidRPr="00E23CED" w:rsidRDefault="00572CA5" w:rsidP="00C427B9">
            <w:pPr>
              <w:pStyle w:val="TableText"/>
              <w:spacing w:before="40" w:after="40"/>
            </w:pPr>
            <w:r w:rsidRPr="00E23CED">
              <w:t>Dissolved oxygen (milligrams per litre) </w:t>
            </w:r>
          </w:p>
        </w:tc>
        <w:tc>
          <w:tcPr>
            <w:tcW w:w="1984" w:type="dxa"/>
          </w:tcPr>
          <w:p w14:paraId="41628F04" w14:textId="1A9309A2" w:rsidR="00572CA5" w:rsidRPr="00E23CED" w:rsidRDefault="00572CA5" w:rsidP="00C427B9">
            <w:pPr>
              <w:pStyle w:val="TableText"/>
              <w:spacing w:before="40" w:after="40"/>
            </w:pPr>
            <w:r w:rsidRPr="00E23CED">
              <w:t xml:space="preserve">Appendix 2B, </w:t>
            </w:r>
            <w:r w:rsidR="00345D82" w:rsidRPr="00E23CED">
              <w:t>t</w:t>
            </w:r>
            <w:r w:rsidRPr="00E23CED">
              <w:t>able 17 </w:t>
            </w:r>
          </w:p>
        </w:tc>
      </w:tr>
    </w:tbl>
    <w:p w14:paraId="712BA3F2" w14:textId="1B18E998" w:rsidR="003439A0" w:rsidRPr="00E23CED" w:rsidRDefault="00835ABB" w:rsidP="00D72ECF">
      <w:pPr>
        <w:pStyle w:val="Heading3"/>
        <w:tabs>
          <w:tab w:val="clear" w:pos="851"/>
          <w:tab w:val="left" w:pos="964"/>
        </w:tabs>
        <w:spacing w:before="480"/>
      </w:pPr>
      <w:r w:rsidRPr="00E23CED">
        <w:t>3.3.3</w:t>
      </w:r>
      <w:r w:rsidR="00D72ECF" w:rsidRPr="00E23CED">
        <w:tab/>
      </w:r>
      <w:r w:rsidR="002963A4" w:rsidRPr="00E23CED">
        <w:t xml:space="preserve">Situations </w:t>
      </w:r>
      <w:r w:rsidR="00DF7E2B" w:rsidRPr="00E23CED">
        <w:t xml:space="preserve">where </w:t>
      </w:r>
      <w:r w:rsidR="002963A4" w:rsidRPr="00E23CED">
        <w:t>it may be appropriate to use b</w:t>
      </w:r>
      <w:r w:rsidR="00E048CB" w:rsidRPr="00E23CED">
        <w:t>a</w:t>
      </w:r>
      <w:r w:rsidR="002963A4" w:rsidRPr="00E23CED">
        <w:t>se</w:t>
      </w:r>
      <w:r w:rsidR="00E048CB" w:rsidRPr="00E23CED">
        <w:t>line concentrations as</w:t>
      </w:r>
      <w:r w:rsidR="00225D12" w:rsidRPr="00E23CED">
        <w:t xml:space="preserve"> nutrient </w:t>
      </w:r>
      <w:proofErr w:type="gramStart"/>
      <w:r w:rsidR="00225D12" w:rsidRPr="00E23CED">
        <w:t>criteria</w:t>
      </w:r>
      <w:proofErr w:type="gramEnd"/>
    </w:p>
    <w:p w14:paraId="755094C6" w14:textId="4C7AC600" w:rsidR="00C77516" w:rsidRPr="00E23CED" w:rsidRDefault="00C77516" w:rsidP="00D72ECF">
      <w:pPr>
        <w:pStyle w:val="BodyText"/>
      </w:pPr>
      <w:r w:rsidRPr="00E23CED">
        <w:t>Policy 5 of the NPS-FM requires that the health of degraded freshwater ecosystems be improved</w:t>
      </w:r>
      <w:r w:rsidR="00804ED1">
        <w:t>, where degraded means (among other things) a national bottom line or TAS is not being achieved</w:t>
      </w:r>
      <w:r w:rsidR="00614A50" w:rsidRPr="00E23CED">
        <w:t>. It also requires</w:t>
      </w:r>
      <w:r w:rsidR="00D4545F" w:rsidRPr="00E23CED">
        <w:t xml:space="preserve"> that</w:t>
      </w:r>
      <w:r w:rsidRPr="00E23CED">
        <w:t xml:space="preserve"> the health of all other freshwater ecosystems be at least maintained and improved</w:t>
      </w:r>
      <w:r w:rsidR="00CE46B9">
        <w:t xml:space="preserve">. </w:t>
      </w:r>
      <w:r w:rsidRPr="00E23CED">
        <w:t xml:space="preserve">TASs for ecosystem health must be set at or above national bottom lines and </w:t>
      </w:r>
      <w:r w:rsidR="00EB0D24" w:rsidRPr="00E23CED">
        <w:t xml:space="preserve">the </w:t>
      </w:r>
      <w:r w:rsidRPr="00E23CED">
        <w:t xml:space="preserve">baseline state for each attribute. </w:t>
      </w:r>
      <w:r w:rsidR="00E86DB0" w:rsidRPr="00E23CED">
        <w:t>W</w:t>
      </w:r>
      <w:r w:rsidRPr="00E23CED">
        <w:t xml:space="preserve">hen nutrient attributes and attributes affected by nutrients can be demonstrated to meet national bottom lines and the baseline </w:t>
      </w:r>
      <w:r w:rsidRPr="00E23CED">
        <w:rPr>
          <w:spacing w:val="-2"/>
        </w:rPr>
        <w:t>state defined for a</w:t>
      </w:r>
      <w:r w:rsidR="00E86DB0" w:rsidRPr="00E23CED">
        <w:rPr>
          <w:spacing w:val="-2"/>
        </w:rPr>
        <w:t>n</w:t>
      </w:r>
      <w:r w:rsidRPr="00E23CED">
        <w:rPr>
          <w:spacing w:val="-2"/>
        </w:rPr>
        <w:t xml:space="preserve"> FMU, and where the community has not chosen to improve those attributes,</w:t>
      </w:r>
      <w:r w:rsidRPr="00E23CED">
        <w:t xml:space="preserve"> it may be appropriate to adopt the baseline nutrient concentrations as nutrient criteria. </w:t>
      </w:r>
    </w:p>
    <w:p w14:paraId="2B97604B" w14:textId="056EAA71" w:rsidR="00D3610B" w:rsidRPr="00E23CED" w:rsidRDefault="00E86DB0" w:rsidP="00D72ECF">
      <w:pPr>
        <w:pStyle w:val="BodyText"/>
      </w:pPr>
      <w:r w:rsidRPr="00E23CED">
        <w:lastRenderedPageBreak/>
        <w:t>W</w:t>
      </w:r>
      <w:r w:rsidR="00C77516" w:rsidRPr="00E23CED">
        <w:t xml:space="preserve">hen a TAS for a nutrient attribute or an attribute affected by nutrients is not being met in an </w:t>
      </w:r>
      <w:r w:rsidR="00C77516" w:rsidRPr="00E23CED">
        <w:rPr>
          <w:spacing w:val="-2"/>
        </w:rPr>
        <w:t xml:space="preserve">FMU (ie, it is degraded), </w:t>
      </w:r>
      <w:r w:rsidR="00E4049E" w:rsidRPr="00E23CED">
        <w:rPr>
          <w:spacing w:val="-2"/>
        </w:rPr>
        <w:t xml:space="preserve">the regional council will need to establish </w:t>
      </w:r>
      <w:r w:rsidR="00C77516" w:rsidRPr="00E23CED">
        <w:rPr>
          <w:spacing w:val="-2"/>
        </w:rPr>
        <w:t>nutrient criteria expected to achieve the TAS.</w:t>
      </w:r>
    </w:p>
    <w:p w14:paraId="69229180" w14:textId="0D4516DB" w:rsidR="003D0743" w:rsidRPr="00E23CED" w:rsidRDefault="003D0743" w:rsidP="00D72ECF">
      <w:pPr>
        <w:pStyle w:val="Heading3"/>
        <w:tabs>
          <w:tab w:val="clear" w:pos="851"/>
          <w:tab w:val="left" w:pos="964"/>
        </w:tabs>
        <w:spacing w:before="480"/>
      </w:pPr>
      <w:bookmarkStart w:id="58" w:name="_3.3.4__Options"/>
      <w:bookmarkStart w:id="59" w:name="_Ref140424386"/>
      <w:bookmarkEnd w:id="58"/>
      <w:r w:rsidRPr="00E23CED">
        <w:t>3.3.</w:t>
      </w:r>
      <w:r w:rsidR="00773567" w:rsidRPr="00E23CED">
        <w:t>4</w:t>
      </w:r>
      <w:r w:rsidRPr="00E23CED">
        <w:t xml:space="preserve"> </w:t>
      </w:r>
      <w:r w:rsidR="00D72ECF" w:rsidRPr="00E23CED">
        <w:tab/>
      </w:r>
      <w:r w:rsidRPr="00E23CED">
        <w:t>Options for nutrient criteria for other attributes</w:t>
      </w:r>
      <w:bookmarkEnd w:id="59"/>
      <w:r w:rsidR="0007264B" w:rsidRPr="00E23CED">
        <w:t xml:space="preserve"> </w:t>
      </w:r>
    </w:p>
    <w:p w14:paraId="387F3212" w14:textId="4DA49338" w:rsidR="00572CA5" w:rsidRPr="00E23CED" w:rsidRDefault="00572CA5" w:rsidP="00572CA5">
      <w:pPr>
        <w:pStyle w:val="BodyText"/>
      </w:pPr>
      <w:r w:rsidRPr="00E23CED">
        <w:t xml:space="preserve">The guidance in </w:t>
      </w:r>
      <w:r w:rsidR="00E86DB0" w:rsidRPr="00E23CED">
        <w:t>Ministry for the Environment</w:t>
      </w:r>
      <w:r w:rsidRPr="00E23CED">
        <w:t xml:space="preserve"> (2022b) </w:t>
      </w:r>
      <w:r w:rsidR="00604F7C" w:rsidRPr="00E23CED">
        <w:t xml:space="preserve">sets out </w:t>
      </w:r>
      <w:r w:rsidRPr="00E23CED">
        <w:t xml:space="preserve">first steps towards managing nutrient impacts </w:t>
      </w:r>
      <w:r w:rsidR="00B41FD9" w:rsidRPr="00E23CED">
        <w:t xml:space="preserve">on, </w:t>
      </w:r>
      <w:r w:rsidR="000F2FC2" w:rsidRPr="00E23CED">
        <w:t xml:space="preserve">and setting nutrient criteria </w:t>
      </w:r>
      <w:r w:rsidR="00B41FD9" w:rsidRPr="00E23CED">
        <w:t>for,</w:t>
      </w:r>
      <w:r w:rsidRPr="00E23CED">
        <w:t xml:space="preserve"> </w:t>
      </w:r>
      <w:r w:rsidR="00B047F9" w:rsidRPr="00E23CED">
        <w:t>nutrient or</w:t>
      </w:r>
      <w:r w:rsidRPr="00E23CED">
        <w:t xml:space="preserve"> nutrient-affected attributes.</w:t>
      </w:r>
    </w:p>
    <w:p w14:paraId="4E4C1030" w14:textId="6310DE3D" w:rsidR="00572CA5" w:rsidRPr="00E23CED" w:rsidRDefault="00E86DB0" w:rsidP="00572CA5">
      <w:pPr>
        <w:pStyle w:val="BodyText"/>
        <w:keepNext/>
        <w:keepLines/>
      </w:pPr>
      <w:r w:rsidRPr="00E23CED">
        <w:t>Ministry for the Environment</w:t>
      </w:r>
      <w:r w:rsidR="00572CA5" w:rsidRPr="00E23CED">
        <w:t xml:space="preserve"> (2022b) is divided into two sections. </w:t>
      </w:r>
    </w:p>
    <w:p w14:paraId="7E6745FF" w14:textId="2758E0C4" w:rsidR="00572CA5" w:rsidRPr="00E23CED" w:rsidRDefault="00572CA5" w:rsidP="00DC6328">
      <w:pPr>
        <w:pStyle w:val="Bullet"/>
        <w:rPr>
          <w:szCs w:val="22"/>
        </w:rPr>
      </w:pPr>
      <w:r w:rsidRPr="00E23CED">
        <w:t>Attributes and their relationship with nutrients</w:t>
      </w:r>
      <w:r w:rsidR="00E86DB0" w:rsidRPr="00E23CED">
        <w:t>:</w:t>
      </w:r>
      <w:r w:rsidRPr="00E23CED">
        <w:t xml:space="preserve"> this section </w:t>
      </w:r>
      <w:r w:rsidR="00B74AE0" w:rsidRPr="00E23CED">
        <w:t xml:space="preserve">gives </w:t>
      </w:r>
      <w:r w:rsidRPr="00E23CED">
        <w:t xml:space="preserve">an overview of the relationships between instream nutrient concentrations </w:t>
      </w:r>
      <w:r w:rsidR="00B778A0" w:rsidRPr="00E23CED">
        <w:t xml:space="preserve">and </w:t>
      </w:r>
      <w:r w:rsidRPr="00E23CED">
        <w:t>attributes affected by nutrients</w:t>
      </w:r>
      <w:r w:rsidR="00B778A0" w:rsidRPr="00E23CED">
        <w:t>.</w:t>
      </w:r>
      <w:r w:rsidR="003A399A" w:rsidRPr="00E23CED">
        <w:rPr>
          <w:szCs w:val="22"/>
        </w:rPr>
        <w:t xml:space="preserve"> </w:t>
      </w:r>
      <w:bookmarkStart w:id="60" w:name="_Hlk131578392"/>
      <w:r w:rsidR="003A399A" w:rsidRPr="00E23CED">
        <w:rPr>
          <w:szCs w:val="22"/>
        </w:rPr>
        <w:t xml:space="preserve">It contains information needed to understand the non-trivial nature of developing ICTs to satisfy </w:t>
      </w:r>
      <w:r w:rsidR="00E86DB0" w:rsidRPr="00E23CED">
        <w:rPr>
          <w:szCs w:val="22"/>
        </w:rPr>
        <w:t>c</w:t>
      </w:r>
      <w:r w:rsidR="00096648" w:rsidRPr="00E23CED">
        <w:rPr>
          <w:szCs w:val="22"/>
        </w:rPr>
        <w:t>lause</w:t>
      </w:r>
      <w:r w:rsidR="003A399A" w:rsidRPr="00E23CED">
        <w:rPr>
          <w:szCs w:val="22"/>
        </w:rPr>
        <w:t xml:space="preserve"> 3.13 of the NPS-FM</w:t>
      </w:r>
      <w:r w:rsidR="00EB00B5" w:rsidRPr="00E23CED">
        <w:rPr>
          <w:szCs w:val="22"/>
        </w:rPr>
        <w:t>. It also</w:t>
      </w:r>
      <w:r w:rsidR="003A399A" w:rsidRPr="00E23CED">
        <w:rPr>
          <w:szCs w:val="22"/>
        </w:rPr>
        <w:t xml:space="preserve"> highlights </w:t>
      </w:r>
      <w:r w:rsidR="00A9441B" w:rsidRPr="00E23CED">
        <w:rPr>
          <w:szCs w:val="22"/>
        </w:rPr>
        <w:t xml:space="preserve">lack of knowledge about the basic causal mechanisms by which nutrients affect river ecology. </w:t>
      </w:r>
    </w:p>
    <w:bookmarkEnd w:id="60"/>
    <w:p w14:paraId="0E5BFA3C" w14:textId="26AE1208" w:rsidR="00572CA5" w:rsidRPr="00E23CED" w:rsidRDefault="00572CA5" w:rsidP="00D72ECF">
      <w:pPr>
        <w:pStyle w:val="Bullet"/>
      </w:pPr>
      <w:r w:rsidRPr="00E23CED">
        <w:t>Setting nutrient exceedance criteria</w:t>
      </w:r>
      <w:r w:rsidR="00E86DB0" w:rsidRPr="00E23CED">
        <w:t>:</w:t>
      </w:r>
      <w:r w:rsidRPr="00E23CED">
        <w:t xml:space="preserve"> this section presents strategies to set ICTs for attributes affected by nutrients in rivers. </w:t>
      </w:r>
    </w:p>
    <w:p w14:paraId="5CA09644" w14:textId="43B016E0" w:rsidR="00572CA5" w:rsidRPr="00E23CED" w:rsidRDefault="00E86DB0" w:rsidP="00D72ECF">
      <w:pPr>
        <w:pStyle w:val="BodyText"/>
      </w:pPr>
      <w:bookmarkStart w:id="61" w:name="_Hlk131575837"/>
      <w:r w:rsidRPr="00E23CED">
        <w:rPr>
          <w:spacing w:val="-2"/>
        </w:rPr>
        <w:t>Ministry for the Environment</w:t>
      </w:r>
      <w:r w:rsidR="00572CA5" w:rsidRPr="00E23CED">
        <w:rPr>
          <w:spacing w:val="-2"/>
        </w:rPr>
        <w:t xml:space="preserve"> </w:t>
      </w:r>
      <w:r w:rsidR="00623BE3" w:rsidRPr="00E23CED">
        <w:rPr>
          <w:spacing w:val="-2"/>
        </w:rPr>
        <w:t>(</w:t>
      </w:r>
      <w:r w:rsidR="00572CA5" w:rsidRPr="00E23CED">
        <w:rPr>
          <w:spacing w:val="-2"/>
        </w:rPr>
        <w:t>2022b</w:t>
      </w:r>
      <w:r w:rsidR="00623BE3" w:rsidRPr="00E23CED">
        <w:rPr>
          <w:spacing w:val="-2"/>
        </w:rPr>
        <w:t>)</w:t>
      </w:r>
      <w:r w:rsidR="00572CA5" w:rsidRPr="00E23CED">
        <w:rPr>
          <w:spacing w:val="-2"/>
        </w:rPr>
        <w:t xml:space="preserve"> </w:t>
      </w:r>
      <w:bookmarkEnd w:id="61"/>
      <w:r w:rsidR="00572CA5" w:rsidRPr="00E23CED">
        <w:rPr>
          <w:spacing w:val="-2"/>
        </w:rPr>
        <w:t>presents a qualitative and subjective evaluation of factors affecting the sensitivity of individual attributes to nutrient enrichment</w:t>
      </w:r>
      <w:r w:rsidRPr="00E23CED">
        <w:rPr>
          <w:spacing w:val="-2"/>
        </w:rPr>
        <w:t>,</w:t>
      </w:r>
      <w:r w:rsidR="00572CA5" w:rsidRPr="00E23CED">
        <w:rPr>
          <w:spacing w:val="-2"/>
        </w:rPr>
        <w:t xml:space="preserve"> based on established</w:t>
      </w:r>
      <w:r w:rsidR="00572CA5" w:rsidRPr="00E23CED">
        <w:t xml:space="preserve"> and recent research on ecosystem constituents represented by the NPS-FM attributes.</w:t>
      </w:r>
    </w:p>
    <w:p w14:paraId="1337327F" w14:textId="556A695D" w:rsidR="00572CA5" w:rsidRPr="00E23CED" w:rsidRDefault="00E86DB0" w:rsidP="00D72ECF">
      <w:pPr>
        <w:pStyle w:val="BodyText"/>
      </w:pPr>
      <w:r w:rsidRPr="00E23CED">
        <w:t>Ministry for the Environment</w:t>
      </w:r>
      <w:r w:rsidR="00572CA5" w:rsidRPr="00E23CED">
        <w:t xml:space="preserve"> (2022b) first provide</w:t>
      </w:r>
      <w:r w:rsidRPr="00E23CED">
        <w:t>s</w:t>
      </w:r>
      <w:r w:rsidR="00572CA5" w:rsidRPr="00E23CED">
        <w:t xml:space="preserve"> a brief literature review of the effects of nutrients on the ecosystem constituents represented by the NPS-FM attributes affected by nutrients (ie, periphyton (algae and heterotrophic microbes), macroinvertebrate and fish communities, dissolved oxygen, ecosystem metabolism). The second step focus</w:t>
      </w:r>
      <w:r w:rsidRPr="00E23CED">
        <w:t>es</w:t>
      </w:r>
      <w:r w:rsidR="00572CA5" w:rsidRPr="00E23CED">
        <w:t xml:space="preserve"> on </w:t>
      </w:r>
      <w:bookmarkStart w:id="62" w:name="_Hlk131576407"/>
      <w:r w:rsidR="00572CA5" w:rsidRPr="00E23CED">
        <w:t xml:space="preserve">the </w:t>
      </w:r>
      <w:r w:rsidR="005E7477" w:rsidRPr="00E23CED">
        <w:t xml:space="preserve">metric defined in the </w:t>
      </w:r>
      <w:r w:rsidR="00572CA5" w:rsidRPr="00E23CED">
        <w:t>attributes (</w:t>
      </w:r>
      <w:r w:rsidR="006678C2" w:rsidRPr="00E23CED">
        <w:t>eg</w:t>
      </w:r>
      <w:r w:rsidR="00572CA5" w:rsidRPr="00E23CED">
        <w:t xml:space="preserve">, </w:t>
      </w:r>
      <w:r w:rsidR="005E7477" w:rsidRPr="00E23CED">
        <w:t xml:space="preserve">92nd percentile of </w:t>
      </w:r>
      <w:r w:rsidR="00572CA5" w:rsidRPr="00E23CED">
        <w:t xml:space="preserve">chl-a, </w:t>
      </w:r>
      <w:r w:rsidR="005E7477" w:rsidRPr="00E23CED">
        <w:t xml:space="preserve">median </w:t>
      </w:r>
      <w:r w:rsidR="00572CA5" w:rsidRPr="00E23CED">
        <w:t>MCI</w:t>
      </w:r>
      <w:r w:rsidR="005E7477" w:rsidRPr="00E23CED">
        <w:t xml:space="preserve"> and </w:t>
      </w:r>
      <w:r w:rsidR="002829F1" w:rsidRPr="00E23CED">
        <w:t>quantitative macroinvertebrate community index</w:t>
      </w:r>
      <w:r w:rsidR="00572CA5" w:rsidRPr="00E23CED">
        <w:t xml:space="preserve">). </w:t>
      </w:r>
      <w:bookmarkEnd w:id="62"/>
      <w:r w:rsidR="00572CA5" w:rsidRPr="00E23CED">
        <w:t>Based on</w:t>
      </w:r>
      <w:r w:rsidR="00D57DE5" w:rsidRPr="00E23CED">
        <w:t> </w:t>
      </w:r>
      <w:r w:rsidR="00572CA5" w:rsidRPr="00E23CED">
        <w:t>the literature review</w:t>
      </w:r>
      <w:r w:rsidRPr="00E23CED">
        <w:t>,</w:t>
      </w:r>
      <w:r w:rsidR="00572CA5" w:rsidRPr="00E23CED">
        <w:t xml:space="preserve"> the report considered how each attribute metric is related to nutrient concentrations. </w:t>
      </w:r>
    </w:p>
    <w:p w14:paraId="39D77941" w14:textId="07C5711F" w:rsidR="00C718E7" w:rsidRPr="00E23CED" w:rsidRDefault="00572CA5" w:rsidP="00D72ECF">
      <w:pPr>
        <w:pStyle w:val="BodyText"/>
      </w:pPr>
      <w:r w:rsidRPr="00E23CED">
        <w:t xml:space="preserve">As </w:t>
      </w:r>
      <w:r w:rsidR="00DC5FF6" w:rsidRPr="00E23CED">
        <w:t xml:space="preserve">shown </w:t>
      </w:r>
      <w:r w:rsidRPr="00E23CED">
        <w:t>in</w:t>
      </w:r>
      <w:r w:rsidR="00445EB7" w:rsidRPr="00E23CED">
        <w:t xml:space="preserve"> </w:t>
      </w:r>
      <w:r w:rsidR="00445EB7" w:rsidRPr="00E23CED">
        <w:fldChar w:fldCharType="begin"/>
      </w:r>
      <w:r w:rsidR="00445EB7" w:rsidRPr="00E23CED">
        <w:instrText xml:space="preserve"> REF _Ref135042289 \h </w:instrText>
      </w:r>
      <w:r w:rsidR="0029239E" w:rsidRPr="00E23CED">
        <w:instrText xml:space="preserve"> \* MERGEFORMAT </w:instrText>
      </w:r>
      <w:r w:rsidR="00445EB7" w:rsidRPr="00E23CED">
        <w:fldChar w:fldCharType="separate"/>
      </w:r>
      <w:r w:rsidR="00FA0487" w:rsidRPr="00E23CED">
        <w:t xml:space="preserve">Figure </w:t>
      </w:r>
      <w:r w:rsidR="00FA0487">
        <w:t>4</w:t>
      </w:r>
      <w:r w:rsidR="00445EB7" w:rsidRPr="00E23CED">
        <w:fldChar w:fldCharType="end"/>
      </w:r>
      <w:r w:rsidRPr="00E23CED">
        <w:t xml:space="preserve">, periphyton </w:t>
      </w:r>
      <w:r w:rsidR="005E7477" w:rsidRPr="00E23CED">
        <w:t>may be</w:t>
      </w:r>
      <w:r w:rsidRPr="00E23CED">
        <w:t xml:space="preserve"> the </w:t>
      </w:r>
      <w:bookmarkStart w:id="63" w:name="_Hlk131576190"/>
      <w:r w:rsidR="005E7477" w:rsidRPr="00E23CED">
        <w:t>NOF attribute</w:t>
      </w:r>
      <w:r w:rsidRPr="00E23CED">
        <w:t xml:space="preserve"> most directly affected by nutrient concentrations in waterways</w:t>
      </w:r>
      <w:r w:rsidR="005E7477" w:rsidRPr="00E23CED">
        <w:t>, although the relationship is far from straightforward (see</w:t>
      </w:r>
      <w:r w:rsidR="007C1552" w:rsidRPr="00E23CED">
        <w:t xml:space="preserve"> </w:t>
      </w:r>
      <w:hyperlink w:anchor="_3.3.4__Options" w:history="1">
        <w:r w:rsidR="007C1552" w:rsidRPr="00E23CED">
          <w:rPr>
            <w:rStyle w:val="Hyperlink"/>
          </w:rPr>
          <w:t>section 3.3.4 Options for nutrient criteria for other attributes</w:t>
        </w:r>
      </w:hyperlink>
      <w:r w:rsidR="005E7477" w:rsidRPr="00E23CED">
        <w:t xml:space="preserve">). Nevertheless, </w:t>
      </w:r>
      <w:r w:rsidR="5E488276" w:rsidRPr="00E23CED">
        <w:t>most</w:t>
      </w:r>
      <w:r w:rsidRPr="00E23CED">
        <w:t xml:space="preserve"> ecosystem constituents relate to periphyton in some way.</w:t>
      </w:r>
      <w:bookmarkEnd w:id="63"/>
    </w:p>
    <w:p w14:paraId="4BF35FAB" w14:textId="20A5D962" w:rsidR="00572CA5" w:rsidRPr="00E23CED" w:rsidRDefault="00572CA5" w:rsidP="00572CA5">
      <w:pPr>
        <w:pStyle w:val="BodyText"/>
      </w:pPr>
      <w:r w:rsidRPr="00E23CED">
        <w:t xml:space="preserve">Section </w:t>
      </w:r>
      <w:r w:rsidR="003A399A" w:rsidRPr="00E23CED">
        <w:t>3</w:t>
      </w:r>
      <w:r w:rsidRPr="00E23CED">
        <w:t xml:space="preserve"> of </w:t>
      </w:r>
      <w:r w:rsidR="00DC5FF6" w:rsidRPr="00E23CED">
        <w:t>Ministry for the Environment</w:t>
      </w:r>
      <w:r w:rsidRPr="00E23CED">
        <w:t xml:space="preserve"> (2022</w:t>
      </w:r>
      <w:r w:rsidR="003A399A" w:rsidRPr="00E23CED">
        <w:t>b</w:t>
      </w:r>
      <w:r w:rsidRPr="00E23CED">
        <w:t>) focuses on: </w:t>
      </w:r>
    </w:p>
    <w:p w14:paraId="52A9EEDF" w14:textId="16908C54" w:rsidR="00572CA5" w:rsidRPr="00E23CED" w:rsidRDefault="00A153A5" w:rsidP="00D72ECF">
      <w:pPr>
        <w:pStyle w:val="Bullet"/>
      </w:pPr>
      <w:r w:rsidRPr="00E23CED">
        <w:t>d</w:t>
      </w:r>
      <w:r w:rsidR="00572CA5" w:rsidRPr="00E23CED">
        <w:t>escribing</w:t>
      </w:r>
      <w:r w:rsidR="006342D2" w:rsidRPr="00E23CED">
        <w:t xml:space="preserve"> four</w:t>
      </w:r>
      <w:r w:rsidR="00572CA5" w:rsidRPr="00E23CED">
        <w:t xml:space="preserve"> strategies</w:t>
      </w:r>
      <w:r w:rsidR="0065524E" w:rsidRPr="00E23CED">
        <w:rPr>
          <w:rStyle w:val="FootnoteReference"/>
        </w:rPr>
        <w:footnoteReference w:id="7"/>
      </w:r>
      <w:r w:rsidR="00572CA5" w:rsidRPr="00E23CED">
        <w:t xml:space="preserve"> that could be implemented to set ICTs for </w:t>
      </w:r>
      <w:r w:rsidR="00DC5FF6" w:rsidRPr="00E23CED">
        <w:t>dissolved inorganic nitrogen (</w:t>
      </w:r>
      <w:r w:rsidR="00572CA5" w:rsidRPr="00E23CED">
        <w:t>DIN</w:t>
      </w:r>
      <w:r w:rsidR="00DC5FF6" w:rsidRPr="00E23CED">
        <w:t>)</w:t>
      </w:r>
      <w:r w:rsidR="00572CA5" w:rsidRPr="00E23CED">
        <w:t xml:space="preserve"> and </w:t>
      </w:r>
      <w:r w:rsidR="00DC5FF6" w:rsidRPr="00E23CED">
        <w:t>dissolved reactive phosphorus (</w:t>
      </w:r>
      <w:r w:rsidR="00572CA5" w:rsidRPr="00E23CED">
        <w:t>DRP</w:t>
      </w:r>
      <w:r w:rsidR="00DC5FF6" w:rsidRPr="00E23CED">
        <w:t>)</w:t>
      </w:r>
      <w:r w:rsidR="00662A13" w:rsidRPr="00E23CED">
        <w:rPr>
          <w:rStyle w:val="FootnoteReference"/>
        </w:rPr>
        <w:footnoteReference w:id="8"/>
      </w:r>
      <w:r w:rsidR="00572CA5" w:rsidRPr="00E23CED">
        <w:t xml:space="preserve"> within </w:t>
      </w:r>
      <w:proofErr w:type="gramStart"/>
      <w:r w:rsidR="00572CA5" w:rsidRPr="00E23CED">
        <w:t>regions</w:t>
      </w:r>
      <w:proofErr w:type="gramEnd"/>
      <w:r w:rsidR="00572CA5" w:rsidRPr="00E23CED">
        <w:t> </w:t>
      </w:r>
    </w:p>
    <w:p w14:paraId="5C3DD35A" w14:textId="1591475E" w:rsidR="00572CA5" w:rsidRPr="00E23CED" w:rsidRDefault="00572CA5" w:rsidP="00572CA5">
      <w:pPr>
        <w:pStyle w:val="Bullet"/>
      </w:pPr>
      <w:r w:rsidRPr="00E23CED">
        <w:t xml:space="preserve">outlining the consequences and trade-offs </w:t>
      </w:r>
      <w:r w:rsidR="00DC5FF6" w:rsidRPr="00E23CED">
        <w:t>of</w:t>
      </w:r>
      <w:r w:rsidRPr="00E23CED">
        <w:t xml:space="preserve"> choosing one strategy over another</w:t>
      </w:r>
    </w:p>
    <w:p w14:paraId="4AE20494" w14:textId="016B8E8F" w:rsidR="00572CA5" w:rsidRPr="00E23CED" w:rsidRDefault="00572CA5" w:rsidP="00572CA5">
      <w:pPr>
        <w:pStyle w:val="Bullet"/>
      </w:pPr>
      <w:r w:rsidRPr="00E23CED">
        <w:t xml:space="preserve">presenting methods that may facilitate implementing individual strategies, as well as choosing among </w:t>
      </w:r>
      <w:r w:rsidR="00DC5FF6" w:rsidRPr="00E23CED">
        <w:t xml:space="preserve">other </w:t>
      </w:r>
      <w:proofErr w:type="gramStart"/>
      <w:r w:rsidRPr="00E23CED">
        <w:t>strategies</w:t>
      </w:r>
      <w:proofErr w:type="gramEnd"/>
    </w:p>
    <w:p w14:paraId="5BD67649" w14:textId="550FFC03" w:rsidR="00572CA5" w:rsidRPr="00E23CED" w:rsidRDefault="00572CA5" w:rsidP="00D72ECF">
      <w:pPr>
        <w:pStyle w:val="Bullet"/>
      </w:pPr>
      <w:r w:rsidRPr="00E23CED">
        <w:lastRenderedPageBreak/>
        <w:t xml:space="preserve">offering recommendations </w:t>
      </w:r>
      <w:r w:rsidR="00DC5FF6" w:rsidRPr="00E23CED">
        <w:t xml:space="preserve">on </w:t>
      </w:r>
      <w:r w:rsidRPr="00E23CED">
        <w:t>how each strategy might be implemented, as well as recommending a pragmatic strategy as a starting point for implementin</w:t>
      </w:r>
      <w:r w:rsidR="00DC5FF6" w:rsidRPr="00E23CED">
        <w:t>g</w:t>
      </w:r>
      <w:r w:rsidRPr="00E23CED">
        <w:t xml:space="preserve"> </w:t>
      </w:r>
      <w:r w:rsidR="00DC5FF6" w:rsidRPr="00E23CED">
        <w:t>c</w:t>
      </w:r>
      <w:r w:rsidR="00096648" w:rsidRPr="00E23CED">
        <w:t>lause</w:t>
      </w:r>
      <w:r w:rsidRPr="00E23CED">
        <w:t xml:space="preserve"> 3.13 of</w:t>
      </w:r>
      <w:r w:rsidR="001E34FE">
        <w:t> </w:t>
      </w:r>
      <w:r w:rsidRPr="00E23CED">
        <w:t>the NPS-FM.</w:t>
      </w:r>
    </w:p>
    <w:p w14:paraId="75D5E408" w14:textId="1A2845D0" w:rsidR="00CF3FE6" w:rsidRPr="00E23CED" w:rsidRDefault="00572CA5" w:rsidP="00572CA5">
      <w:pPr>
        <w:pStyle w:val="BodyText"/>
      </w:pPr>
      <w:r w:rsidRPr="00E23CED">
        <w:t>The</w:t>
      </w:r>
      <w:r w:rsidR="00B9002C" w:rsidRPr="00E23CED">
        <w:t xml:space="preserve"> choice of</w:t>
      </w:r>
      <w:r w:rsidRPr="00E23CED">
        <w:t xml:space="preserve"> strategies recognise</w:t>
      </w:r>
      <w:r w:rsidR="00B9002C" w:rsidRPr="00E23CED">
        <w:t>s</w:t>
      </w:r>
      <w:r w:rsidRPr="00E23CED">
        <w:t xml:space="preserve"> that the amount of information available to councils varies across regions (</w:t>
      </w:r>
      <w:r w:rsidR="00DC5FF6" w:rsidRPr="00E23CED">
        <w:t>c</w:t>
      </w:r>
      <w:r w:rsidR="00096648" w:rsidRPr="00E23CED">
        <w:t>lause</w:t>
      </w:r>
      <w:r w:rsidRPr="00E23CED">
        <w:t xml:space="preserve"> 1.6 of the NPS-FM), as do technical capability and fiscal capacity to </w:t>
      </w:r>
      <w:r w:rsidRPr="00E23CED">
        <w:rPr>
          <w:spacing w:val="-2"/>
        </w:rPr>
        <w:t xml:space="preserve">implement </w:t>
      </w:r>
      <w:r w:rsidR="00DC5FF6" w:rsidRPr="00E23CED">
        <w:rPr>
          <w:spacing w:val="-2"/>
        </w:rPr>
        <w:t>c</w:t>
      </w:r>
      <w:r w:rsidR="00096648" w:rsidRPr="00E23CED">
        <w:rPr>
          <w:spacing w:val="-2"/>
        </w:rPr>
        <w:t>lause</w:t>
      </w:r>
      <w:r w:rsidRPr="00E23CED">
        <w:rPr>
          <w:spacing w:val="-2"/>
        </w:rPr>
        <w:t xml:space="preserve"> 3.13 (</w:t>
      </w:r>
      <w:r w:rsidR="00DC5FF6" w:rsidRPr="00E23CED">
        <w:rPr>
          <w:spacing w:val="-2"/>
        </w:rPr>
        <w:t>that is</w:t>
      </w:r>
      <w:r w:rsidRPr="00E23CED">
        <w:rPr>
          <w:spacing w:val="-2"/>
        </w:rPr>
        <w:t xml:space="preserve">, </w:t>
      </w:r>
      <w:r w:rsidR="00134F74" w:rsidRPr="00E23CED">
        <w:rPr>
          <w:spacing w:val="-2"/>
        </w:rPr>
        <w:t xml:space="preserve">to </w:t>
      </w:r>
      <w:r w:rsidRPr="00E23CED">
        <w:rPr>
          <w:spacing w:val="-2"/>
        </w:rPr>
        <w:t xml:space="preserve">set ICTs) </w:t>
      </w:r>
      <w:r w:rsidR="00DC5FF6" w:rsidRPr="00E23CED">
        <w:rPr>
          <w:spacing w:val="-2"/>
        </w:rPr>
        <w:t>before</w:t>
      </w:r>
      <w:r w:rsidRPr="00E23CED">
        <w:rPr>
          <w:spacing w:val="-2"/>
        </w:rPr>
        <w:t xml:space="preserve"> regional plan notification by December 2024</w:t>
      </w:r>
      <w:r w:rsidRPr="00E23CED">
        <w:t>.</w:t>
      </w:r>
      <w:r w:rsidR="005A641C" w:rsidRPr="00E23CED">
        <w:t xml:space="preserve"> </w:t>
      </w:r>
    </w:p>
    <w:p w14:paraId="1DDA577A" w14:textId="3D73981F" w:rsidR="00923FF5" w:rsidRPr="00E23CED" w:rsidRDefault="00CF3FE6" w:rsidP="00A95A36">
      <w:pPr>
        <w:pStyle w:val="BodyText"/>
        <w:spacing w:after="240"/>
      </w:pPr>
      <w:r w:rsidRPr="00E23CED">
        <w:t xml:space="preserve">For councils not already well advanced in </w:t>
      </w:r>
      <w:r w:rsidR="00AC5E16" w:rsidRPr="00E23CED">
        <w:t xml:space="preserve">developing nutrient criteria for </w:t>
      </w:r>
      <w:r w:rsidR="00503347" w:rsidRPr="00E23CED">
        <w:t xml:space="preserve">rivers, </w:t>
      </w:r>
      <w:r w:rsidR="00923FF5" w:rsidRPr="00E23CED">
        <w:t>one approach for</w:t>
      </w:r>
      <w:r w:rsidR="00B735A8" w:rsidRPr="00E23CED">
        <w:t xml:space="preserve"> developing 2024 plans </w:t>
      </w:r>
      <w:r w:rsidR="00503347" w:rsidRPr="00E23CED">
        <w:t xml:space="preserve">is to follow </w:t>
      </w:r>
      <w:r w:rsidR="00DC5FF6" w:rsidRPr="00E23CED">
        <w:t>s</w:t>
      </w:r>
      <w:r w:rsidR="00503347" w:rsidRPr="00E23CED">
        <w:t>trategy 1</w:t>
      </w:r>
      <w:r w:rsidR="00DC5FF6" w:rsidRPr="00E23CED">
        <w:t>,</w:t>
      </w:r>
      <w:r w:rsidR="00B9002C" w:rsidRPr="00E23CED">
        <w:t xml:space="preserve"> outlined</w:t>
      </w:r>
      <w:r w:rsidR="00553D0C" w:rsidRPr="00E23CED">
        <w:t xml:space="preserve"> in </w:t>
      </w:r>
      <w:r w:rsidR="00DC5FF6" w:rsidRPr="00E23CED">
        <w:t>Ministry for the Environment</w:t>
      </w:r>
      <w:r w:rsidR="00AC5E16" w:rsidRPr="00E23CED">
        <w:t xml:space="preserve"> </w:t>
      </w:r>
      <w:r w:rsidR="00623BE3" w:rsidRPr="00E23CED">
        <w:t>(</w:t>
      </w:r>
      <w:r w:rsidR="00AC5E16" w:rsidRPr="00E23CED">
        <w:t>2022</w:t>
      </w:r>
      <w:r w:rsidR="00D4756A" w:rsidRPr="00E23CED">
        <w:t>b</w:t>
      </w:r>
      <w:r w:rsidR="00623BE3" w:rsidRPr="00E23CED">
        <w:t>)</w:t>
      </w:r>
      <w:r w:rsidR="00AC5E16" w:rsidRPr="00E23CED">
        <w:t xml:space="preserve">, </w:t>
      </w:r>
      <w:r w:rsidR="00307608" w:rsidRPr="00E23CED">
        <w:t>to use ICTs that have already been developed</w:t>
      </w:r>
      <w:r w:rsidR="00DC5FF6" w:rsidRPr="00E23CED">
        <w:t xml:space="preserve"> or </w:t>
      </w:r>
      <w:r w:rsidR="00B77DA7" w:rsidRPr="00E23CED">
        <w:t>published</w:t>
      </w:r>
      <w:r w:rsidR="00307608" w:rsidRPr="00E23CED">
        <w:t xml:space="preserve"> for a nutrient-affected attribute. </w:t>
      </w:r>
      <w:r w:rsidR="002C01D3" w:rsidRPr="00E23CED">
        <w:t xml:space="preserve">Implementing </w:t>
      </w:r>
      <w:r w:rsidR="00DC5FF6" w:rsidRPr="00E23CED">
        <w:t>s</w:t>
      </w:r>
      <w:r w:rsidR="002C01D3" w:rsidRPr="00E23CED">
        <w:t xml:space="preserve">trategy 1 is straightforward and involves obtaining peer-reviewed, published ICTs from Aotearoa </w:t>
      </w:r>
      <w:r w:rsidR="004C0DFB" w:rsidRPr="00E23CED">
        <w:t>technical reports and papers</w:t>
      </w:r>
      <w:r w:rsidR="00923FF5" w:rsidRPr="00E23CED">
        <w:t>.</w:t>
      </w:r>
      <w:r w:rsidR="00D2455B" w:rsidRPr="00E23CED">
        <w:t xml:space="preserve"> Given the complexities related to nutrient processing and cycling mentioned above, however, the use of ICTs developed at a national or even regional scale carr</w:t>
      </w:r>
      <w:r w:rsidR="00F86EA0" w:rsidRPr="00E23CED">
        <w:t>ies</w:t>
      </w:r>
      <w:r w:rsidR="00D2455B" w:rsidRPr="00E23CED">
        <w:t xml:space="preserve"> a higher risk that the desired outcomes </w:t>
      </w:r>
      <w:r w:rsidR="000C37CB" w:rsidRPr="00E23CED">
        <w:t>may not be met</w:t>
      </w:r>
      <w:r w:rsidR="00DC5FF6" w:rsidRPr="00E23CED">
        <w:t>,</w:t>
      </w:r>
      <w:r w:rsidR="00AF7A78" w:rsidRPr="00E23CED">
        <w:t xml:space="preserve"> compared with using river-</w:t>
      </w:r>
      <w:r w:rsidR="00027B67" w:rsidRPr="00E23CED">
        <w:t xml:space="preserve"> or site-</w:t>
      </w:r>
      <w:r w:rsidR="00AF7A78" w:rsidRPr="00E23CED">
        <w:t>specific approaches.</w:t>
      </w:r>
      <w:r w:rsidR="00923FF5" w:rsidRPr="00E23CED">
        <w:t xml:space="preserve"> </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A95A36" w:rsidRPr="00E23CED" w14:paraId="74EE7332" w14:textId="77777777" w:rsidTr="00C35CD8">
        <w:tc>
          <w:tcPr>
            <w:tcW w:w="0" w:type="auto"/>
            <w:shd w:val="clear" w:color="auto" w:fill="D5EBE8" w:themeFill="accent3"/>
          </w:tcPr>
          <w:p w14:paraId="688785BB" w14:textId="77777777" w:rsidR="00A95A36" w:rsidRPr="00E23CED" w:rsidRDefault="00A95A36" w:rsidP="00A95A36">
            <w:pPr>
              <w:pStyle w:val="Boxheading0"/>
            </w:pPr>
            <w:bookmarkStart w:id="65" w:name="_Hlk87629146"/>
            <w:r w:rsidRPr="00E23CED">
              <w:t>Strategy 1</w:t>
            </w:r>
          </w:p>
          <w:p w14:paraId="302981B5" w14:textId="17B3906E" w:rsidR="00A95A36" w:rsidRPr="00E23CED" w:rsidRDefault="00A95A36" w:rsidP="00A95A36">
            <w:pPr>
              <w:pStyle w:val="Boxtext"/>
            </w:pPr>
            <w:r w:rsidRPr="00E23CED">
              <w:t xml:space="preserve">Strategy 1 is a short-term solution in view of the lack of national-scale </w:t>
            </w:r>
            <w:r w:rsidR="00DF5114" w:rsidRPr="00E23CED">
              <w:t>instream concentration thresholds (</w:t>
            </w:r>
            <w:r w:rsidRPr="00E23CED">
              <w:t>ICTs</w:t>
            </w:r>
            <w:r w:rsidR="00DF5114" w:rsidRPr="00E23CED">
              <w:t>)</w:t>
            </w:r>
            <w:r w:rsidRPr="00E23CED">
              <w:t xml:space="preserve"> available for many nutrient-affected attributes. Four of the potential sources of nutrient criteria to consider when implementing strategy 1 are</w:t>
            </w:r>
            <w:r w:rsidR="00E7148E" w:rsidRPr="00E23CED">
              <w:t xml:space="preserve"> as follows.</w:t>
            </w:r>
          </w:p>
          <w:p w14:paraId="022F1525" w14:textId="4B9A82F3" w:rsidR="00A95A36" w:rsidRPr="00E23CED" w:rsidRDefault="00A95A36" w:rsidP="00A95A36">
            <w:pPr>
              <w:pStyle w:val="Boxtext"/>
              <w:spacing w:before="0"/>
              <w:ind w:left="681" w:hanging="397"/>
            </w:pPr>
            <w:r w:rsidRPr="00E23CED">
              <w:t>1.</w:t>
            </w:r>
            <w:r w:rsidRPr="00E23CED">
              <w:tab/>
            </w:r>
            <w:r w:rsidR="0034557A" w:rsidRPr="00E23CED">
              <w:t>B</w:t>
            </w:r>
            <w:r w:rsidRPr="00E23CED">
              <w:t xml:space="preserve">and thresholds included for attributes in the </w:t>
            </w:r>
            <w:r w:rsidR="008D5531" w:rsidRPr="00E23CED">
              <w:t>National Policy Statement for Freshwater Management 2020 (</w:t>
            </w:r>
            <w:r w:rsidRPr="00E23CED">
              <w:t>NPS-FM</w:t>
            </w:r>
            <w:r w:rsidR="008D5531" w:rsidRPr="00E23CED">
              <w:t>)</w:t>
            </w:r>
            <w:r w:rsidRPr="00E23CED">
              <w:t xml:space="preserve"> or those included in reports from the </w:t>
            </w:r>
            <w:r w:rsidR="009E5AC7" w:rsidRPr="00E23CED">
              <w:t xml:space="preserve">Freshwater </w:t>
            </w:r>
            <w:r w:rsidRPr="00E23CED">
              <w:t xml:space="preserve">Science </w:t>
            </w:r>
            <w:r w:rsidR="00B801E3" w:rsidRPr="00E23CED">
              <w:t xml:space="preserve">and </w:t>
            </w:r>
            <w:r w:rsidRPr="00E23CED">
              <w:t xml:space="preserve">Technical Advisory Group (STAG, see </w:t>
            </w:r>
            <w:hyperlink w:anchor="_3.3.5__STAG" w:history="1">
              <w:r w:rsidR="002566F4" w:rsidRPr="00E23CED">
                <w:rPr>
                  <w:rStyle w:val="Hyperlink"/>
                  <w:rFonts w:cstheme="minorBidi"/>
                  <w:szCs w:val="22"/>
                </w:rPr>
                <w:t>section 3.3.5</w:t>
              </w:r>
            </w:hyperlink>
            <w:r w:rsidRPr="00E23CED">
              <w:rPr>
                <w:b/>
                <w:bCs/>
              </w:rPr>
              <w:fldChar w:fldCharType="begin"/>
            </w:r>
            <w:r w:rsidRPr="00E23CED">
              <w:rPr>
                <w:b/>
                <w:bCs/>
              </w:rPr>
              <w:instrText xml:space="preserve"> REF _Ref140424787 \h  \* MERGEFORMAT </w:instrText>
            </w:r>
            <w:r w:rsidRPr="00E23CED">
              <w:rPr>
                <w:b/>
                <w:bCs/>
              </w:rPr>
            </w:r>
            <w:r w:rsidR="00E8131B">
              <w:rPr>
                <w:b/>
                <w:bCs/>
              </w:rPr>
              <w:fldChar w:fldCharType="separate"/>
            </w:r>
            <w:r w:rsidR="00FA0487" w:rsidRPr="00E23CED">
              <w:t xml:space="preserve">3.3.5 </w:t>
            </w:r>
            <w:r w:rsidR="00FA0487" w:rsidRPr="00E23CED">
              <w:tab/>
              <w:t>Freshwater Science and Technical Advisory Group and dissolved inorganic nitrogen</w:t>
            </w:r>
            <w:r w:rsidRPr="00E23CED">
              <w:rPr>
                <w:b/>
                <w:bCs/>
              </w:rPr>
              <w:fldChar w:fldCharType="end"/>
            </w:r>
            <w:r w:rsidRPr="00E23CED">
              <w:t>). Most attributes proposed during the STAG process were incorporated as NPS-FM attributes; also see section 3.3.5</w:t>
            </w:r>
            <w:r w:rsidR="0011320C" w:rsidRPr="00E23CED">
              <w:t xml:space="preserve"> </w:t>
            </w:r>
            <w:r w:rsidRPr="00E23CED">
              <w:t>for a discussion on</w:t>
            </w:r>
            <w:r w:rsidR="00D401E6" w:rsidRPr="00E23CED">
              <w:t> </w:t>
            </w:r>
            <w:r w:rsidR="00DB69F6">
              <w:t>d</w:t>
            </w:r>
            <w:r w:rsidR="00DB69F6" w:rsidRPr="00DB69F6">
              <w:t>issolved inorganic nitrogen</w:t>
            </w:r>
            <w:r w:rsidRPr="00E23CED">
              <w:t>.</w:t>
            </w:r>
          </w:p>
          <w:p w14:paraId="634ACAC9" w14:textId="12D79B91" w:rsidR="00A95A36" w:rsidRPr="00E23CED" w:rsidRDefault="00A95A36" w:rsidP="00A95A36">
            <w:pPr>
              <w:pStyle w:val="Boxtext"/>
              <w:spacing w:before="0"/>
              <w:ind w:left="681" w:hanging="397"/>
            </w:pPr>
            <w:r w:rsidRPr="00E23CED">
              <w:t>2.</w:t>
            </w:r>
            <w:r w:rsidRPr="00E23CED">
              <w:tab/>
              <w:t xml:space="preserve">Results from an extensive literature review summarised in section 2.2.6. of Ministry for the Environment (2022b). </w:t>
            </w:r>
          </w:p>
          <w:p w14:paraId="47527084" w14:textId="3E1424B9" w:rsidR="00A95A36" w:rsidRPr="00E23CED" w:rsidRDefault="00A95A36" w:rsidP="00A95A36">
            <w:pPr>
              <w:pStyle w:val="Boxtext"/>
              <w:spacing w:before="0"/>
              <w:ind w:left="681" w:hanging="397"/>
            </w:pPr>
            <w:r w:rsidRPr="00E23CED">
              <w:t>3.</w:t>
            </w:r>
            <w:r w:rsidRPr="00E23CED">
              <w:tab/>
              <w:t xml:space="preserve">The periphyton look-up table approach described in </w:t>
            </w:r>
            <w:hyperlink w:anchor="_3.3.6._Periphyton_and" w:history="1">
              <w:r w:rsidR="00D401E6" w:rsidRPr="00E23CED">
                <w:rPr>
                  <w:rStyle w:val="Hyperlink"/>
                  <w:rFonts w:cstheme="minorBidi"/>
                  <w:szCs w:val="22"/>
                </w:rPr>
                <w:t>section 3.3.6 Periphyton and the look-up tables</w:t>
              </w:r>
            </w:hyperlink>
            <w:r w:rsidR="00D401E6" w:rsidRPr="00E23CED">
              <w:t xml:space="preserve"> </w:t>
            </w:r>
            <w:r w:rsidRPr="00E23CED">
              <w:t xml:space="preserve">and explained in full in </w:t>
            </w:r>
            <w:hyperlink r:id="rId60" w:history="1">
              <w:r w:rsidRPr="00E23CED">
                <w:rPr>
                  <w:rStyle w:val="Hyperlink"/>
                </w:rPr>
                <w:t xml:space="preserve">Derivation of </w:t>
              </w:r>
              <w:r w:rsidRPr="00E23CED">
                <w:rPr>
                  <w:rStyle w:val="Hyperlink"/>
                  <w:i/>
                  <w:iCs/>
                </w:rPr>
                <w:t>n</w:t>
              </w:r>
              <w:r w:rsidRPr="00E23CED">
                <w:rPr>
                  <w:rStyle w:val="Hyperlink"/>
                </w:rPr>
                <w:t xml:space="preserve">utrient </w:t>
              </w:r>
              <w:r w:rsidRPr="00E23CED">
                <w:rPr>
                  <w:rStyle w:val="Hyperlink"/>
                  <w:i/>
                  <w:iCs/>
                </w:rPr>
                <w:t>c</w:t>
              </w:r>
              <w:r w:rsidRPr="00E23CED">
                <w:rPr>
                  <w:rStyle w:val="Hyperlink"/>
                </w:rPr>
                <w:t xml:space="preserve">riteria for </w:t>
              </w:r>
              <w:r w:rsidRPr="00E23CED">
                <w:rPr>
                  <w:rStyle w:val="Hyperlink"/>
                  <w:i/>
                  <w:iCs/>
                </w:rPr>
                <w:t>p</w:t>
              </w:r>
              <w:r w:rsidRPr="00E23CED">
                <w:rPr>
                  <w:rStyle w:val="Hyperlink"/>
                </w:rPr>
                <w:t xml:space="preserve">eriphyton </w:t>
              </w:r>
              <w:r w:rsidRPr="00E23CED">
                <w:rPr>
                  <w:rStyle w:val="Hyperlink"/>
                  <w:i/>
                  <w:iCs/>
                </w:rPr>
                <w:t>b</w:t>
              </w:r>
              <w:r w:rsidRPr="00E23CED">
                <w:rPr>
                  <w:rStyle w:val="Hyperlink"/>
                </w:rPr>
                <w:t xml:space="preserve">iomass </w:t>
              </w:r>
              <w:r w:rsidRPr="00E23CED">
                <w:rPr>
                  <w:rStyle w:val="Hyperlink"/>
                  <w:i/>
                  <w:iCs/>
                </w:rPr>
                <w:t>o</w:t>
              </w:r>
              <w:r w:rsidRPr="00E23CED">
                <w:rPr>
                  <w:rStyle w:val="Hyperlink"/>
                </w:rPr>
                <w:t>bjectives</w:t>
              </w:r>
            </w:hyperlink>
            <w:r w:rsidRPr="00E23CED">
              <w:t xml:space="preserve"> (Snelder et al, 2022) and </w:t>
            </w:r>
            <w:hyperlink r:id="rId61" w:history="1">
              <w:r w:rsidRPr="00E23CED">
                <w:rPr>
                  <w:rStyle w:val="Hyperlink"/>
                  <w:rFonts w:eastAsiaTheme="majorEastAsia"/>
                  <w:i/>
                  <w:iCs/>
                </w:rPr>
                <w:t>Guidance on look up tables for setting nutrient targets for periphyton</w:t>
              </w:r>
            </w:hyperlink>
            <w:r w:rsidRPr="00E23CED">
              <w:t xml:space="preserve"> (Ministry for the Environment, 2022a). </w:t>
            </w:r>
          </w:p>
          <w:p w14:paraId="373B31B3" w14:textId="4850F3E3" w:rsidR="00A95A36" w:rsidRPr="00E23CED" w:rsidRDefault="00A95A36" w:rsidP="00A95A36">
            <w:pPr>
              <w:pStyle w:val="Boxtext"/>
              <w:spacing w:before="0" w:after="240"/>
              <w:ind w:left="681" w:hanging="397"/>
            </w:pPr>
            <w:r w:rsidRPr="00E23CED">
              <w:t>4.</w:t>
            </w:r>
            <w:r w:rsidRPr="00E23CED">
              <w:tab/>
              <w:t xml:space="preserve">ICTs from the Estuarine Trophic Index toolkit developed by Zeldis et al (2017). </w:t>
            </w:r>
            <w:r w:rsidRPr="00E23CED">
              <w:br/>
              <w:t>See</w:t>
            </w:r>
            <w:r w:rsidR="00D401E6" w:rsidRPr="00E23CED">
              <w:t xml:space="preserve"> </w:t>
            </w:r>
            <w:hyperlink w:anchor="_3.4.5__Estuaries" w:history="1">
              <w:r w:rsidR="00647378" w:rsidRPr="00E23CED">
                <w:rPr>
                  <w:rStyle w:val="Hyperlink"/>
                  <w:rFonts w:cstheme="minorBidi"/>
                  <w:szCs w:val="22"/>
                </w:rPr>
                <w:t>section 3.4.5 Estuaries</w:t>
              </w:r>
            </w:hyperlink>
            <w:r w:rsidRPr="00E23CED">
              <w:t>.</w:t>
            </w:r>
          </w:p>
        </w:tc>
      </w:tr>
    </w:tbl>
    <w:p w14:paraId="20C25158" w14:textId="52B2080F" w:rsidR="008617F5" w:rsidRPr="00E23CED" w:rsidRDefault="00AD3B37" w:rsidP="00A95A36">
      <w:pPr>
        <w:pStyle w:val="Heading3"/>
        <w:tabs>
          <w:tab w:val="clear" w:pos="851"/>
          <w:tab w:val="left" w:pos="964"/>
        </w:tabs>
        <w:spacing w:before="480"/>
      </w:pPr>
      <w:bookmarkStart w:id="66" w:name="_3.3.5__STAG"/>
      <w:bookmarkStart w:id="67" w:name="_Ref140424787"/>
      <w:bookmarkEnd w:id="65"/>
      <w:bookmarkEnd w:id="66"/>
      <w:r w:rsidRPr="00E23CED">
        <w:t>3.3.</w:t>
      </w:r>
      <w:r w:rsidR="00773567" w:rsidRPr="00E23CED">
        <w:t>5</w:t>
      </w:r>
      <w:r w:rsidRPr="00E23CED">
        <w:t xml:space="preserve"> </w:t>
      </w:r>
      <w:r w:rsidR="00A95A36" w:rsidRPr="00E23CED">
        <w:tab/>
      </w:r>
      <w:r w:rsidR="000F7CAB" w:rsidRPr="00E23CED">
        <w:t xml:space="preserve">Freshwater </w:t>
      </w:r>
      <w:r w:rsidR="009C3CCE" w:rsidRPr="00E23CED">
        <w:t>S</w:t>
      </w:r>
      <w:r w:rsidR="00CB3FDF" w:rsidRPr="00E23CED">
        <w:t xml:space="preserve">cience and </w:t>
      </w:r>
      <w:r w:rsidR="009C3CCE" w:rsidRPr="00E23CED">
        <w:t>T</w:t>
      </w:r>
      <w:r w:rsidR="00CB3FDF" w:rsidRPr="00E23CED">
        <w:t xml:space="preserve">echnical </w:t>
      </w:r>
      <w:r w:rsidR="009C3CCE" w:rsidRPr="00E23CED">
        <w:t>A</w:t>
      </w:r>
      <w:r w:rsidR="00CB3FDF" w:rsidRPr="00E23CED">
        <w:t xml:space="preserve">dvisory </w:t>
      </w:r>
      <w:r w:rsidR="009C3CCE" w:rsidRPr="00E23CED">
        <w:t>G</w:t>
      </w:r>
      <w:r w:rsidR="00CB3FDF" w:rsidRPr="00E23CED">
        <w:t>roup</w:t>
      </w:r>
      <w:r w:rsidR="009C3CCE" w:rsidRPr="00E23CED">
        <w:t xml:space="preserve"> and</w:t>
      </w:r>
      <w:r w:rsidR="00551CCE" w:rsidRPr="00E23CED">
        <w:t> </w:t>
      </w:r>
      <w:r w:rsidR="007178FD" w:rsidRPr="00E23CED">
        <w:t xml:space="preserve">dissolved inorganic </w:t>
      </w:r>
      <w:proofErr w:type="gramStart"/>
      <w:r w:rsidR="007178FD" w:rsidRPr="00E23CED">
        <w:t>nitrogen</w:t>
      </w:r>
      <w:bookmarkEnd w:id="67"/>
      <w:proofErr w:type="gramEnd"/>
    </w:p>
    <w:p w14:paraId="4C81BB5E" w14:textId="7F0706BF" w:rsidR="00984ABB" w:rsidRPr="00E23CED" w:rsidRDefault="005770F3" w:rsidP="00A95A36">
      <w:pPr>
        <w:pStyle w:val="BodyText"/>
      </w:pPr>
      <w:r w:rsidRPr="00E23CED">
        <w:t xml:space="preserve">The </w:t>
      </w:r>
      <w:r w:rsidR="007C0EC3" w:rsidRPr="00E23CED">
        <w:t>19</w:t>
      </w:r>
      <w:r w:rsidR="00F5679B" w:rsidRPr="00E23CED">
        <w:t>-</w:t>
      </w:r>
      <w:r w:rsidR="007C0EC3" w:rsidRPr="00E23CED">
        <w:t>member</w:t>
      </w:r>
      <w:r w:rsidR="00C27DB5" w:rsidRPr="00E23CED">
        <w:t xml:space="preserve"> </w:t>
      </w:r>
      <w:r w:rsidR="007B7B04" w:rsidRPr="00E23CED">
        <w:t>Freshwater</w:t>
      </w:r>
      <w:r w:rsidR="007C0EC3" w:rsidRPr="00E23CED">
        <w:t xml:space="preserve"> </w:t>
      </w:r>
      <w:r w:rsidRPr="00E23CED">
        <w:t xml:space="preserve">Science and Technical Advisory Group </w:t>
      </w:r>
      <w:r w:rsidR="005A573E" w:rsidRPr="00E23CED">
        <w:t xml:space="preserve">(STAG) </w:t>
      </w:r>
      <w:r w:rsidR="00CC4249" w:rsidRPr="00E23CED">
        <w:t xml:space="preserve">oversaw the scientific evidence </w:t>
      </w:r>
      <w:r w:rsidR="00840A72" w:rsidRPr="00E23CED">
        <w:t xml:space="preserve">used to develop the NPS-FM and </w:t>
      </w:r>
      <w:r w:rsidR="00E81642" w:rsidRPr="00E23CED">
        <w:t>helped</w:t>
      </w:r>
      <w:r w:rsidR="00015BD8" w:rsidRPr="00E23CED">
        <w:t xml:space="preserve"> </w:t>
      </w:r>
      <w:r w:rsidR="005D26CF" w:rsidRPr="00E23CED">
        <w:t>interpret the science for policy development.</w:t>
      </w:r>
      <w:r w:rsidR="00697B7D" w:rsidRPr="00E23CED">
        <w:t xml:space="preserve"> This included </w:t>
      </w:r>
      <w:r w:rsidR="00F5679B" w:rsidRPr="00E23CED">
        <w:t xml:space="preserve">using the best information </w:t>
      </w:r>
      <w:r w:rsidR="00CF068E" w:rsidRPr="00E23CED">
        <w:t xml:space="preserve">available at the time </w:t>
      </w:r>
      <w:r w:rsidR="00F5679B" w:rsidRPr="00E23CED">
        <w:t xml:space="preserve">to develop </w:t>
      </w:r>
      <w:r w:rsidR="00697B7D" w:rsidRPr="00E23CED">
        <w:t xml:space="preserve">recommendations for </w:t>
      </w:r>
      <w:r w:rsidR="00D31221" w:rsidRPr="00E23CED">
        <w:t>appropriate attributes</w:t>
      </w:r>
      <w:r w:rsidR="005D26CF" w:rsidRPr="00E23CED">
        <w:t xml:space="preserve"> </w:t>
      </w:r>
      <w:r w:rsidR="00D31221" w:rsidRPr="00E23CED">
        <w:t xml:space="preserve">and banding. </w:t>
      </w:r>
      <w:r w:rsidR="00A13C62" w:rsidRPr="00E23CED">
        <w:t>T</w:t>
      </w:r>
      <w:r w:rsidR="00E142E0" w:rsidRPr="00E23CED">
        <w:t>he group provide</w:t>
      </w:r>
      <w:r w:rsidR="00BB3DC5" w:rsidRPr="00E23CED">
        <w:t>d</w:t>
      </w:r>
      <w:r w:rsidR="00E142E0" w:rsidRPr="00E23CED">
        <w:t xml:space="preserve"> </w:t>
      </w:r>
      <w:r w:rsidR="00EE0143" w:rsidRPr="00E23CED">
        <w:t xml:space="preserve">options for </w:t>
      </w:r>
      <w:r w:rsidR="00E142E0" w:rsidRPr="00E23CED">
        <w:t xml:space="preserve">bands for </w:t>
      </w:r>
      <w:r w:rsidR="004827B2" w:rsidRPr="00E23CED">
        <w:t xml:space="preserve">DIN </w:t>
      </w:r>
      <w:r w:rsidR="00B22A3C" w:rsidRPr="00E23CED">
        <w:t xml:space="preserve">and DRP </w:t>
      </w:r>
      <w:r w:rsidR="004827B2" w:rsidRPr="00E23CED">
        <w:t>attribute</w:t>
      </w:r>
      <w:r w:rsidR="00D31221" w:rsidRPr="00E23CED">
        <w:t>s</w:t>
      </w:r>
      <w:r w:rsidR="00A13C62" w:rsidRPr="00E23CED">
        <w:t>.</w:t>
      </w:r>
      <w:r w:rsidR="00F20F64" w:rsidRPr="00E23CED">
        <w:t xml:space="preserve"> </w:t>
      </w:r>
      <w:r w:rsidR="00A13C62" w:rsidRPr="00E23CED">
        <w:t xml:space="preserve">Most STAG members recommended </w:t>
      </w:r>
      <w:r w:rsidR="006B4166" w:rsidRPr="00E23CED">
        <w:t>those numbers</w:t>
      </w:r>
      <w:r w:rsidR="00487E3F" w:rsidRPr="00E23CED">
        <w:t xml:space="preserve"> for</w:t>
      </w:r>
      <w:r w:rsidR="00652319" w:rsidRPr="00E23CED">
        <w:t xml:space="preserve"> DIN into</w:t>
      </w:r>
      <w:r w:rsidR="00487E3F" w:rsidRPr="00E23CED">
        <w:t xml:space="preserve"> the NPS-FM</w:t>
      </w:r>
      <w:r w:rsidR="00AD07DF" w:rsidRPr="00E23CED">
        <w:rPr>
          <w:rStyle w:val="FootnoteReference"/>
        </w:rPr>
        <w:footnoteReference w:id="9"/>
      </w:r>
      <w:r w:rsidR="00600F0B" w:rsidRPr="00E23CED">
        <w:t xml:space="preserve">, while </w:t>
      </w:r>
      <w:r w:rsidR="00177FE6" w:rsidRPr="00E23CED">
        <w:t xml:space="preserve">a minority </w:t>
      </w:r>
      <w:r w:rsidR="00C86697" w:rsidRPr="00E23CED">
        <w:t>considered the evidence insufficient</w:t>
      </w:r>
      <w:r w:rsidR="00214ABF" w:rsidRPr="00E23CED">
        <w:t xml:space="preserve"> to justify setting nationally applicable bands and bottom lines</w:t>
      </w:r>
      <w:r w:rsidR="00264C5D" w:rsidRPr="00E23CED">
        <w:t xml:space="preserve"> </w:t>
      </w:r>
      <w:r w:rsidR="00F5699C" w:rsidRPr="00E23CED">
        <w:t>(</w:t>
      </w:r>
      <w:hyperlink r:id="rId62" w:history="1">
        <w:r w:rsidR="00593D99" w:rsidRPr="00E23CED">
          <w:rPr>
            <w:rStyle w:val="Hyperlink"/>
            <w:rFonts w:eastAsiaTheme="majorEastAsia"/>
            <w:i/>
            <w:iCs/>
          </w:rPr>
          <w:t xml:space="preserve">Supplementary </w:t>
        </w:r>
        <w:r w:rsidR="00E81642" w:rsidRPr="00E23CED">
          <w:rPr>
            <w:rStyle w:val="Hyperlink"/>
            <w:rFonts w:eastAsiaTheme="majorEastAsia"/>
            <w:i/>
            <w:iCs/>
          </w:rPr>
          <w:t>r</w:t>
        </w:r>
        <w:r w:rsidR="00593D99" w:rsidRPr="00E23CED">
          <w:rPr>
            <w:rStyle w:val="Hyperlink"/>
            <w:rFonts w:eastAsiaTheme="majorEastAsia"/>
            <w:i/>
            <w:iCs/>
          </w:rPr>
          <w:t>eport</w:t>
        </w:r>
        <w:r w:rsidR="00E81642" w:rsidRPr="00E23CED">
          <w:rPr>
            <w:rStyle w:val="Hyperlink"/>
            <w:rFonts w:eastAsiaTheme="majorEastAsia"/>
            <w:i/>
            <w:iCs/>
          </w:rPr>
          <w:t xml:space="preserve"> to the Minister for the </w:t>
        </w:r>
        <w:r w:rsidR="00E81642" w:rsidRPr="00E23CED">
          <w:rPr>
            <w:rStyle w:val="Hyperlink"/>
            <w:rFonts w:eastAsiaTheme="majorEastAsia"/>
            <w:i/>
            <w:iCs/>
          </w:rPr>
          <w:lastRenderedPageBreak/>
          <w:t>Environment</w:t>
        </w:r>
      </w:hyperlink>
      <w:r w:rsidR="004C3C36" w:rsidRPr="00E23CED">
        <w:rPr>
          <w:rStyle w:val="Hyperlink"/>
          <w:rFonts w:eastAsiaTheme="majorEastAsia"/>
        </w:rPr>
        <w:t>,</w:t>
      </w:r>
      <w:r w:rsidR="004C3C36" w:rsidRPr="00E23CED">
        <w:t xml:space="preserve"> </w:t>
      </w:r>
      <w:r w:rsidR="00E81642" w:rsidRPr="00E23CED">
        <w:t>Freshwater Science and Technical Advisory Group, 2020)</w:t>
      </w:r>
      <w:r w:rsidR="00F20F64" w:rsidRPr="00E23CED">
        <w:t>.</w:t>
      </w:r>
      <w:r w:rsidR="004116E3" w:rsidRPr="00E23CED">
        <w:t xml:space="preserve"> </w:t>
      </w:r>
      <w:r w:rsidR="00E81642" w:rsidRPr="00E23CED">
        <w:t>T</w:t>
      </w:r>
      <w:r w:rsidR="00521351" w:rsidRPr="00E23CED">
        <w:t xml:space="preserve">hese numbers </w:t>
      </w:r>
      <w:r w:rsidR="00E4486B" w:rsidRPr="00E23CED">
        <w:t>remain</w:t>
      </w:r>
      <w:r w:rsidR="00E81642" w:rsidRPr="00E23CED">
        <w:t xml:space="preserve"> </w:t>
      </w:r>
      <w:r w:rsidR="00521351" w:rsidRPr="00E23CED">
        <w:t xml:space="preserve">useful for guidance and </w:t>
      </w:r>
      <w:r w:rsidR="004B12EE" w:rsidRPr="00E23CED">
        <w:t>for councils</w:t>
      </w:r>
      <w:r w:rsidR="00521351" w:rsidRPr="00E23CED">
        <w:t xml:space="preserve"> to consider </w:t>
      </w:r>
      <w:r w:rsidR="00DE02F2" w:rsidRPr="00E23CED">
        <w:t>alongside th</w:t>
      </w:r>
      <w:r w:rsidR="00A242B4" w:rsidRPr="00E23CED">
        <w:t>os</w:t>
      </w:r>
      <w:r w:rsidR="00DE02F2" w:rsidRPr="00E23CED">
        <w:t xml:space="preserve">e </w:t>
      </w:r>
      <w:r w:rsidR="00004C38" w:rsidRPr="00E23CED">
        <w:t>provided</w:t>
      </w:r>
      <w:r w:rsidR="0002122C" w:rsidRPr="00E23CED">
        <w:t xml:space="preserve"> more recently</w:t>
      </w:r>
      <w:r w:rsidR="00004C38" w:rsidRPr="00E23CED">
        <w:t xml:space="preserve"> in </w:t>
      </w:r>
      <w:r w:rsidR="00E81642" w:rsidRPr="00E23CED">
        <w:t>Ministry for the Environment</w:t>
      </w:r>
      <w:r w:rsidR="00004C38" w:rsidRPr="00E23CED">
        <w:t xml:space="preserve"> </w:t>
      </w:r>
      <w:r w:rsidR="00623BE3" w:rsidRPr="00E23CED">
        <w:t>(</w:t>
      </w:r>
      <w:r w:rsidR="00004C38" w:rsidRPr="00E23CED">
        <w:t>2022a and 2022b</w:t>
      </w:r>
      <w:r w:rsidR="00623BE3" w:rsidRPr="00E23CED">
        <w:t>)</w:t>
      </w:r>
      <w:r w:rsidR="00004C38" w:rsidRPr="00E23CED">
        <w:t xml:space="preserve"> </w:t>
      </w:r>
      <w:r w:rsidR="00F04AAC" w:rsidRPr="00E23CED">
        <w:t>when</w:t>
      </w:r>
      <w:r w:rsidR="00521351" w:rsidRPr="00E23CED">
        <w:t xml:space="preserve"> </w:t>
      </w:r>
      <w:r w:rsidR="00AB271A" w:rsidRPr="00E23CED">
        <w:t xml:space="preserve">implementing </w:t>
      </w:r>
      <w:r w:rsidR="00E81642" w:rsidRPr="00E23CED">
        <w:t>s</w:t>
      </w:r>
      <w:r w:rsidR="00AB271A" w:rsidRPr="00E23CED">
        <w:t>trategy 1.</w:t>
      </w:r>
    </w:p>
    <w:p w14:paraId="3C3F1620" w14:textId="02740E3D" w:rsidR="000325A8" w:rsidRPr="00E23CED" w:rsidRDefault="00B540C7" w:rsidP="00A95A36">
      <w:pPr>
        <w:pStyle w:val="Tableheading"/>
      </w:pPr>
      <w:bookmarkStart w:id="68" w:name="_Toc142661794"/>
      <w:r w:rsidRPr="00E23CED">
        <w:t xml:space="preserve">Table </w:t>
      </w:r>
      <w:r w:rsidRPr="00E23CED">
        <w:rPr>
          <w:b w:val="0"/>
        </w:rPr>
        <w:fldChar w:fldCharType="begin"/>
      </w:r>
      <w:r w:rsidRPr="00E23CED">
        <w:instrText>SEQ Table \* ARABIC</w:instrText>
      </w:r>
      <w:r w:rsidRPr="00E23CED">
        <w:rPr>
          <w:b w:val="0"/>
        </w:rPr>
        <w:fldChar w:fldCharType="separate"/>
      </w:r>
      <w:r w:rsidR="00FA0487">
        <w:rPr>
          <w:noProof/>
        </w:rPr>
        <w:t>2</w:t>
      </w:r>
      <w:r w:rsidRPr="00E23CED">
        <w:rPr>
          <w:b w:val="0"/>
        </w:rPr>
        <w:fldChar w:fldCharType="end"/>
      </w:r>
      <w:r w:rsidRPr="00E23CED">
        <w:t>:</w:t>
      </w:r>
      <w:r w:rsidR="006E7C54" w:rsidRPr="00E23CED">
        <w:t xml:space="preserve"> </w:t>
      </w:r>
      <w:r w:rsidR="00A95A36" w:rsidRPr="00E23CED">
        <w:tab/>
      </w:r>
      <w:r w:rsidR="006D1EDC" w:rsidRPr="00E23CED">
        <w:t>N</w:t>
      </w:r>
      <w:r w:rsidR="001579ED" w:rsidRPr="00E23CED">
        <w:t xml:space="preserve">utrient criteria </w:t>
      </w:r>
      <w:r w:rsidR="006D1EDC" w:rsidRPr="00E23CED">
        <w:t>for each trophic group and the overall average</w:t>
      </w:r>
      <w:bookmarkEnd w:id="68"/>
      <w:r w:rsidR="00225F4B" w:rsidRPr="00E23CED">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851"/>
        <w:gridCol w:w="1134"/>
        <w:gridCol w:w="1417"/>
        <w:gridCol w:w="1012"/>
        <w:gridCol w:w="1826"/>
        <w:gridCol w:w="989"/>
      </w:tblGrid>
      <w:tr w:rsidR="00A95A36" w:rsidRPr="00E23CED" w14:paraId="5815F490" w14:textId="77777777" w:rsidTr="00C35CD8">
        <w:tc>
          <w:tcPr>
            <w:tcW w:w="1276" w:type="dxa"/>
            <w:shd w:val="clear" w:color="auto" w:fill="1B556B" w:themeFill="text2"/>
            <w:vAlign w:val="bottom"/>
          </w:tcPr>
          <w:p w14:paraId="683D2FF1" w14:textId="77777777" w:rsidR="00BA7AF9" w:rsidRPr="00E23CED" w:rsidRDefault="00BA7AF9" w:rsidP="00CF7B7E">
            <w:pPr>
              <w:pStyle w:val="TableTextbold"/>
              <w:spacing w:before="40" w:after="40"/>
            </w:pPr>
          </w:p>
        </w:tc>
        <w:tc>
          <w:tcPr>
            <w:tcW w:w="851" w:type="dxa"/>
            <w:shd w:val="clear" w:color="auto" w:fill="1B556B" w:themeFill="text2"/>
            <w:vAlign w:val="bottom"/>
          </w:tcPr>
          <w:p w14:paraId="0E652B5D" w14:textId="473367CD" w:rsidR="00BA7AF9" w:rsidRPr="00E23CED" w:rsidRDefault="00BA7AF9" w:rsidP="00CF7B7E">
            <w:pPr>
              <w:pStyle w:val="TableTextbold"/>
              <w:spacing w:before="40" w:after="40"/>
              <w:rPr>
                <w:bCs/>
                <w:color w:val="FFFFFF" w:themeColor="background1"/>
              </w:rPr>
            </w:pPr>
            <w:r w:rsidRPr="00E23CED">
              <w:rPr>
                <w:bCs/>
                <w:color w:val="FFFFFF" w:themeColor="background1"/>
              </w:rPr>
              <w:t>B</w:t>
            </w:r>
            <w:r w:rsidR="00AB22D4" w:rsidRPr="00E23CED">
              <w:rPr>
                <w:bCs/>
                <w:color w:val="FFFFFF" w:themeColor="background1"/>
              </w:rPr>
              <w:t>and</w:t>
            </w:r>
          </w:p>
        </w:tc>
        <w:tc>
          <w:tcPr>
            <w:tcW w:w="1134" w:type="dxa"/>
            <w:shd w:val="clear" w:color="auto" w:fill="1B556B" w:themeFill="text2"/>
            <w:vAlign w:val="bottom"/>
          </w:tcPr>
          <w:p w14:paraId="5A3D3718" w14:textId="346ACACF" w:rsidR="00BA7AF9" w:rsidRPr="00E23CED" w:rsidRDefault="00BA7AF9" w:rsidP="00CF7B7E">
            <w:pPr>
              <w:pStyle w:val="TableTextbold"/>
              <w:spacing w:before="40" w:after="40"/>
              <w:rPr>
                <w:bCs/>
                <w:color w:val="FFFFFF" w:themeColor="background1"/>
              </w:rPr>
            </w:pPr>
            <w:r w:rsidRPr="00E23CED">
              <w:rPr>
                <w:bCs/>
                <w:color w:val="FFFFFF" w:themeColor="background1"/>
              </w:rPr>
              <w:t>Periphyton</w:t>
            </w:r>
          </w:p>
        </w:tc>
        <w:tc>
          <w:tcPr>
            <w:tcW w:w="1417" w:type="dxa"/>
            <w:shd w:val="clear" w:color="auto" w:fill="1B556B" w:themeFill="text2"/>
            <w:vAlign w:val="bottom"/>
          </w:tcPr>
          <w:p w14:paraId="79778947" w14:textId="3F6051E1" w:rsidR="00BA7AF9" w:rsidRPr="00E23CED" w:rsidRDefault="00BA7AF9" w:rsidP="00CF7B7E">
            <w:pPr>
              <w:pStyle w:val="TableTextbold"/>
              <w:spacing w:before="40" w:after="40"/>
              <w:rPr>
                <w:bCs/>
                <w:color w:val="FFFFFF" w:themeColor="background1"/>
              </w:rPr>
            </w:pPr>
            <w:r w:rsidRPr="00E23CED">
              <w:rPr>
                <w:bCs/>
                <w:color w:val="FFFFFF" w:themeColor="background1"/>
              </w:rPr>
              <w:t>Invertebrates</w:t>
            </w:r>
          </w:p>
        </w:tc>
        <w:tc>
          <w:tcPr>
            <w:tcW w:w="1012" w:type="dxa"/>
            <w:shd w:val="clear" w:color="auto" w:fill="1B556B" w:themeFill="text2"/>
            <w:vAlign w:val="bottom"/>
          </w:tcPr>
          <w:p w14:paraId="79DA68C4" w14:textId="4332012B" w:rsidR="00BA7AF9" w:rsidRPr="00E23CED" w:rsidRDefault="00BA7AF9" w:rsidP="00CF7B7E">
            <w:pPr>
              <w:pStyle w:val="TableTextbold"/>
              <w:spacing w:before="40" w:after="40"/>
              <w:rPr>
                <w:bCs/>
                <w:color w:val="FFFFFF" w:themeColor="background1"/>
              </w:rPr>
            </w:pPr>
            <w:r w:rsidRPr="00E23CED">
              <w:rPr>
                <w:bCs/>
                <w:color w:val="FFFFFF" w:themeColor="background1"/>
              </w:rPr>
              <w:t>Fish</w:t>
            </w:r>
          </w:p>
        </w:tc>
        <w:tc>
          <w:tcPr>
            <w:tcW w:w="1826" w:type="dxa"/>
            <w:shd w:val="clear" w:color="auto" w:fill="1B556B" w:themeFill="text2"/>
            <w:vAlign w:val="bottom"/>
          </w:tcPr>
          <w:p w14:paraId="4AF230B2" w14:textId="02CDAFA8" w:rsidR="00BA7AF9" w:rsidRPr="00E23CED" w:rsidRDefault="00BA7AF9" w:rsidP="00CF7B7E">
            <w:pPr>
              <w:pStyle w:val="TableTextbold"/>
              <w:spacing w:before="40" w:after="40"/>
              <w:rPr>
                <w:bCs/>
                <w:color w:val="FFFFFF" w:themeColor="background1"/>
              </w:rPr>
            </w:pPr>
            <w:r w:rsidRPr="00E23CED">
              <w:rPr>
                <w:bCs/>
                <w:color w:val="FFFFFF" w:themeColor="background1"/>
              </w:rPr>
              <w:t xml:space="preserve">Ecosystem </w:t>
            </w:r>
            <w:r w:rsidR="0095200B" w:rsidRPr="00E23CED">
              <w:rPr>
                <w:bCs/>
                <w:color w:val="FFFFFF" w:themeColor="background1"/>
              </w:rPr>
              <w:t>p</w:t>
            </w:r>
            <w:r w:rsidRPr="00E23CED">
              <w:rPr>
                <w:bCs/>
                <w:color w:val="FFFFFF" w:themeColor="background1"/>
              </w:rPr>
              <w:t>rocesses</w:t>
            </w:r>
          </w:p>
        </w:tc>
        <w:tc>
          <w:tcPr>
            <w:tcW w:w="989" w:type="dxa"/>
            <w:tcBorders>
              <w:bottom w:val="single" w:sz="4" w:space="0" w:color="1B556B" w:themeColor="text2"/>
            </w:tcBorders>
            <w:shd w:val="clear" w:color="auto" w:fill="1B556B" w:themeFill="text2"/>
            <w:vAlign w:val="bottom"/>
          </w:tcPr>
          <w:p w14:paraId="4843027E" w14:textId="026466A1" w:rsidR="00BA7AF9" w:rsidRPr="00E23CED" w:rsidRDefault="00BA7AF9" w:rsidP="00CF7B7E">
            <w:pPr>
              <w:pStyle w:val="TableTextbold"/>
              <w:spacing w:before="40" w:after="40"/>
              <w:rPr>
                <w:bCs/>
                <w:color w:val="FFFFFF" w:themeColor="background1"/>
              </w:rPr>
            </w:pPr>
            <w:r w:rsidRPr="00E23CED">
              <w:rPr>
                <w:bCs/>
                <w:color w:val="FFFFFF" w:themeColor="background1"/>
              </w:rPr>
              <w:t>Average</w:t>
            </w:r>
          </w:p>
        </w:tc>
      </w:tr>
      <w:tr w:rsidR="00A95A36" w:rsidRPr="00E23CED" w14:paraId="164FFF79" w14:textId="77777777" w:rsidTr="00C35CD8">
        <w:tc>
          <w:tcPr>
            <w:tcW w:w="1276" w:type="dxa"/>
            <w:vMerge w:val="restart"/>
          </w:tcPr>
          <w:p w14:paraId="5D54100D" w14:textId="29D91B87" w:rsidR="00BA7AF9" w:rsidRPr="00E23CED" w:rsidRDefault="00BA7AF9" w:rsidP="00CF7B7E">
            <w:pPr>
              <w:pStyle w:val="TableText"/>
              <w:spacing w:before="40" w:after="40"/>
            </w:pPr>
            <w:r w:rsidRPr="00E23CED">
              <w:t>DIN</w:t>
            </w:r>
            <w:r w:rsidR="00CB4752" w:rsidRPr="00E23CED">
              <w:t xml:space="preserve"> (mg/</w:t>
            </w:r>
            <w:r w:rsidR="007F4CF1" w:rsidRPr="00E23CED">
              <w:t>L</w:t>
            </w:r>
            <w:r w:rsidR="00CB4752" w:rsidRPr="00E23CED">
              <w:t>)</w:t>
            </w:r>
          </w:p>
        </w:tc>
        <w:tc>
          <w:tcPr>
            <w:tcW w:w="851" w:type="dxa"/>
          </w:tcPr>
          <w:p w14:paraId="7CF8B775" w14:textId="62C990B0" w:rsidR="00BA7AF9" w:rsidRPr="00E23CED" w:rsidRDefault="00BA7AF9" w:rsidP="00CF7B7E">
            <w:pPr>
              <w:pStyle w:val="TableText"/>
              <w:spacing w:before="40" w:after="40"/>
            </w:pPr>
            <w:r w:rsidRPr="00E23CED">
              <w:t>A</w:t>
            </w:r>
          </w:p>
        </w:tc>
        <w:tc>
          <w:tcPr>
            <w:tcW w:w="1134" w:type="dxa"/>
          </w:tcPr>
          <w:p w14:paraId="6CA3038E" w14:textId="20239747" w:rsidR="00BA7AF9" w:rsidRPr="00E23CED" w:rsidRDefault="00BA7AF9" w:rsidP="00CF7B7E">
            <w:pPr>
              <w:pStyle w:val="TableText"/>
              <w:spacing w:before="40" w:after="40"/>
            </w:pPr>
            <w:r w:rsidRPr="00E23CED">
              <w:t>0.11</w:t>
            </w:r>
          </w:p>
        </w:tc>
        <w:tc>
          <w:tcPr>
            <w:tcW w:w="1417" w:type="dxa"/>
          </w:tcPr>
          <w:p w14:paraId="44CC48C2" w14:textId="6395BE14" w:rsidR="00BA7AF9" w:rsidRPr="00E23CED" w:rsidRDefault="006A12F3" w:rsidP="00CF7B7E">
            <w:pPr>
              <w:pStyle w:val="TableText"/>
              <w:spacing w:before="40" w:after="40"/>
            </w:pPr>
            <w:r w:rsidRPr="00E23CED">
              <w:t>0.01</w:t>
            </w:r>
          </w:p>
        </w:tc>
        <w:tc>
          <w:tcPr>
            <w:tcW w:w="1012" w:type="dxa"/>
          </w:tcPr>
          <w:p w14:paraId="6C102326" w14:textId="64C6B770" w:rsidR="00BA7AF9" w:rsidRPr="00E23CED" w:rsidRDefault="00E15587" w:rsidP="00CF7B7E">
            <w:pPr>
              <w:pStyle w:val="TableText"/>
              <w:spacing w:before="40" w:after="40"/>
            </w:pPr>
            <w:r w:rsidRPr="00E23CED">
              <w:t>0.5</w:t>
            </w:r>
          </w:p>
        </w:tc>
        <w:tc>
          <w:tcPr>
            <w:tcW w:w="1826" w:type="dxa"/>
          </w:tcPr>
          <w:p w14:paraId="42215F7E" w14:textId="6F740819" w:rsidR="00BA7AF9" w:rsidRPr="00E23CED" w:rsidRDefault="00E15587" w:rsidP="00CF7B7E">
            <w:pPr>
              <w:pStyle w:val="TableText"/>
              <w:spacing w:before="40" w:after="40"/>
            </w:pPr>
            <w:r w:rsidRPr="00E23CED">
              <w:t>0.35</w:t>
            </w:r>
          </w:p>
        </w:tc>
        <w:tc>
          <w:tcPr>
            <w:tcW w:w="989" w:type="dxa"/>
            <w:shd w:val="clear" w:color="auto" w:fill="D2DDE1" w:themeFill="background2"/>
          </w:tcPr>
          <w:p w14:paraId="155933D3" w14:textId="050BCB65" w:rsidR="00BA7AF9" w:rsidRPr="00E23CED" w:rsidRDefault="00C92B3E" w:rsidP="00CF7B7E">
            <w:pPr>
              <w:pStyle w:val="TableTextbold"/>
              <w:spacing w:before="40" w:after="40"/>
            </w:pPr>
            <w:r w:rsidRPr="00E23CED">
              <w:t>0.24</w:t>
            </w:r>
          </w:p>
        </w:tc>
      </w:tr>
      <w:tr w:rsidR="00A95A36" w:rsidRPr="00E23CED" w14:paraId="098756D3" w14:textId="77777777" w:rsidTr="00C35CD8">
        <w:tc>
          <w:tcPr>
            <w:tcW w:w="1276" w:type="dxa"/>
            <w:vMerge/>
          </w:tcPr>
          <w:p w14:paraId="160872BE" w14:textId="77777777" w:rsidR="00BA7AF9" w:rsidRPr="00E23CED" w:rsidRDefault="00BA7AF9" w:rsidP="00CF7B7E">
            <w:pPr>
              <w:pStyle w:val="TableText"/>
              <w:spacing w:before="40" w:after="40"/>
            </w:pPr>
          </w:p>
        </w:tc>
        <w:tc>
          <w:tcPr>
            <w:tcW w:w="851" w:type="dxa"/>
          </w:tcPr>
          <w:p w14:paraId="5D2695D3" w14:textId="3544BE9B" w:rsidR="00BA7AF9" w:rsidRPr="00E23CED" w:rsidRDefault="00BA7AF9" w:rsidP="00CF7B7E">
            <w:pPr>
              <w:pStyle w:val="TableText"/>
              <w:spacing w:before="40" w:after="40"/>
            </w:pPr>
            <w:r w:rsidRPr="00E23CED">
              <w:t>B</w:t>
            </w:r>
          </w:p>
        </w:tc>
        <w:tc>
          <w:tcPr>
            <w:tcW w:w="1134" w:type="dxa"/>
          </w:tcPr>
          <w:p w14:paraId="2C4E9F56" w14:textId="5A0FD704" w:rsidR="00BA7AF9" w:rsidRPr="00E23CED" w:rsidRDefault="006A12F3" w:rsidP="00CF7B7E">
            <w:pPr>
              <w:pStyle w:val="TableText"/>
              <w:spacing w:before="40" w:after="40"/>
            </w:pPr>
            <w:r w:rsidRPr="00E23CED">
              <w:t>0.53</w:t>
            </w:r>
          </w:p>
        </w:tc>
        <w:tc>
          <w:tcPr>
            <w:tcW w:w="1417" w:type="dxa"/>
          </w:tcPr>
          <w:p w14:paraId="5F437E5B" w14:textId="5EF8801E" w:rsidR="00BA7AF9" w:rsidRPr="00E23CED" w:rsidRDefault="006A12F3" w:rsidP="00CF7B7E">
            <w:pPr>
              <w:pStyle w:val="TableText"/>
              <w:spacing w:before="40" w:after="40"/>
            </w:pPr>
            <w:r w:rsidRPr="00E23CED">
              <w:t>0.33</w:t>
            </w:r>
          </w:p>
        </w:tc>
        <w:tc>
          <w:tcPr>
            <w:tcW w:w="1012" w:type="dxa"/>
          </w:tcPr>
          <w:p w14:paraId="3B535A47" w14:textId="05F58DF1" w:rsidR="00BA7AF9" w:rsidRPr="00E23CED" w:rsidRDefault="00E15587" w:rsidP="00CF7B7E">
            <w:pPr>
              <w:pStyle w:val="TableText"/>
              <w:spacing w:before="40" w:after="40"/>
            </w:pPr>
            <w:r w:rsidRPr="00E23CED">
              <w:t>0.63</w:t>
            </w:r>
          </w:p>
        </w:tc>
        <w:tc>
          <w:tcPr>
            <w:tcW w:w="1826" w:type="dxa"/>
          </w:tcPr>
          <w:p w14:paraId="07BB1AE1" w14:textId="0D56B7EE" w:rsidR="00BA7AF9" w:rsidRPr="00E23CED" w:rsidRDefault="00E15587" w:rsidP="00CF7B7E">
            <w:pPr>
              <w:pStyle w:val="TableText"/>
              <w:spacing w:before="40" w:after="40"/>
            </w:pPr>
            <w:r w:rsidRPr="00E23CED">
              <w:t>0.50</w:t>
            </w:r>
          </w:p>
        </w:tc>
        <w:tc>
          <w:tcPr>
            <w:tcW w:w="989" w:type="dxa"/>
            <w:shd w:val="clear" w:color="auto" w:fill="D2DDE1" w:themeFill="background2"/>
          </w:tcPr>
          <w:p w14:paraId="3002EF59" w14:textId="28427890" w:rsidR="00BA7AF9" w:rsidRPr="00E23CED" w:rsidRDefault="00C92B3E" w:rsidP="00CF7B7E">
            <w:pPr>
              <w:pStyle w:val="TableTextbold"/>
              <w:spacing w:before="40" w:after="40"/>
            </w:pPr>
            <w:r w:rsidRPr="00E23CED">
              <w:t>0.50</w:t>
            </w:r>
          </w:p>
        </w:tc>
      </w:tr>
      <w:tr w:rsidR="00A95A36" w:rsidRPr="00E23CED" w14:paraId="26C39D9C" w14:textId="77777777" w:rsidTr="00C35CD8">
        <w:tc>
          <w:tcPr>
            <w:tcW w:w="1276" w:type="dxa"/>
            <w:vMerge/>
          </w:tcPr>
          <w:p w14:paraId="281A80C6" w14:textId="77777777" w:rsidR="00BA7AF9" w:rsidRPr="00E23CED" w:rsidRDefault="00BA7AF9" w:rsidP="00CF7B7E">
            <w:pPr>
              <w:pStyle w:val="TableText"/>
              <w:spacing w:before="40" w:after="40"/>
            </w:pPr>
          </w:p>
        </w:tc>
        <w:tc>
          <w:tcPr>
            <w:tcW w:w="851" w:type="dxa"/>
          </w:tcPr>
          <w:p w14:paraId="1BCAE52B" w14:textId="7E986502" w:rsidR="00BA7AF9" w:rsidRPr="00E23CED" w:rsidRDefault="00BA7AF9" w:rsidP="00CF7B7E">
            <w:pPr>
              <w:pStyle w:val="TableText"/>
              <w:spacing w:before="40" w:after="40"/>
            </w:pPr>
            <w:r w:rsidRPr="00E23CED">
              <w:t>C</w:t>
            </w:r>
          </w:p>
        </w:tc>
        <w:tc>
          <w:tcPr>
            <w:tcW w:w="1134" w:type="dxa"/>
          </w:tcPr>
          <w:p w14:paraId="51C66485" w14:textId="45643804" w:rsidR="00BA7AF9" w:rsidRPr="00E23CED" w:rsidRDefault="006A12F3" w:rsidP="00CF7B7E">
            <w:pPr>
              <w:pStyle w:val="TableText"/>
              <w:spacing w:before="40" w:after="40"/>
            </w:pPr>
            <w:r w:rsidRPr="00E23CED">
              <w:t>1.00</w:t>
            </w:r>
          </w:p>
        </w:tc>
        <w:tc>
          <w:tcPr>
            <w:tcW w:w="1417" w:type="dxa"/>
          </w:tcPr>
          <w:p w14:paraId="430B25DC" w14:textId="520CFB44" w:rsidR="00BA7AF9" w:rsidRPr="00E23CED" w:rsidRDefault="006A12F3" w:rsidP="00CF7B7E">
            <w:pPr>
              <w:pStyle w:val="TableText"/>
              <w:spacing w:before="40" w:after="40"/>
            </w:pPr>
            <w:r w:rsidRPr="00E23CED">
              <w:t>1.47</w:t>
            </w:r>
          </w:p>
        </w:tc>
        <w:tc>
          <w:tcPr>
            <w:tcW w:w="1012" w:type="dxa"/>
          </w:tcPr>
          <w:p w14:paraId="1DB83B7F" w14:textId="2854F631" w:rsidR="00BA7AF9" w:rsidRPr="00E23CED" w:rsidRDefault="00E15587" w:rsidP="00CF7B7E">
            <w:pPr>
              <w:pStyle w:val="TableText"/>
              <w:spacing w:before="40" w:after="40"/>
            </w:pPr>
            <w:r w:rsidRPr="00E23CED">
              <w:t>0.76</w:t>
            </w:r>
          </w:p>
        </w:tc>
        <w:tc>
          <w:tcPr>
            <w:tcW w:w="1826" w:type="dxa"/>
          </w:tcPr>
          <w:p w14:paraId="3FCF310E" w14:textId="5E9C3AF4" w:rsidR="00BA7AF9" w:rsidRPr="00E23CED" w:rsidRDefault="00E15587" w:rsidP="00CF7B7E">
            <w:pPr>
              <w:pStyle w:val="TableText"/>
              <w:spacing w:before="40" w:after="40"/>
            </w:pPr>
            <w:r w:rsidRPr="00E23CED">
              <w:t>0.77</w:t>
            </w:r>
          </w:p>
        </w:tc>
        <w:tc>
          <w:tcPr>
            <w:tcW w:w="989" w:type="dxa"/>
            <w:shd w:val="clear" w:color="auto" w:fill="D2DDE1" w:themeFill="background2"/>
          </w:tcPr>
          <w:p w14:paraId="0A99CF97" w14:textId="6F68E6D8" w:rsidR="00BA7AF9" w:rsidRPr="00E23CED" w:rsidRDefault="00C92B3E" w:rsidP="00CF7B7E">
            <w:pPr>
              <w:pStyle w:val="TableTextbold"/>
              <w:spacing w:before="40" w:after="40"/>
            </w:pPr>
            <w:r w:rsidRPr="00E23CED">
              <w:t>1.00</w:t>
            </w:r>
          </w:p>
        </w:tc>
      </w:tr>
      <w:tr w:rsidR="00A95A36" w:rsidRPr="00E23CED" w14:paraId="2AB5091A" w14:textId="77777777" w:rsidTr="00C35CD8">
        <w:tc>
          <w:tcPr>
            <w:tcW w:w="1276" w:type="dxa"/>
            <w:vMerge w:val="restart"/>
          </w:tcPr>
          <w:p w14:paraId="39822E4F" w14:textId="0901D07B" w:rsidR="00BA7AF9" w:rsidRPr="00E23CED" w:rsidRDefault="00BA7AF9" w:rsidP="00CF7B7E">
            <w:pPr>
              <w:pStyle w:val="TableText"/>
              <w:spacing w:before="40" w:after="40"/>
            </w:pPr>
            <w:r w:rsidRPr="00E23CED">
              <w:t>DRP</w:t>
            </w:r>
            <w:r w:rsidR="00CB4752" w:rsidRPr="00E23CED">
              <w:t xml:space="preserve"> (mg/</w:t>
            </w:r>
            <w:r w:rsidR="007F4CF1" w:rsidRPr="00E23CED">
              <w:t>L</w:t>
            </w:r>
            <w:r w:rsidR="00CB4752" w:rsidRPr="00E23CED">
              <w:t>)</w:t>
            </w:r>
          </w:p>
        </w:tc>
        <w:tc>
          <w:tcPr>
            <w:tcW w:w="851" w:type="dxa"/>
          </w:tcPr>
          <w:p w14:paraId="52374EDC" w14:textId="5B39E90B" w:rsidR="00BA7AF9" w:rsidRPr="00E23CED" w:rsidRDefault="00BA7AF9" w:rsidP="00CF7B7E">
            <w:pPr>
              <w:pStyle w:val="TableText"/>
              <w:spacing w:before="40" w:after="40"/>
            </w:pPr>
            <w:r w:rsidRPr="00E23CED">
              <w:t>A</w:t>
            </w:r>
          </w:p>
        </w:tc>
        <w:tc>
          <w:tcPr>
            <w:tcW w:w="1134" w:type="dxa"/>
          </w:tcPr>
          <w:p w14:paraId="2ED936AC" w14:textId="3085E304" w:rsidR="00BA7AF9" w:rsidRPr="00E23CED" w:rsidRDefault="006A12F3" w:rsidP="00CF7B7E">
            <w:pPr>
              <w:pStyle w:val="TableText"/>
              <w:spacing w:before="40" w:after="40"/>
            </w:pPr>
            <w:r w:rsidRPr="00E23CED">
              <w:t>0.004</w:t>
            </w:r>
          </w:p>
        </w:tc>
        <w:tc>
          <w:tcPr>
            <w:tcW w:w="1417" w:type="dxa"/>
          </w:tcPr>
          <w:p w14:paraId="5E133BC6" w14:textId="61CC52C1" w:rsidR="00BA7AF9" w:rsidRPr="00E23CED" w:rsidRDefault="006A12F3" w:rsidP="00CF7B7E">
            <w:pPr>
              <w:pStyle w:val="TableText"/>
              <w:spacing w:before="40" w:after="40"/>
            </w:pPr>
            <w:r w:rsidRPr="00E23CED">
              <w:t>0.001</w:t>
            </w:r>
          </w:p>
        </w:tc>
        <w:tc>
          <w:tcPr>
            <w:tcW w:w="1012" w:type="dxa"/>
          </w:tcPr>
          <w:p w14:paraId="22E90C39" w14:textId="7A885FD4" w:rsidR="00BA7AF9" w:rsidRPr="00E23CED" w:rsidRDefault="00E15587" w:rsidP="00CF7B7E">
            <w:pPr>
              <w:pStyle w:val="TableText"/>
              <w:spacing w:before="40" w:after="40"/>
            </w:pPr>
            <w:r w:rsidRPr="00E23CED">
              <w:t>0.013</w:t>
            </w:r>
          </w:p>
        </w:tc>
        <w:tc>
          <w:tcPr>
            <w:tcW w:w="1826" w:type="dxa"/>
          </w:tcPr>
          <w:p w14:paraId="6186B2C2" w14:textId="6C7785E9" w:rsidR="00BA7AF9" w:rsidRPr="00E23CED" w:rsidRDefault="00C92B3E" w:rsidP="00CF7B7E">
            <w:pPr>
              <w:pStyle w:val="TableText"/>
              <w:spacing w:before="40" w:after="40"/>
            </w:pPr>
            <w:r w:rsidRPr="00E23CED">
              <w:t>0.008</w:t>
            </w:r>
          </w:p>
        </w:tc>
        <w:tc>
          <w:tcPr>
            <w:tcW w:w="989" w:type="dxa"/>
            <w:shd w:val="clear" w:color="auto" w:fill="D2DDE1" w:themeFill="background2"/>
          </w:tcPr>
          <w:p w14:paraId="0784A455" w14:textId="07397301" w:rsidR="00BA7AF9" w:rsidRPr="00E23CED" w:rsidRDefault="00C92B3E" w:rsidP="00CF7B7E">
            <w:pPr>
              <w:pStyle w:val="TableTextbold"/>
              <w:spacing w:before="40" w:after="40"/>
            </w:pPr>
            <w:r w:rsidRPr="00E23CED">
              <w:t>0.006</w:t>
            </w:r>
          </w:p>
        </w:tc>
      </w:tr>
      <w:tr w:rsidR="00A95A36" w:rsidRPr="00E23CED" w14:paraId="0BAADBC2" w14:textId="77777777" w:rsidTr="00C35CD8">
        <w:tc>
          <w:tcPr>
            <w:tcW w:w="1276" w:type="dxa"/>
            <w:vMerge/>
          </w:tcPr>
          <w:p w14:paraId="7E2AEFD3" w14:textId="77777777" w:rsidR="00BA7AF9" w:rsidRPr="00E23CED" w:rsidRDefault="00BA7AF9" w:rsidP="00CF7B7E">
            <w:pPr>
              <w:pStyle w:val="TableText"/>
              <w:spacing w:before="40" w:after="40"/>
            </w:pPr>
          </w:p>
        </w:tc>
        <w:tc>
          <w:tcPr>
            <w:tcW w:w="851" w:type="dxa"/>
          </w:tcPr>
          <w:p w14:paraId="503F797F" w14:textId="3EC72A0F" w:rsidR="00BA7AF9" w:rsidRPr="00E23CED" w:rsidRDefault="00BA7AF9" w:rsidP="00CF7B7E">
            <w:pPr>
              <w:pStyle w:val="TableText"/>
              <w:spacing w:before="40" w:after="40"/>
            </w:pPr>
            <w:r w:rsidRPr="00E23CED">
              <w:t>B</w:t>
            </w:r>
          </w:p>
        </w:tc>
        <w:tc>
          <w:tcPr>
            <w:tcW w:w="1134" w:type="dxa"/>
          </w:tcPr>
          <w:p w14:paraId="2E24E31E" w14:textId="2DEFE3A8" w:rsidR="00BA7AF9" w:rsidRPr="00E23CED" w:rsidRDefault="006A12F3" w:rsidP="00CF7B7E">
            <w:pPr>
              <w:pStyle w:val="TableText"/>
              <w:spacing w:before="40" w:after="40"/>
            </w:pPr>
            <w:r w:rsidRPr="00E23CED">
              <w:t>0.009</w:t>
            </w:r>
          </w:p>
        </w:tc>
        <w:tc>
          <w:tcPr>
            <w:tcW w:w="1417" w:type="dxa"/>
          </w:tcPr>
          <w:p w14:paraId="5829B18A" w14:textId="0220461C" w:rsidR="00BA7AF9" w:rsidRPr="00E23CED" w:rsidRDefault="006A12F3" w:rsidP="00CF7B7E">
            <w:pPr>
              <w:pStyle w:val="TableText"/>
              <w:spacing w:before="40" w:after="40"/>
            </w:pPr>
            <w:r w:rsidRPr="00E23CED">
              <w:t>0.009</w:t>
            </w:r>
          </w:p>
        </w:tc>
        <w:tc>
          <w:tcPr>
            <w:tcW w:w="1012" w:type="dxa"/>
          </w:tcPr>
          <w:p w14:paraId="528CEB73" w14:textId="4177093F" w:rsidR="00BA7AF9" w:rsidRPr="00E23CED" w:rsidRDefault="00E15587" w:rsidP="00CF7B7E">
            <w:pPr>
              <w:pStyle w:val="TableText"/>
              <w:spacing w:before="40" w:after="40"/>
            </w:pPr>
            <w:r w:rsidRPr="00E23CED">
              <w:t>0.016</w:t>
            </w:r>
          </w:p>
        </w:tc>
        <w:tc>
          <w:tcPr>
            <w:tcW w:w="1826" w:type="dxa"/>
          </w:tcPr>
          <w:p w14:paraId="03317F56" w14:textId="03188A1A" w:rsidR="00BA7AF9" w:rsidRPr="00E23CED" w:rsidRDefault="00C92B3E" w:rsidP="00CF7B7E">
            <w:pPr>
              <w:pStyle w:val="TableText"/>
              <w:spacing w:before="40" w:after="40"/>
            </w:pPr>
            <w:r w:rsidRPr="00E23CED">
              <w:t>0.009</w:t>
            </w:r>
          </w:p>
        </w:tc>
        <w:tc>
          <w:tcPr>
            <w:tcW w:w="989" w:type="dxa"/>
            <w:shd w:val="clear" w:color="auto" w:fill="D2DDE1" w:themeFill="background2"/>
          </w:tcPr>
          <w:p w14:paraId="1CEEB094" w14:textId="56090948" w:rsidR="00BA7AF9" w:rsidRPr="00E23CED" w:rsidRDefault="00C92B3E" w:rsidP="00CF7B7E">
            <w:pPr>
              <w:pStyle w:val="TableTextbold"/>
              <w:spacing w:before="40" w:after="40"/>
            </w:pPr>
            <w:r w:rsidRPr="00E23CED">
              <w:t>0.010</w:t>
            </w:r>
          </w:p>
        </w:tc>
      </w:tr>
      <w:tr w:rsidR="00A95A36" w:rsidRPr="00E23CED" w14:paraId="0918C82A" w14:textId="77777777" w:rsidTr="00C35CD8">
        <w:tc>
          <w:tcPr>
            <w:tcW w:w="1276" w:type="dxa"/>
            <w:vMerge/>
          </w:tcPr>
          <w:p w14:paraId="34BD4F55" w14:textId="77777777" w:rsidR="00BA7AF9" w:rsidRPr="00E23CED" w:rsidRDefault="00BA7AF9" w:rsidP="00CF7B7E">
            <w:pPr>
              <w:pStyle w:val="TableText"/>
              <w:spacing w:before="40" w:after="40"/>
            </w:pPr>
          </w:p>
        </w:tc>
        <w:tc>
          <w:tcPr>
            <w:tcW w:w="851" w:type="dxa"/>
          </w:tcPr>
          <w:p w14:paraId="5D995003" w14:textId="599976CA" w:rsidR="00BA7AF9" w:rsidRPr="00E23CED" w:rsidRDefault="00BA7AF9" w:rsidP="00CF7B7E">
            <w:pPr>
              <w:pStyle w:val="TableText"/>
              <w:spacing w:before="40" w:after="40"/>
            </w:pPr>
            <w:r w:rsidRPr="00E23CED">
              <w:t>C</w:t>
            </w:r>
          </w:p>
        </w:tc>
        <w:tc>
          <w:tcPr>
            <w:tcW w:w="1134" w:type="dxa"/>
          </w:tcPr>
          <w:p w14:paraId="5D9F5EA7" w14:textId="6CFAD72A" w:rsidR="00BA7AF9" w:rsidRPr="00E23CED" w:rsidRDefault="006A12F3" w:rsidP="00CF7B7E">
            <w:pPr>
              <w:pStyle w:val="TableText"/>
              <w:spacing w:before="40" w:after="40"/>
            </w:pPr>
            <w:r w:rsidRPr="00E23CED">
              <w:t>0.016</w:t>
            </w:r>
          </w:p>
        </w:tc>
        <w:tc>
          <w:tcPr>
            <w:tcW w:w="1417" w:type="dxa"/>
          </w:tcPr>
          <w:p w14:paraId="45FF0529" w14:textId="7193BE06" w:rsidR="00BA7AF9" w:rsidRPr="00E23CED" w:rsidRDefault="006A12F3" w:rsidP="00CF7B7E">
            <w:pPr>
              <w:pStyle w:val="TableText"/>
              <w:spacing w:before="40" w:after="40"/>
            </w:pPr>
            <w:r w:rsidRPr="00E23CED">
              <w:t>0.028</w:t>
            </w:r>
          </w:p>
        </w:tc>
        <w:tc>
          <w:tcPr>
            <w:tcW w:w="1012" w:type="dxa"/>
          </w:tcPr>
          <w:p w14:paraId="6375BD39" w14:textId="645D61D6" w:rsidR="00BA7AF9" w:rsidRPr="00E23CED" w:rsidRDefault="00E15587" w:rsidP="00CF7B7E">
            <w:pPr>
              <w:pStyle w:val="TableText"/>
              <w:spacing w:before="40" w:after="40"/>
            </w:pPr>
            <w:r w:rsidRPr="00E23CED">
              <w:t>0.019</w:t>
            </w:r>
          </w:p>
        </w:tc>
        <w:tc>
          <w:tcPr>
            <w:tcW w:w="1826" w:type="dxa"/>
          </w:tcPr>
          <w:p w14:paraId="36E930EA" w14:textId="3AB44ED9" w:rsidR="00BA7AF9" w:rsidRPr="00E23CED" w:rsidRDefault="00C92B3E" w:rsidP="00CF7B7E">
            <w:pPr>
              <w:pStyle w:val="TableText"/>
              <w:spacing w:before="40" w:after="40"/>
            </w:pPr>
            <w:r w:rsidRPr="00E23CED">
              <w:t>0.010</w:t>
            </w:r>
          </w:p>
        </w:tc>
        <w:tc>
          <w:tcPr>
            <w:tcW w:w="989" w:type="dxa"/>
            <w:shd w:val="clear" w:color="auto" w:fill="D2DDE1" w:themeFill="background2"/>
          </w:tcPr>
          <w:p w14:paraId="2B06487E" w14:textId="41F6A6F4" w:rsidR="00BA7AF9" w:rsidRPr="00E23CED" w:rsidRDefault="00C92B3E" w:rsidP="00CF7B7E">
            <w:pPr>
              <w:pStyle w:val="TableTextbold"/>
              <w:spacing w:before="40" w:after="40"/>
            </w:pPr>
            <w:r w:rsidRPr="00E23CED">
              <w:t>0.018</w:t>
            </w:r>
          </w:p>
        </w:tc>
      </w:tr>
    </w:tbl>
    <w:p w14:paraId="44A917F6" w14:textId="17876026" w:rsidR="00F600D7" w:rsidRPr="00E23CED" w:rsidRDefault="00F600D7" w:rsidP="00F600D7">
      <w:pPr>
        <w:pStyle w:val="Note"/>
        <w:spacing w:after="0"/>
      </w:pPr>
      <w:r w:rsidRPr="00E23CED">
        <w:t>Note: mg/L = milligram per litre.</w:t>
      </w:r>
    </w:p>
    <w:p w14:paraId="1D533182" w14:textId="25A7A845" w:rsidR="00E81642" w:rsidRPr="00E23CED" w:rsidRDefault="00E81642" w:rsidP="00A95A36">
      <w:pPr>
        <w:pStyle w:val="Source"/>
      </w:pPr>
      <w:r w:rsidRPr="00E23CED">
        <w:t xml:space="preserve">Source: Canning </w:t>
      </w:r>
      <w:r w:rsidR="00B13C75" w:rsidRPr="00E23CED">
        <w:t>(</w:t>
      </w:r>
      <w:r w:rsidRPr="00E23CED">
        <w:t>2020</w:t>
      </w:r>
      <w:r w:rsidR="00B13C75" w:rsidRPr="00E23CED">
        <w:t>)</w:t>
      </w:r>
    </w:p>
    <w:p w14:paraId="2C249CAB" w14:textId="4B9AD5AE" w:rsidR="0057495A" w:rsidRPr="00E23CED" w:rsidRDefault="00DB4403" w:rsidP="00C82976">
      <w:pPr>
        <w:pStyle w:val="BodyText"/>
        <w:spacing w:before="100" w:after="100"/>
      </w:pPr>
      <w:r w:rsidRPr="00E23CED">
        <w:t xml:space="preserve">Full details on how the numbers in </w:t>
      </w:r>
      <w:r w:rsidR="0095200B" w:rsidRPr="00E23CED">
        <w:t>t</w:t>
      </w:r>
      <w:r w:rsidRPr="00E23CED">
        <w:t xml:space="preserve">able 2 were derived </w:t>
      </w:r>
      <w:r w:rsidR="00165F66" w:rsidRPr="00E23CED">
        <w:t xml:space="preserve">are in </w:t>
      </w:r>
      <w:r w:rsidR="00CB561A" w:rsidRPr="00E23CED">
        <w:t>Canning (2020)</w:t>
      </w:r>
      <w:r w:rsidR="0095200B" w:rsidRPr="00E23CED">
        <w:t xml:space="preserve"> and</w:t>
      </w:r>
      <w:r w:rsidR="00897F56" w:rsidRPr="00E23CED">
        <w:t xml:space="preserve"> reproduced in</w:t>
      </w:r>
      <w:r w:rsidR="00E82F6B" w:rsidRPr="00E23CED">
        <w:t xml:space="preserve"> </w:t>
      </w:r>
      <w:r w:rsidR="0095200B" w:rsidRPr="00E23CED">
        <w:t>a</w:t>
      </w:r>
      <w:r w:rsidR="00BD77EC" w:rsidRPr="00E23CED">
        <w:t xml:space="preserve">ppendix 6 </w:t>
      </w:r>
      <w:r w:rsidR="00165F66" w:rsidRPr="00E23CED">
        <w:t xml:space="preserve">of the </w:t>
      </w:r>
      <w:hyperlink r:id="rId63" w:history="1">
        <w:r w:rsidR="0095200B" w:rsidRPr="00E23CED">
          <w:rPr>
            <w:rStyle w:val="Hyperlink"/>
            <w:i/>
            <w:iCs/>
          </w:rPr>
          <w:t>Supplementary report to the Minister for the Environment</w:t>
        </w:r>
      </w:hyperlink>
      <w:r w:rsidR="00F04AAC" w:rsidRPr="00E23CED">
        <w:t xml:space="preserve"> </w:t>
      </w:r>
      <w:r w:rsidR="0095200B" w:rsidRPr="00E23CED">
        <w:t xml:space="preserve">(Freshwater Science and Technical Advisory Group, 2020). </w:t>
      </w:r>
      <w:r w:rsidR="00F04AAC" w:rsidRPr="00E23CED">
        <w:t>Not</w:t>
      </w:r>
      <w:r w:rsidR="003A1057" w:rsidRPr="00E23CED">
        <w:t>e</w:t>
      </w:r>
      <w:r w:rsidR="00F04AAC" w:rsidRPr="00E23CED">
        <w:t xml:space="preserve"> that </w:t>
      </w:r>
      <w:r w:rsidR="0062685F" w:rsidRPr="00E23CED">
        <w:t>the</w:t>
      </w:r>
      <w:r w:rsidR="00941D41" w:rsidRPr="00E23CED">
        <w:t xml:space="preserve"> DIN </w:t>
      </w:r>
      <w:r w:rsidR="0095200B" w:rsidRPr="00E23CED">
        <w:t>and</w:t>
      </w:r>
      <w:r w:rsidR="00941D41" w:rsidRPr="00E23CED">
        <w:t xml:space="preserve"> DRP</w:t>
      </w:r>
      <w:r w:rsidR="00F65A11" w:rsidRPr="00E23CED">
        <w:t xml:space="preserve"> dissolved nutrient</w:t>
      </w:r>
      <w:r w:rsidR="0062685F" w:rsidRPr="00E23CED">
        <w:t xml:space="preserve"> </w:t>
      </w:r>
      <w:r w:rsidR="00F04AAC" w:rsidRPr="00E23CED">
        <w:t xml:space="preserve">bands </w:t>
      </w:r>
      <w:r w:rsidR="00652617" w:rsidRPr="00E23CED">
        <w:t xml:space="preserve">originally </w:t>
      </w:r>
      <w:r w:rsidR="0062685F" w:rsidRPr="00E23CED">
        <w:t>proposed by the STAG</w:t>
      </w:r>
      <w:r w:rsidR="00652617" w:rsidRPr="00E23CED">
        <w:t xml:space="preserve"> in </w:t>
      </w:r>
      <w:r w:rsidR="008B396B" w:rsidRPr="00E23CED">
        <w:t>its</w:t>
      </w:r>
      <w:r w:rsidR="00652617" w:rsidRPr="00E23CED">
        <w:t xml:space="preserve"> first report </w:t>
      </w:r>
      <w:r w:rsidR="006700EF" w:rsidRPr="00E23CED">
        <w:t xml:space="preserve">for the NPS-FM are the figures in the ‘average’ column </w:t>
      </w:r>
      <w:r w:rsidR="00D84903" w:rsidRPr="00E23CED">
        <w:t xml:space="preserve">in table 2 </w:t>
      </w:r>
      <w:r w:rsidR="00652617" w:rsidRPr="00E23CED">
        <w:t>(</w:t>
      </w:r>
      <w:hyperlink r:id="rId64" w:history="1">
        <w:r w:rsidR="0095200B" w:rsidRPr="00E23CED">
          <w:rPr>
            <w:rStyle w:val="Hyperlink"/>
            <w:rFonts w:eastAsiaTheme="majorEastAsia"/>
            <w:i/>
            <w:iCs/>
          </w:rPr>
          <w:t>Report to the Minister for the Environment</w:t>
        </w:r>
      </w:hyperlink>
      <w:r w:rsidR="0095200B" w:rsidRPr="00E23CED">
        <w:t>, Freshwater Science and Technical Advisory Group</w:t>
      </w:r>
      <w:r w:rsidR="00510C73" w:rsidRPr="00E23CED">
        <w:t xml:space="preserve">, </w:t>
      </w:r>
      <w:r w:rsidR="0095200B" w:rsidRPr="00E23CED">
        <w:t>2019)</w:t>
      </w:r>
      <w:r w:rsidR="004353E4" w:rsidRPr="00E23CED">
        <w:t>. Canning (2020</w:t>
      </w:r>
      <w:r w:rsidR="0011564A" w:rsidRPr="00E23CED">
        <w:t>, p</w:t>
      </w:r>
      <w:r w:rsidR="00C43CA2" w:rsidRPr="00E23CED">
        <w:t xml:space="preserve"> 4</w:t>
      </w:r>
      <w:r w:rsidR="004353E4" w:rsidRPr="00E23CED">
        <w:t xml:space="preserve">) describes </w:t>
      </w:r>
      <w:r w:rsidR="004D581C" w:rsidRPr="00E23CED">
        <w:t xml:space="preserve">these average figures as </w:t>
      </w:r>
      <w:r w:rsidR="0043202C" w:rsidRPr="00E23CED">
        <w:t>a</w:t>
      </w:r>
      <w:r w:rsidR="001E34FE">
        <w:t> </w:t>
      </w:r>
      <w:r w:rsidR="00FC366C" w:rsidRPr="00E23CED">
        <w:t>“</w:t>
      </w:r>
      <w:r w:rsidR="0043202C" w:rsidRPr="00E23CED">
        <w:t>multiple lines of evidence</w:t>
      </w:r>
      <w:r w:rsidR="00FC366C" w:rsidRPr="00E23CED">
        <w:t>”</w:t>
      </w:r>
      <w:r w:rsidR="0043202C" w:rsidRPr="00E23CED">
        <w:t xml:space="preserve"> approach </w:t>
      </w:r>
      <w:r w:rsidR="00D30A06" w:rsidRPr="00E23CED">
        <w:t xml:space="preserve">for determining nutrient criteria to </w:t>
      </w:r>
      <w:r w:rsidR="000D435C" w:rsidRPr="00E23CED">
        <w:t xml:space="preserve">manage </w:t>
      </w:r>
      <w:r w:rsidR="0012596A" w:rsidRPr="00E23CED">
        <w:t>risk to</w:t>
      </w:r>
      <w:r w:rsidR="00D30A06" w:rsidRPr="00E23CED">
        <w:t xml:space="preserve"> overall ecosystem health</w:t>
      </w:r>
      <w:r w:rsidR="00F81041" w:rsidRPr="00E23CED">
        <w:t>.</w:t>
      </w:r>
      <w:r w:rsidR="00260425" w:rsidRPr="00E23CED">
        <w:t xml:space="preserve"> This </w:t>
      </w:r>
      <w:r w:rsidR="00C133BA" w:rsidRPr="00E23CED">
        <w:t xml:space="preserve">identification of </w:t>
      </w:r>
      <w:r w:rsidR="003F6D12" w:rsidRPr="00E23CED">
        <w:t xml:space="preserve">a single set of criteria for overall ecosystem health </w:t>
      </w:r>
      <w:r w:rsidR="00260425" w:rsidRPr="00E23CED">
        <w:t xml:space="preserve">is </w:t>
      </w:r>
      <w:r w:rsidR="001564F7" w:rsidRPr="00E23CED">
        <w:t>distinctive</w:t>
      </w:r>
      <w:r w:rsidR="00F4113C" w:rsidRPr="00E23CED">
        <w:t>.</w:t>
      </w:r>
      <w:r w:rsidR="00BA582E" w:rsidRPr="00E23CED">
        <w:t xml:space="preserve"> </w:t>
      </w:r>
      <w:r w:rsidR="00F4113C" w:rsidRPr="00E23CED">
        <w:t>C</w:t>
      </w:r>
      <w:r w:rsidR="003F6D12" w:rsidRPr="00E23CED">
        <w:t xml:space="preserve">ompared </w:t>
      </w:r>
      <w:r w:rsidR="00F571CB" w:rsidRPr="00E23CED">
        <w:t>with</w:t>
      </w:r>
      <w:r w:rsidR="003F6D12" w:rsidRPr="00E23CED">
        <w:t xml:space="preserve"> the </w:t>
      </w:r>
      <w:r w:rsidR="002F3701" w:rsidRPr="00E23CED">
        <w:t xml:space="preserve">multiple </w:t>
      </w:r>
      <w:r w:rsidR="000F1083" w:rsidRPr="00E23CED">
        <w:t>options for periphyton criteria</w:t>
      </w:r>
      <w:r w:rsidR="00FC6FDA" w:rsidRPr="00E23CED">
        <w:t xml:space="preserve"> </w:t>
      </w:r>
      <w:r w:rsidR="0019096C" w:rsidRPr="00E23CED">
        <w:t xml:space="preserve">provided in </w:t>
      </w:r>
      <w:r w:rsidR="0095200B" w:rsidRPr="00E23CED">
        <w:t>Ministry for the Environment</w:t>
      </w:r>
      <w:r w:rsidR="00FC6FDA" w:rsidRPr="00E23CED">
        <w:t xml:space="preserve"> </w:t>
      </w:r>
      <w:r w:rsidR="00345427" w:rsidRPr="00E23CED">
        <w:t>(</w:t>
      </w:r>
      <w:r w:rsidR="00FC6FDA" w:rsidRPr="00E23CED">
        <w:t>2022a</w:t>
      </w:r>
      <w:r w:rsidR="00345427" w:rsidRPr="00E23CED">
        <w:t>)</w:t>
      </w:r>
      <w:r w:rsidR="00FC6FDA" w:rsidRPr="00E23CED">
        <w:t xml:space="preserve"> and</w:t>
      </w:r>
      <w:r w:rsidR="0019096C" w:rsidRPr="00E23CED">
        <w:t xml:space="preserve"> for other individual attributes in </w:t>
      </w:r>
      <w:r w:rsidR="0095200B" w:rsidRPr="00E23CED">
        <w:t>Ministry for the Environment</w:t>
      </w:r>
      <w:r w:rsidR="00FC6FDA" w:rsidRPr="00E23CED">
        <w:t xml:space="preserve"> </w:t>
      </w:r>
      <w:r w:rsidR="00345427" w:rsidRPr="00E23CED">
        <w:t>(</w:t>
      </w:r>
      <w:r w:rsidR="00FC6FDA" w:rsidRPr="00E23CED">
        <w:t>2022b</w:t>
      </w:r>
      <w:r w:rsidR="00345427" w:rsidRPr="00E23CED">
        <w:t>)</w:t>
      </w:r>
      <w:r w:rsidR="00065105" w:rsidRPr="00E23CED">
        <w:t xml:space="preserve">, </w:t>
      </w:r>
      <w:r w:rsidR="0099554D" w:rsidRPr="00E23CED">
        <w:t xml:space="preserve">this </w:t>
      </w:r>
      <w:r w:rsidR="00065105" w:rsidRPr="00E23CED">
        <w:t>is potentially an advantage in terms of being simple</w:t>
      </w:r>
      <w:r w:rsidR="0019096C" w:rsidRPr="00E23CED">
        <w:t>.</w:t>
      </w:r>
      <w:r w:rsidR="001471EF" w:rsidRPr="00E23CED">
        <w:t xml:space="preserve"> </w:t>
      </w:r>
      <w:r w:rsidR="00E069E2" w:rsidRPr="00E23CED">
        <w:t>When</w:t>
      </w:r>
      <w:r w:rsidR="00450399" w:rsidRPr="00E23CED">
        <w:t xml:space="preserve"> comprehensive </w:t>
      </w:r>
      <w:r w:rsidR="00E069E2" w:rsidRPr="00E23CED">
        <w:t xml:space="preserve">datasets and </w:t>
      </w:r>
      <w:r w:rsidR="00450399" w:rsidRPr="00E23CED">
        <w:t xml:space="preserve">understanding </w:t>
      </w:r>
      <w:r w:rsidR="00E069E2" w:rsidRPr="00E23CED">
        <w:t xml:space="preserve">are lacking, a simple approach may </w:t>
      </w:r>
      <w:r w:rsidR="0033378C" w:rsidRPr="00E23CED">
        <w:t xml:space="preserve">reflect the best available information. </w:t>
      </w:r>
    </w:p>
    <w:p w14:paraId="7A18AF39" w14:textId="5888FF7E" w:rsidR="00463BCA" w:rsidRPr="00E23CED" w:rsidRDefault="00143FD9" w:rsidP="00C82976">
      <w:pPr>
        <w:pStyle w:val="BodyText"/>
        <w:spacing w:before="100" w:after="100"/>
      </w:pPr>
      <w:r w:rsidRPr="00E23CED">
        <w:t xml:space="preserve">Disadvantages </w:t>
      </w:r>
      <w:r w:rsidR="00C94AD9" w:rsidRPr="00E23CED">
        <w:t xml:space="preserve">of the </w:t>
      </w:r>
      <w:r w:rsidR="00FF3D29" w:rsidRPr="00E23CED">
        <w:t>criteria</w:t>
      </w:r>
      <w:r w:rsidR="00C94AD9" w:rsidRPr="00E23CED">
        <w:t xml:space="preserve"> presented in </w:t>
      </w:r>
      <w:r w:rsidR="0095200B" w:rsidRPr="00E23CED">
        <w:t>t</w:t>
      </w:r>
      <w:r w:rsidR="00C94AD9" w:rsidRPr="00E23CED">
        <w:t>able 2</w:t>
      </w:r>
      <w:r w:rsidR="009E58B0" w:rsidRPr="00E23CED">
        <w:t xml:space="preserve"> </w:t>
      </w:r>
      <w:r w:rsidR="00766CDC" w:rsidRPr="00E23CED">
        <w:t>are discussed in a</w:t>
      </w:r>
      <w:r w:rsidR="00D856C7" w:rsidRPr="00E23CED">
        <w:t xml:space="preserve"> summary of the perspectives</w:t>
      </w:r>
      <w:r w:rsidR="00475ACE" w:rsidRPr="00E23CED">
        <w:t xml:space="preserve"> of the minority group of STAG members</w:t>
      </w:r>
      <w:r w:rsidR="0043425D" w:rsidRPr="00E23CED">
        <w:t xml:space="preserve"> </w:t>
      </w:r>
      <w:r w:rsidR="009D5F7A" w:rsidRPr="00E23CED">
        <w:t xml:space="preserve">provided in </w:t>
      </w:r>
      <w:r w:rsidR="00FC366C" w:rsidRPr="00E23CED">
        <w:t>a</w:t>
      </w:r>
      <w:r w:rsidR="009D5F7A" w:rsidRPr="00E23CED">
        <w:t>ppendix 7 in the</w:t>
      </w:r>
      <w:r w:rsidR="0095200B" w:rsidRPr="00E23CED">
        <w:rPr>
          <w:rStyle w:val="Hyperlink"/>
        </w:rPr>
        <w:t xml:space="preserve"> </w:t>
      </w:r>
      <w:hyperlink r:id="rId65" w:history="1">
        <w:r w:rsidR="0095200B" w:rsidRPr="00E23CED">
          <w:rPr>
            <w:rStyle w:val="Hyperlink"/>
            <w:i/>
            <w:iCs/>
          </w:rPr>
          <w:t>Supplementary report to the Minister for the Environment</w:t>
        </w:r>
      </w:hyperlink>
      <w:r w:rsidR="0095200B" w:rsidRPr="00E23CED">
        <w:t xml:space="preserve"> (Freshwater Science and Technical Advisory Group, 2020)</w:t>
      </w:r>
      <w:r w:rsidR="009D5F7A" w:rsidRPr="00E23CED">
        <w:t>.</w:t>
      </w:r>
      <w:r w:rsidR="003A5B52" w:rsidRPr="00E23CED">
        <w:t xml:space="preserve"> </w:t>
      </w:r>
      <w:r w:rsidR="00802324" w:rsidRPr="00E23CED">
        <w:t>Significant</w:t>
      </w:r>
      <w:r w:rsidR="007F0F43" w:rsidRPr="00E23CED">
        <w:t xml:space="preserve"> a</w:t>
      </w:r>
      <w:r w:rsidR="00E71232" w:rsidRPr="00E23CED">
        <w:t>mong their conce</w:t>
      </w:r>
      <w:r w:rsidR="00B768A9" w:rsidRPr="00E23CED">
        <w:t>rns</w:t>
      </w:r>
      <w:r w:rsidR="007F0F43" w:rsidRPr="00E23CED">
        <w:t xml:space="preserve"> </w:t>
      </w:r>
      <w:r w:rsidR="00656B23" w:rsidRPr="00E23CED">
        <w:t xml:space="preserve">is </w:t>
      </w:r>
      <w:r w:rsidR="00405F59" w:rsidRPr="00E23CED">
        <w:t xml:space="preserve">that the </w:t>
      </w:r>
      <w:r w:rsidR="00353C35" w:rsidRPr="00E23CED">
        <w:t xml:space="preserve">criteria </w:t>
      </w:r>
      <w:r w:rsidR="005E2455" w:rsidRPr="00E23CED">
        <w:t>were</w:t>
      </w:r>
      <w:r w:rsidR="00353C35" w:rsidRPr="00E23CED">
        <w:t xml:space="preserve"> derived based on</w:t>
      </w:r>
      <w:r w:rsidR="00C83C6C" w:rsidRPr="00E23CED">
        <w:t> </w:t>
      </w:r>
      <w:r w:rsidR="00353C35" w:rsidRPr="00E23CED">
        <w:t xml:space="preserve">weak relationships that vary </w:t>
      </w:r>
      <w:r w:rsidR="008169D2" w:rsidRPr="00E23CED">
        <w:t>substantially from river to river.</w:t>
      </w:r>
      <w:r w:rsidR="001A7AB3" w:rsidRPr="00E23CED">
        <w:t xml:space="preserve"> </w:t>
      </w:r>
      <w:r w:rsidR="00295F2B" w:rsidRPr="00E23CED">
        <w:t>On this basis</w:t>
      </w:r>
      <w:r w:rsidR="00640731" w:rsidRPr="00E23CED">
        <w:t>,</w:t>
      </w:r>
      <w:r w:rsidR="00A371CA" w:rsidRPr="00E23CED">
        <w:t xml:space="preserve"> it may not be </w:t>
      </w:r>
      <w:r w:rsidR="001A7AB3" w:rsidRPr="00E23CED">
        <w:t xml:space="preserve">appropriate to apply a ‘one-size-fits-all’ </w:t>
      </w:r>
      <w:r w:rsidR="008E28C9" w:rsidRPr="00E23CED">
        <w:t xml:space="preserve">approach </w:t>
      </w:r>
      <w:r w:rsidR="00A371CA" w:rsidRPr="00E23CED">
        <w:t xml:space="preserve">for an attribute </w:t>
      </w:r>
      <w:r w:rsidR="00517C2C" w:rsidRPr="00E23CED">
        <w:t xml:space="preserve">for which the </w:t>
      </w:r>
      <w:r w:rsidR="0012596A" w:rsidRPr="00E23CED">
        <w:t>influence is known to vary substantially across sites and habitat types.</w:t>
      </w:r>
    </w:p>
    <w:p w14:paraId="5EBC02D5" w14:textId="0B13A897" w:rsidR="00D70267" w:rsidRPr="00E23CED" w:rsidRDefault="00463BCA" w:rsidP="00C82976">
      <w:pPr>
        <w:pStyle w:val="BodyText"/>
        <w:spacing w:before="100" w:after="100"/>
      </w:pPr>
      <w:r w:rsidRPr="00E23CED">
        <w:t xml:space="preserve">Recognition of the limitations of a ‘one-size-fits-all’ approach led to the </w:t>
      </w:r>
      <w:r w:rsidR="00590723" w:rsidRPr="00E23CED">
        <w:t xml:space="preserve">development of the </w:t>
      </w:r>
      <w:r w:rsidRPr="00E23CED">
        <w:t>periphyton look</w:t>
      </w:r>
      <w:r w:rsidR="005C3BA9" w:rsidRPr="00E23CED">
        <w:t>-</w:t>
      </w:r>
      <w:r w:rsidRPr="00E23CED">
        <w:t xml:space="preserve">up tables, explained </w:t>
      </w:r>
      <w:r w:rsidR="00232EB9" w:rsidRPr="00E23CED">
        <w:t xml:space="preserve">in </w:t>
      </w:r>
      <w:hyperlink w:anchor="_3.3.6._Periphyton_and" w:history="1">
        <w:r w:rsidR="00E2783D" w:rsidRPr="00E23CED">
          <w:rPr>
            <w:rStyle w:val="Hyperlink"/>
          </w:rPr>
          <w:t>section 3.3.6 Periphyton and the look-up tables</w:t>
        </w:r>
      </w:hyperlink>
      <w:r w:rsidRPr="00E23CED">
        <w:t xml:space="preserve">. </w:t>
      </w:r>
      <w:r w:rsidR="00D602E3" w:rsidRPr="00E23CED">
        <w:t xml:space="preserve">The use of </w:t>
      </w:r>
      <w:r w:rsidRPr="00E23CED">
        <w:t>periphyton criteria and combination</w:t>
      </w:r>
      <w:r w:rsidR="00D602E3" w:rsidRPr="00E23CED">
        <w:t>s of</w:t>
      </w:r>
      <w:r w:rsidRPr="00E23CED">
        <w:t xml:space="preserve"> other attribute criteria in </w:t>
      </w:r>
      <w:r w:rsidR="00517C2C" w:rsidRPr="00E23CED">
        <w:t>Ministry for the Environment</w:t>
      </w:r>
      <w:r w:rsidR="00345427" w:rsidRPr="00E23CED">
        <w:t xml:space="preserve"> (</w:t>
      </w:r>
      <w:r w:rsidRPr="00E23CED">
        <w:t>2022b</w:t>
      </w:r>
      <w:r w:rsidR="00345427" w:rsidRPr="00E23CED">
        <w:t>)</w:t>
      </w:r>
      <w:r w:rsidRPr="00E23CED">
        <w:t xml:space="preserve"> </w:t>
      </w:r>
      <w:r w:rsidR="00517C2C" w:rsidRPr="00E23CED">
        <w:t>requires</w:t>
      </w:r>
      <w:r w:rsidRPr="00E23CED">
        <w:t xml:space="preserve"> assumptions that those individual attribute criteria will also provide for other attributes and overall ecosystem health; </w:t>
      </w:r>
      <w:r w:rsidR="00517C2C" w:rsidRPr="00E23CED">
        <w:t xml:space="preserve">these </w:t>
      </w:r>
      <w:r w:rsidRPr="00E23CED">
        <w:t>assumptions could potentially be made at this</w:t>
      </w:r>
      <w:r w:rsidR="00C35CD8" w:rsidRPr="00E23CED">
        <w:t> </w:t>
      </w:r>
      <w:r w:rsidRPr="00E23CED">
        <w:t xml:space="preserve">time based on the established ecosystem linkages </w:t>
      </w:r>
      <w:r w:rsidR="00517C2C" w:rsidRPr="00E23CED">
        <w:t xml:space="preserve">shown </w:t>
      </w:r>
      <w:r w:rsidRPr="00E23CED">
        <w:t xml:space="preserve">in </w:t>
      </w:r>
      <w:r w:rsidR="00517C2C" w:rsidRPr="00E23CED">
        <w:t>f</w:t>
      </w:r>
      <w:r w:rsidRPr="00E23CED">
        <w:t>igure 4.</w:t>
      </w:r>
    </w:p>
    <w:p w14:paraId="0BCDC366" w14:textId="504B679C" w:rsidR="00981940" w:rsidRPr="00E23CED" w:rsidRDefault="003E5746" w:rsidP="00A77B46">
      <w:pPr>
        <w:pStyle w:val="Heading3"/>
        <w:tabs>
          <w:tab w:val="clear" w:pos="851"/>
          <w:tab w:val="left" w:pos="964"/>
        </w:tabs>
        <w:spacing w:before="320"/>
      </w:pPr>
      <w:bookmarkStart w:id="69" w:name="_3.3.6._Periphyton_and"/>
      <w:bookmarkStart w:id="70" w:name="_3.3.6__Periphyton"/>
      <w:bookmarkStart w:id="71" w:name="_Ref140417652"/>
      <w:bookmarkStart w:id="72" w:name="_Ref140424870"/>
      <w:bookmarkStart w:id="73" w:name="_Ref140425273"/>
      <w:bookmarkEnd w:id="69"/>
      <w:bookmarkEnd w:id="70"/>
      <w:r w:rsidRPr="00E23CED">
        <w:t>3</w:t>
      </w:r>
      <w:r w:rsidR="00572CA5" w:rsidRPr="00E23CED">
        <w:t>.</w:t>
      </w:r>
      <w:r w:rsidR="0028097E" w:rsidRPr="00E23CED">
        <w:t>3</w:t>
      </w:r>
      <w:r w:rsidR="00572CA5" w:rsidRPr="00E23CED">
        <w:t>.</w:t>
      </w:r>
      <w:r w:rsidR="00773567" w:rsidRPr="00E23CED">
        <w:t>6</w:t>
      </w:r>
      <w:r w:rsidR="00AB34E7" w:rsidRPr="00E23CED">
        <w:t xml:space="preserve"> </w:t>
      </w:r>
      <w:r w:rsidR="00A95A36" w:rsidRPr="00E23CED">
        <w:tab/>
      </w:r>
      <w:r w:rsidR="00420D45" w:rsidRPr="00E23CED">
        <w:t>P</w:t>
      </w:r>
      <w:r w:rsidR="00572CA5" w:rsidRPr="00E23CED">
        <w:t>eriphyton</w:t>
      </w:r>
      <w:r w:rsidR="00981940" w:rsidRPr="00E23CED">
        <w:t xml:space="preserve"> </w:t>
      </w:r>
      <w:r w:rsidR="00420D45" w:rsidRPr="00E23CED">
        <w:t xml:space="preserve">and the </w:t>
      </w:r>
      <w:r w:rsidR="00981940" w:rsidRPr="00E23CED">
        <w:t>look</w:t>
      </w:r>
      <w:r w:rsidR="005C3BA9" w:rsidRPr="00E23CED">
        <w:t>-</w:t>
      </w:r>
      <w:r w:rsidR="00981940" w:rsidRPr="00E23CED">
        <w:t>up tables</w:t>
      </w:r>
      <w:bookmarkEnd w:id="71"/>
      <w:bookmarkEnd w:id="72"/>
      <w:bookmarkEnd w:id="73"/>
    </w:p>
    <w:p w14:paraId="615F1251" w14:textId="4ACC2F43" w:rsidR="00572CA5" w:rsidRPr="00E23CED" w:rsidRDefault="00572CA5" w:rsidP="00C82976">
      <w:pPr>
        <w:pStyle w:val="Heading4"/>
        <w:spacing w:before="200"/>
      </w:pPr>
      <w:r w:rsidRPr="00E23CED">
        <w:t>Periphyton biomass and nutrient enrichment</w:t>
      </w:r>
    </w:p>
    <w:p w14:paraId="174E9E45" w14:textId="1ABE7757" w:rsidR="00572CA5" w:rsidRPr="00E23CED" w:rsidRDefault="00572CA5" w:rsidP="00C82976">
      <w:pPr>
        <w:pStyle w:val="BodyText"/>
        <w:spacing w:before="100" w:after="100"/>
      </w:pPr>
      <w:r w:rsidRPr="00E23CED">
        <w:rPr>
          <w:bdr w:val="none" w:sz="0" w:space="0" w:color="auto" w:frame="1"/>
        </w:rPr>
        <w:t>Periphyton comprises a mixture of algae (including cyanobacteria), heterotrophic microbes (eg, bacteria) and other organic</w:t>
      </w:r>
      <w:r w:rsidR="005926FE" w:rsidRPr="00E23CED">
        <w:rPr>
          <w:bdr w:val="none" w:sz="0" w:space="0" w:color="auto" w:frame="1"/>
        </w:rPr>
        <w:t>–</w:t>
      </w:r>
      <w:r w:rsidRPr="00E23CED">
        <w:rPr>
          <w:bdr w:val="none" w:sz="0" w:space="0" w:color="auto" w:frame="1"/>
        </w:rPr>
        <w:t xml:space="preserve">inorganic </w:t>
      </w:r>
      <w:r w:rsidRPr="00E23CED">
        <w:t>material</w:t>
      </w:r>
      <w:r w:rsidRPr="00E23CED">
        <w:rPr>
          <w:bdr w:val="none" w:sz="0" w:space="0" w:color="auto" w:frame="1"/>
        </w:rPr>
        <w:t>, with algae usually dominating.</w:t>
      </w:r>
      <w:r w:rsidR="003A5B52" w:rsidRPr="00E23CED">
        <w:rPr>
          <w:bdr w:val="none" w:sz="0" w:space="0" w:color="auto" w:frame="1"/>
        </w:rPr>
        <w:t xml:space="preserve"> </w:t>
      </w:r>
      <w:r w:rsidRPr="00E23CED">
        <w:rPr>
          <w:bdr w:val="none" w:sz="0" w:space="0" w:color="auto" w:frame="1"/>
        </w:rPr>
        <w:t xml:space="preserve">Periphyton </w:t>
      </w:r>
      <w:r w:rsidRPr="00E23CED">
        <w:rPr>
          <w:bdr w:val="none" w:sz="0" w:space="0" w:color="auto" w:frame="1"/>
        </w:rPr>
        <w:lastRenderedPageBreak/>
        <w:t xml:space="preserve">grows on the substrate of rivers and is an important component of healthy river ecosystems. </w:t>
      </w:r>
      <w:r w:rsidRPr="00E23CED">
        <w:t>Low-to-moderate levels of periphyton biomass support river food webs and contribute to ecosystem services (</w:t>
      </w:r>
      <w:r w:rsidR="006678C2" w:rsidRPr="00E23CED">
        <w:t>eg</w:t>
      </w:r>
      <w:r w:rsidRPr="00E23CED">
        <w:t xml:space="preserve">, carbon and nutrient cycling, biodiversity). Appropriate </w:t>
      </w:r>
      <w:r w:rsidR="54630E98" w:rsidRPr="00E23CED">
        <w:t>nutrient</w:t>
      </w:r>
      <w:r w:rsidRPr="00E23CED">
        <w:t xml:space="preserve"> </w:t>
      </w:r>
      <w:r w:rsidRPr="00E23CED">
        <w:rPr>
          <w:spacing w:val="-2"/>
        </w:rPr>
        <w:t>management mitigates the risk of periphyton proliferations that may have undesirable effects on</w:t>
      </w:r>
      <w:r w:rsidRPr="00E23CED">
        <w:t xml:space="preserve"> ecosystem health (</w:t>
      </w:r>
      <w:r w:rsidR="006678C2" w:rsidRPr="00E23CED">
        <w:t>eg</w:t>
      </w:r>
      <w:r w:rsidRPr="00E23CED">
        <w:t>, oxygen and pH fluctuations that can be harmful to macroinvertebrates and fish, smothering of habitat used by macroinvertebrates) and water uses (</w:t>
      </w:r>
      <w:r w:rsidR="006678C2" w:rsidRPr="00E23CED">
        <w:t>eg</w:t>
      </w:r>
      <w:r w:rsidRPr="00E23CED">
        <w:t>, reducing suitability for swimming and angling, increasing risk of blocking water abstraction equipment) (Biggs, 2000).</w:t>
      </w:r>
    </w:p>
    <w:p w14:paraId="1A86F1B3" w14:textId="17F51408" w:rsidR="00572CA5" w:rsidRPr="00E23CED" w:rsidRDefault="00572CA5" w:rsidP="00C82976">
      <w:pPr>
        <w:pStyle w:val="BodyText"/>
        <w:spacing w:before="100" w:after="100"/>
      </w:pPr>
      <w:r w:rsidRPr="00E23CED">
        <w:t>During periods of stable river flows, periphyton growth (primarily driven by photosynthesis in</w:t>
      </w:r>
      <w:r w:rsidR="00B965AE" w:rsidRPr="00E23CED">
        <w:t> </w:t>
      </w:r>
      <w:r w:rsidRPr="00E23CED">
        <w:t xml:space="preserve">algae) involves nutrient uptake </w:t>
      </w:r>
      <w:bookmarkStart w:id="74" w:name="_Hlk131579309"/>
      <w:r w:rsidR="00F21B98" w:rsidRPr="00E23CED">
        <w:t>accompanying carbon fixation</w:t>
      </w:r>
      <w:r w:rsidR="005A3590" w:rsidRPr="00E23CED">
        <w:t>. This</w:t>
      </w:r>
      <w:r w:rsidRPr="00E23CED">
        <w:t xml:space="preserve"> increases biomass</w:t>
      </w:r>
      <w:r w:rsidR="00F21B98" w:rsidRPr="00E23CED">
        <w:t xml:space="preserve"> through cell division</w:t>
      </w:r>
      <w:r w:rsidRPr="00E23CED">
        <w:t xml:space="preserve"> until other resources</w:t>
      </w:r>
      <w:r w:rsidR="00215CC7" w:rsidRPr="00E23CED">
        <w:t>,</w:t>
      </w:r>
      <w:r w:rsidRPr="00E23CED">
        <w:t xml:space="preserve"> such as available space on hard substrates</w:t>
      </w:r>
      <w:r w:rsidR="00215CC7" w:rsidRPr="00E23CED">
        <w:t>,</w:t>
      </w:r>
      <w:r w:rsidRPr="00E23CED">
        <w:t xml:space="preserve"> become</w:t>
      </w:r>
      <w:r w:rsidR="00B965AE" w:rsidRPr="00E23CED">
        <w:t> </w:t>
      </w:r>
      <w:r w:rsidRPr="00E23CED">
        <w:t>limiting.</w:t>
      </w:r>
      <w:r w:rsidR="003A5B52" w:rsidRPr="00E23CED">
        <w:t xml:space="preserve"> </w:t>
      </w:r>
    </w:p>
    <w:bookmarkEnd w:id="74"/>
    <w:p w14:paraId="233F5B3D" w14:textId="710AD381" w:rsidR="00572CA5" w:rsidRPr="00E23CED" w:rsidRDefault="00572CA5" w:rsidP="00C82976">
      <w:pPr>
        <w:pStyle w:val="BodyText"/>
        <w:spacing w:before="100" w:after="100"/>
      </w:pPr>
      <w:r w:rsidRPr="00E23CED">
        <w:t xml:space="preserve">In many rivers, high nutrient uptake rates during summer low flows can lower the dissolved nutrient concentration in the water and alter the downstream nutrient concentrations (see box </w:t>
      </w:r>
      <w:r w:rsidR="00215CC7" w:rsidRPr="00E23CED">
        <w:t>on temporal and downstream extent of nutrient impacts on periphyton biomass</w:t>
      </w:r>
      <w:r w:rsidRPr="00E23CED">
        <w:t xml:space="preserve">). This has two </w:t>
      </w:r>
      <w:r w:rsidR="007256EB" w:rsidRPr="00E23CED">
        <w:t xml:space="preserve">main </w:t>
      </w:r>
      <w:r w:rsidRPr="00E23CED">
        <w:t>implications</w:t>
      </w:r>
      <w:r w:rsidR="007256EB" w:rsidRPr="00E23CED">
        <w:t>.</w:t>
      </w:r>
    </w:p>
    <w:p w14:paraId="509BED4E" w14:textId="3CCCB276" w:rsidR="00572CA5" w:rsidRPr="00E23CED" w:rsidRDefault="00572CA5" w:rsidP="00C82976">
      <w:pPr>
        <w:pStyle w:val="Bullet"/>
        <w:spacing w:after="100"/>
      </w:pPr>
      <w:r w:rsidRPr="00E23CED">
        <w:t xml:space="preserve">Relationships between instantaneous nutrient concentrations and periphyton biomass </w:t>
      </w:r>
      <w:bookmarkStart w:id="75" w:name="_Hlk131579706"/>
      <w:r w:rsidR="004F0CC5" w:rsidRPr="00E23CED">
        <w:t>may reflect the effect of periphyton on nutrient concentrations rather than the converse</w:t>
      </w:r>
      <w:r w:rsidRPr="00E23CED">
        <w:t xml:space="preserve"> </w:t>
      </w:r>
      <w:bookmarkEnd w:id="75"/>
      <w:r w:rsidRPr="00E23CED">
        <w:t>(</w:t>
      </w:r>
      <w:r w:rsidR="006678C2" w:rsidRPr="00E23CED">
        <w:t>eg</w:t>
      </w:r>
      <w:r w:rsidR="00215CC7" w:rsidRPr="00E23CED">
        <w:t>,</w:t>
      </w:r>
      <w:r w:rsidRPr="00E23CED">
        <w:t xml:space="preserve"> they are often negative)</w:t>
      </w:r>
      <w:r w:rsidR="00215CC7" w:rsidRPr="00E23CED">
        <w:t>.</w:t>
      </w:r>
      <w:r w:rsidRPr="00E23CED">
        <w:t xml:space="preserve"> </w:t>
      </w:r>
      <w:r w:rsidR="00215CC7" w:rsidRPr="00E23CED">
        <w:t>T</w:t>
      </w:r>
      <w:r w:rsidRPr="00E23CED">
        <w:t>herefore</w:t>
      </w:r>
      <w:r w:rsidR="00C80557" w:rsidRPr="00E23CED">
        <w:t>,</w:t>
      </w:r>
      <w:r w:rsidRPr="00E23CED">
        <w:t xml:space="preserve"> relationships between nutrient concentrations and periphyton biomass </w:t>
      </w:r>
      <w:r w:rsidR="005B6C72">
        <w:t>should</w:t>
      </w:r>
      <w:r w:rsidRPr="00E23CED">
        <w:t xml:space="preserve"> be established using data summarised over time (eg, monthly concentrations over a year or longer).</w:t>
      </w:r>
    </w:p>
    <w:p w14:paraId="529ACA1F" w14:textId="4760EA3C" w:rsidR="00572CA5" w:rsidRPr="00E23CED" w:rsidRDefault="004F0CC5" w:rsidP="00C83C6C">
      <w:pPr>
        <w:pStyle w:val="Bullet"/>
        <w:spacing w:after="240"/>
      </w:pPr>
      <w:bookmarkStart w:id="76" w:name="_Hlk131579749"/>
      <w:r w:rsidRPr="00E23CED">
        <w:t xml:space="preserve">High nutrient uptake </w:t>
      </w:r>
      <w:bookmarkEnd w:id="76"/>
      <w:r w:rsidRPr="00E23CED">
        <w:t>rates</w:t>
      </w:r>
      <w:r w:rsidR="00710879" w:rsidRPr="00E23CED">
        <w:t xml:space="preserve"> in one part of the stream</w:t>
      </w:r>
      <w:r w:rsidR="00572CA5" w:rsidRPr="00E23CED">
        <w:t xml:space="preserve"> highlight the downstream spatial extent of nutrient-input effects on periphyton biomass, and the spatial variability of both nutrient concentrations and periphyton biomass at a single point in time.</w:t>
      </w:r>
    </w:p>
    <w:tbl>
      <w:tblPr>
        <w:tblStyle w:val="TableGrid"/>
        <w:tblW w:w="8497"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497"/>
      </w:tblGrid>
      <w:tr w:rsidR="00572CA5" w:rsidRPr="00E23CED" w:rsidDel="00A97DA3" w14:paraId="7F238E3C" w14:textId="77777777" w:rsidTr="00C83C6C">
        <w:tc>
          <w:tcPr>
            <w:tcW w:w="8497" w:type="dxa"/>
            <w:shd w:val="clear" w:color="auto" w:fill="D2DDE2"/>
          </w:tcPr>
          <w:p w14:paraId="65320E9C" w14:textId="77777777" w:rsidR="00572CA5" w:rsidRPr="00E23CED" w:rsidRDefault="00572CA5" w:rsidP="00B965AE">
            <w:pPr>
              <w:pStyle w:val="Boxheading0"/>
              <w:keepNext w:val="0"/>
            </w:pPr>
            <w:r w:rsidRPr="00E23CED">
              <w:t>Temporal and downstream extent of nutrient impacts on periphyton biomass</w:t>
            </w:r>
          </w:p>
          <w:p w14:paraId="4C677094" w14:textId="79408234" w:rsidR="00572CA5" w:rsidRPr="00E23CED" w:rsidRDefault="005D1EF1" w:rsidP="00A77B46">
            <w:pPr>
              <w:pStyle w:val="Boxtext"/>
              <w:spacing w:after="0"/>
            </w:pPr>
            <w:r w:rsidRPr="00E23CED">
              <w:t>The</w:t>
            </w:r>
            <w:r w:rsidR="00572CA5" w:rsidRPr="00E23CED">
              <w:t xml:space="preserve"> conceptual diagram </w:t>
            </w:r>
            <w:r w:rsidRPr="00E23CED">
              <w:t>below shows</w:t>
            </w:r>
            <w:r w:rsidR="00572CA5" w:rsidRPr="00E23CED">
              <w:t xml:space="preserve"> how </w:t>
            </w:r>
            <w:r w:rsidR="009715FE" w:rsidRPr="00E23CED">
              <w:t>dissolved inorganic nitrogen (</w:t>
            </w:r>
            <w:r w:rsidR="00572CA5" w:rsidRPr="00E23CED">
              <w:t>DIN</w:t>
            </w:r>
            <w:r w:rsidR="009715FE" w:rsidRPr="00E23CED">
              <w:t>)</w:t>
            </w:r>
            <w:r w:rsidR="00572CA5" w:rsidRPr="00E23CED">
              <w:t xml:space="preserve"> and periphyton biomass can vary downstream of a source of enrichment (</w:t>
            </w:r>
            <w:r w:rsidR="006678C2" w:rsidRPr="00E23CED">
              <w:t>eg</w:t>
            </w:r>
            <w:r w:rsidR="00572CA5" w:rsidRPr="00E23CED">
              <w:t>, upwelling enriched groundwater or sewage treatment plant input) at three times during a flow recession. The diagram is based on Tukituki River observations (Quinn et al, 2018) and the model of Chapra et al (2014).</w:t>
            </w:r>
          </w:p>
          <w:p w14:paraId="3756CBE9" w14:textId="732E2F98" w:rsidR="00572CA5" w:rsidRPr="00E23CED" w:rsidRDefault="00572CA5" w:rsidP="00C82976">
            <w:pPr>
              <w:pStyle w:val="BodyText"/>
              <w:spacing w:after="0"/>
              <w:ind w:left="164"/>
              <w:rPr>
                <w:bCs/>
              </w:rPr>
            </w:pPr>
            <w:r w:rsidRPr="00E23CED">
              <w:rPr>
                <w:bCs/>
                <w:noProof/>
              </w:rPr>
              <w:drawing>
                <wp:inline distT="0" distB="0" distL="0" distR="0" wp14:anchorId="7F9FEE5D" wp14:editId="2D32BF83">
                  <wp:extent cx="4891497" cy="1232452"/>
                  <wp:effectExtent l="0" t="0" r="4445" b="6350"/>
                  <wp:docPr id="26" name="Picture 26" descr="Diagram with three boxes showing the relationship between periphyton biomass/nutrients and distance downstream of nutrien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with three boxes showing the relationship between periphyton biomass/nutrients and distance downstream of nutrient inpu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5231"/>
                          <a:stretch/>
                        </pic:blipFill>
                        <pic:spPr bwMode="auto">
                          <a:xfrm>
                            <a:off x="0" y="0"/>
                            <a:ext cx="4892430" cy="1232687"/>
                          </a:xfrm>
                          <a:prstGeom prst="rect">
                            <a:avLst/>
                          </a:prstGeom>
                          <a:noFill/>
                          <a:ln>
                            <a:noFill/>
                          </a:ln>
                          <a:extLst>
                            <a:ext uri="{53640926-AAD7-44D8-BBD7-CCE9431645EC}">
                              <a14:shadowObscured xmlns:a14="http://schemas.microsoft.com/office/drawing/2010/main"/>
                            </a:ext>
                          </a:extLst>
                        </pic:spPr>
                      </pic:pic>
                    </a:graphicData>
                  </a:graphic>
                </wp:inline>
              </w:drawing>
            </w:r>
          </w:p>
          <w:p w14:paraId="7B287CC6" w14:textId="77777777" w:rsidR="00572CA5" w:rsidRPr="00E23CED" w:rsidRDefault="00572CA5" w:rsidP="00E14320">
            <w:pPr>
              <w:pStyle w:val="Boxtext"/>
              <w:spacing w:before="80"/>
            </w:pPr>
            <w:r w:rsidRPr="00E23CED">
              <w:t>At T1</w:t>
            </w:r>
            <w:r w:rsidR="00856255" w:rsidRPr="00E23CED">
              <w:t>,</w:t>
            </w:r>
            <w:r w:rsidRPr="00E23CED">
              <w:t xml:space="preserve"> the flow (Q++) is moderate and travel time along the reach is short, resulting in lower initial nutrient concentrations that decline slowly downstream in response to early growth of periphyton that is not limited by concentrations along the whole river reach length.</w:t>
            </w:r>
          </w:p>
          <w:p w14:paraId="40D9D094" w14:textId="179CDB29" w:rsidR="00E14320" w:rsidRPr="00E23CED" w:rsidRDefault="00E14320" w:rsidP="00E14320">
            <w:pPr>
              <w:pStyle w:val="Boxtext"/>
              <w:keepLines/>
            </w:pPr>
            <w:r w:rsidRPr="00E23CED">
              <w:t>At T2, the flow is low–moderate (Q+), resulting in reduced dilution of inputs (giving higher upstream concentrations) but more rapid decline of DIN and dissolved reactive phosphorus (DRP) along the reach. This is driven by (1) higher uptake by higher periphyton biomass that has accrued over time, and (2) longer travel times enabling more time for uptake. Periphyton biomass begins to decline at the downstream end of the reach where nutrients are low, but the biomass remains moderate due to earlier growth.</w:t>
            </w:r>
          </w:p>
        </w:tc>
      </w:tr>
      <w:tr w:rsidR="00C83C6C" w:rsidRPr="00E23CED" w:rsidDel="00A97DA3" w14:paraId="3EF48875" w14:textId="77777777" w:rsidTr="00C83C6C">
        <w:tc>
          <w:tcPr>
            <w:tcW w:w="8497" w:type="dxa"/>
            <w:shd w:val="clear" w:color="auto" w:fill="D2DDE2"/>
          </w:tcPr>
          <w:p w14:paraId="3E2C2782" w14:textId="17159D67" w:rsidR="00C83C6C" w:rsidRPr="00E23CED" w:rsidRDefault="00C83C6C" w:rsidP="00E14320">
            <w:pPr>
              <w:pStyle w:val="Boxtext"/>
              <w:keepNext/>
              <w:spacing w:after="180"/>
            </w:pPr>
            <w:r w:rsidRPr="00E23CED">
              <w:lastRenderedPageBreak/>
              <w:t>At T3, at low flow (Q), high nutrient concentrations occur near the upstream end of the reach (low dilution of inputs), where high biomass has accrued with continued rapid growth in response to maintained high nutrients. Both DIN and DRP decrease rapidly with distance downstream due to the combined effects of high uptake rates, long travel times and shallower depth (ie, greater bed surface area-to-volume ratio than at higher flows). Consequently, nutrient concentrations decrease to levels that limit periphyton growth, and biomass declines downstream as losses from grazing and self-sloughing are not replaced by new growth.</w:t>
            </w:r>
          </w:p>
        </w:tc>
      </w:tr>
    </w:tbl>
    <w:p w14:paraId="3CD10027" w14:textId="2EF0D651" w:rsidR="00572CA5" w:rsidRPr="00E23CED" w:rsidRDefault="00572CA5" w:rsidP="00C83C6C">
      <w:pPr>
        <w:pStyle w:val="BodyText"/>
        <w:spacing w:before="240"/>
      </w:pPr>
      <w:r w:rsidRPr="00E23CED">
        <w:t>In the periphyton attribute, biomass is represented by measurements of chl-a</w:t>
      </w:r>
      <w:r w:rsidR="00AD4073" w:rsidRPr="00E23CED">
        <w:t>,</w:t>
      </w:r>
      <w:r w:rsidR="009004AA" w:rsidRPr="00E23CED">
        <w:t xml:space="preserve"> which is</w:t>
      </w:r>
      <w:r w:rsidR="00C507F2" w:rsidRPr="00E23CED">
        <w:t xml:space="preserve"> a</w:t>
      </w:r>
      <w:r w:rsidRPr="00E23CED">
        <w:t xml:space="preserve"> photosynthetic pigment found in all algae. The positive dose-response relationship between nutrients (</w:t>
      </w:r>
      <w:r w:rsidR="00F015EF" w:rsidRPr="00E23CED">
        <w:t xml:space="preserve">nitrogen </w:t>
      </w:r>
      <w:r w:rsidR="00D90ED3" w:rsidRPr="00E23CED">
        <w:t>(</w:t>
      </w:r>
      <w:r w:rsidRPr="00E23CED">
        <w:t>N</w:t>
      </w:r>
      <w:r w:rsidR="00D90ED3" w:rsidRPr="00E23CED">
        <w:t>)</w:t>
      </w:r>
      <w:r w:rsidRPr="00E23CED">
        <w:t xml:space="preserve"> and </w:t>
      </w:r>
      <w:r w:rsidR="00D90ED3" w:rsidRPr="00E23CED">
        <w:t>phosphorus (</w:t>
      </w:r>
      <w:r w:rsidRPr="00E23CED">
        <w:t>P)</w:t>
      </w:r>
      <w:r w:rsidR="00D90ED3" w:rsidRPr="00E23CED">
        <w:t>)</w:t>
      </w:r>
      <w:r w:rsidRPr="00E23CED">
        <w:t xml:space="preserve"> and periphyton chl-a is well established in descriptive as well as experimental studies, both in Aotearoa and overseas (Biggs, 2000; Elser et al, 2007; Iannino et al, 2020; M</w:t>
      </w:r>
      <w:r w:rsidR="00215CC7" w:rsidRPr="00E23CED">
        <w:t>inistry for the Environment</w:t>
      </w:r>
      <w:r w:rsidRPr="00E23CED">
        <w:t>, 2022</w:t>
      </w:r>
      <w:r w:rsidR="008E7010" w:rsidRPr="00E23CED">
        <w:t>a</w:t>
      </w:r>
      <w:r w:rsidRPr="00E23CED">
        <w:t>). The relationship is mediated by environmental factors</w:t>
      </w:r>
      <w:r w:rsidR="00F016A8" w:rsidRPr="00E23CED">
        <w:t>,</w:t>
      </w:r>
      <w:r w:rsidRPr="00E23CED">
        <w:t xml:space="preserve"> such as shading, water temperature, local hydraulics and catchment hydrology. </w:t>
      </w:r>
    </w:p>
    <w:p w14:paraId="445CC866" w14:textId="7C3C37F5" w:rsidR="00572CA5" w:rsidRPr="00E23CED" w:rsidRDefault="00572CA5" w:rsidP="00572CA5">
      <w:pPr>
        <w:pStyle w:val="BodyText"/>
      </w:pPr>
      <w:r w:rsidRPr="00E23CED">
        <w:t xml:space="preserve">Efforts to develop predictive models for chl-a in Aotearoa have been ongoing </w:t>
      </w:r>
      <w:r w:rsidR="002021B3" w:rsidRPr="00E23CED">
        <w:t xml:space="preserve">since </w:t>
      </w:r>
      <w:r w:rsidR="00330A99" w:rsidRPr="00E23CED">
        <w:t>before</w:t>
      </w:r>
      <w:r w:rsidRPr="00E23CED">
        <w:t xml:space="preserve"> periphyton chl-a was included in the first version of the NOF in 2014. In most cases, the models used time-averaged data for nutrient predictors (</w:t>
      </w:r>
      <w:r w:rsidR="006678C2" w:rsidRPr="00E23CED">
        <w:t>eg</w:t>
      </w:r>
      <w:r w:rsidR="00215CC7" w:rsidRPr="00E23CED">
        <w:t>,</w:t>
      </w:r>
      <w:r w:rsidRPr="00E23CED">
        <w:t xml:space="preserve"> median DIN, DRP) to predict time-averaged chl-a (eg, mean or 92nd percentiles). Several factors justify these efforts</w:t>
      </w:r>
      <w:r w:rsidR="000B11F9" w:rsidRPr="00E23CED">
        <w:t>.</w:t>
      </w:r>
    </w:p>
    <w:p w14:paraId="05E345A5" w14:textId="2D3BBD39" w:rsidR="00572CA5" w:rsidRPr="00E23CED" w:rsidRDefault="00572CA5" w:rsidP="00C83C6C">
      <w:pPr>
        <w:pStyle w:val="Bullet"/>
      </w:pPr>
      <w:r w:rsidRPr="00E23CED">
        <w:t xml:space="preserve">Periphyton occupies the lowest trophic level in river ecosystems and is composed of algae and heterotrophic microbes that directly take up dissolved N and P. </w:t>
      </w:r>
      <w:r w:rsidR="00052214" w:rsidRPr="00E23CED">
        <w:t>After</w:t>
      </w:r>
      <w:r w:rsidRPr="00E23CED">
        <w:t xml:space="preserve"> controlling for environmental factors</w:t>
      </w:r>
      <w:r w:rsidR="00F93ECE" w:rsidRPr="00E23CED">
        <w:t>,</w:t>
      </w:r>
      <w:r w:rsidRPr="00E23CED">
        <w:t xml:space="preserve"> such as shading, water temperature and the effects of flow variability, periphyton biomass is the ecosystem constituent most directly affected by changes in nutrient concentrations.</w:t>
      </w:r>
    </w:p>
    <w:p w14:paraId="7AF37054" w14:textId="2D031F24" w:rsidR="00572CA5" w:rsidRPr="00E23CED" w:rsidRDefault="00572CA5" w:rsidP="00C83C6C">
      <w:pPr>
        <w:pStyle w:val="Bullet"/>
      </w:pPr>
      <w:r w:rsidRPr="00E23CED">
        <w:t xml:space="preserve">As the lowest trophic level in river ecosystems, periphyton community composition and abundance (ie, biomass) directly and indirectly affect the community composition and abundances of higher trophic levels (macroinvertebrates and fish) (see </w:t>
      </w:r>
      <w:r w:rsidR="00DA3A32" w:rsidRPr="00E23CED">
        <w:fldChar w:fldCharType="begin"/>
      </w:r>
      <w:r w:rsidR="00DA3A32" w:rsidRPr="00E23CED">
        <w:instrText xml:space="preserve"> REF _Ref135042289 \h </w:instrText>
      </w:r>
      <w:r w:rsidR="00354608" w:rsidRPr="00E23CED">
        <w:instrText xml:space="preserve"> \* MERGEFORMAT </w:instrText>
      </w:r>
      <w:r w:rsidR="00DA3A32" w:rsidRPr="00E23CED">
        <w:fldChar w:fldCharType="separate"/>
      </w:r>
      <w:r w:rsidR="00FA0487" w:rsidRPr="00E23CED">
        <w:t xml:space="preserve">Figure </w:t>
      </w:r>
      <w:r w:rsidR="00FA0487">
        <w:t>4</w:t>
      </w:r>
      <w:r w:rsidR="00DA3A32" w:rsidRPr="00E23CED">
        <w:fldChar w:fldCharType="end"/>
      </w:r>
      <w:r w:rsidRPr="00E23CED">
        <w:t>).</w:t>
      </w:r>
    </w:p>
    <w:p w14:paraId="682938DB" w14:textId="7FCE3894" w:rsidR="00572CA5" w:rsidRPr="00E23CED" w:rsidRDefault="00572CA5" w:rsidP="00C83C6C">
      <w:pPr>
        <w:pStyle w:val="Bullet"/>
      </w:pPr>
      <w:r w:rsidRPr="00E23CED">
        <w:t xml:space="preserve">Inclusion of periphyton in the NPS-FM in 2014, and existence of a periphyton guideline and monitoring manual </w:t>
      </w:r>
      <w:r w:rsidR="00B05BE0" w:rsidRPr="00E23CED">
        <w:t>before</w:t>
      </w:r>
      <w:r w:rsidRPr="00E23CED">
        <w:t xml:space="preserve"> that (</w:t>
      </w:r>
      <w:r w:rsidR="00154D72" w:rsidRPr="00E23CED">
        <w:t>Biggs,</w:t>
      </w:r>
      <w:r w:rsidRPr="00E23CED">
        <w:t xml:space="preserve"> 200</w:t>
      </w:r>
      <w:r w:rsidR="00515C0A" w:rsidRPr="00E23CED">
        <w:t xml:space="preserve">0; </w:t>
      </w:r>
      <w:r w:rsidRPr="00E23CED">
        <w:t xml:space="preserve">Biggs </w:t>
      </w:r>
      <w:r w:rsidR="00C23CA3" w:rsidRPr="00E23CED">
        <w:t>and</w:t>
      </w:r>
      <w:r w:rsidR="00FB0C46" w:rsidRPr="00E23CED">
        <w:t xml:space="preserve"> </w:t>
      </w:r>
      <w:r w:rsidRPr="00E23CED">
        <w:t>Kilroy</w:t>
      </w:r>
      <w:r w:rsidR="00515C0A" w:rsidRPr="00E23CED">
        <w:t>,</w:t>
      </w:r>
      <w:r w:rsidRPr="00E23CED">
        <w:t xml:space="preserve"> 2000), have led to establishment of regional periphyton monitoring programmes across Aotearoa, all using comparable methodologies. The combined regional data have provided sufficient reliable data to develop national correlational models of periphyton biomass. </w:t>
      </w:r>
    </w:p>
    <w:p w14:paraId="41DE2550" w14:textId="38F55379" w:rsidR="00572CA5" w:rsidRPr="00E23CED" w:rsidRDefault="00320981" w:rsidP="00572CA5">
      <w:pPr>
        <w:pStyle w:val="BodyText"/>
      </w:pPr>
      <w:r w:rsidRPr="00E23CED">
        <w:t xml:space="preserve">At </w:t>
      </w:r>
      <w:r w:rsidR="00572CA5" w:rsidRPr="00E23CED">
        <w:t>low concentrations</w:t>
      </w:r>
      <w:r w:rsidR="00F535E4" w:rsidRPr="00E23CED">
        <w:t>,</w:t>
      </w:r>
      <w:r w:rsidR="00572CA5" w:rsidRPr="00E23CED">
        <w:t xml:space="preserve"> a large increase in periphyton biomass </w:t>
      </w:r>
      <w:r w:rsidR="00F535E4" w:rsidRPr="00E23CED">
        <w:t xml:space="preserve">occurs </w:t>
      </w:r>
      <w:r w:rsidR="00572CA5" w:rsidRPr="00E23CED">
        <w:t xml:space="preserve">with each unit increase in </w:t>
      </w:r>
      <w:r w:rsidR="00572CA5" w:rsidRPr="00E23CED">
        <w:rPr>
          <w:spacing w:val="-2"/>
        </w:rPr>
        <w:t>N or P concentration</w:t>
      </w:r>
      <w:r w:rsidR="00F93ECE" w:rsidRPr="00E23CED">
        <w:rPr>
          <w:spacing w:val="-2"/>
        </w:rPr>
        <w:t>.</w:t>
      </w:r>
      <w:r w:rsidR="002967E7" w:rsidRPr="00E23CED">
        <w:rPr>
          <w:rStyle w:val="FootnoteReference"/>
          <w:spacing w:val="-2"/>
        </w:rPr>
        <w:footnoteReference w:id="10"/>
      </w:r>
      <w:r w:rsidR="00572CA5" w:rsidRPr="00E23CED">
        <w:rPr>
          <w:spacing w:val="-2"/>
        </w:rPr>
        <w:t xml:space="preserve"> At higher concentrations, the same unit increase in N or P concentratio</w:t>
      </w:r>
      <w:r w:rsidR="00572CA5" w:rsidRPr="00E23CED">
        <w:t xml:space="preserve">n is associated with a smaller increase in periphyton biomass. Further, </w:t>
      </w:r>
      <w:bookmarkStart w:id="77" w:name="_Hlk131580455"/>
      <w:r w:rsidR="00DB2FFA" w:rsidRPr="00E23CED">
        <w:t>analysis by Snelder et al (202</w:t>
      </w:r>
      <w:r w:rsidR="00492AD5" w:rsidRPr="00E23CED">
        <w:t>2</w:t>
      </w:r>
      <w:r w:rsidR="00DB2FFA" w:rsidRPr="00E23CED">
        <w:t xml:space="preserve">) </w:t>
      </w:r>
      <w:bookmarkEnd w:id="77"/>
      <w:r w:rsidR="00572CA5" w:rsidRPr="00E23CED">
        <w:t>indicated the biomass response reaches a ‘ceiling’ beyond which there appears to be no evidence for any further biomass response to increasing nutrient concentrations. This nutrient concentration at this point is referred to as the ‘saturating concentration</w:t>
      </w:r>
      <w:r w:rsidR="00360E80" w:rsidRPr="00E23CED">
        <w:t>.’</w:t>
      </w:r>
      <w:r w:rsidR="00572CA5" w:rsidRPr="00E23CED">
        <w:t xml:space="preserve"> </w:t>
      </w:r>
    </w:p>
    <w:p w14:paraId="74D8100E" w14:textId="0E8B9F57" w:rsidR="00572CA5" w:rsidRPr="00E23CED" w:rsidRDefault="00572CA5" w:rsidP="00572CA5">
      <w:pPr>
        <w:pStyle w:val="BodyText"/>
      </w:pPr>
      <w:r w:rsidRPr="00E23CED">
        <w:t>Represented graphically, the relationship between periphyton biomass and nutrient concentrations increase</w:t>
      </w:r>
      <w:r w:rsidR="002425F3" w:rsidRPr="00E23CED">
        <w:t>s</w:t>
      </w:r>
      <w:r w:rsidRPr="00E23CED">
        <w:t xml:space="preserve"> until they approach an asymptote. Snelder </w:t>
      </w:r>
      <w:r w:rsidR="00E93E6C" w:rsidRPr="00E23CED">
        <w:t>e</w:t>
      </w:r>
      <w:r w:rsidRPr="00E23CED">
        <w:t>t al (202</w:t>
      </w:r>
      <w:r w:rsidR="00492AD5" w:rsidRPr="00E23CED">
        <w:t>2</w:t>
      </w:r>
      <w:r w:rsidRPr="00E23CED">
        <w:t>) found that this biomass ceiling occurred at about 150 m</w:t>
      </w:r>
      <w:r w:rsidR="00865BBC" w:rsidRPr="00E23CED">
        <w:t>illi</w:t>
      </w:r>
      <w:r w:rsidRPr="00E23CED">
        <w:t>g</w:t>
      </w:r>
      <w:r w:rsidR="00865BBC" w:rsidRPr="00E23CED">
        <w:t>rams</w:t>
      </w:r>
      <w:r w:rsidRPr="00E23CED">
        <w:t xml:space="preserve"> chl-a </w:t>
      </w:r>
      <w:r w:rsidR="003C7B52" w:rsidRPr="00E23CED">
        <w:t xml:space="preserve">per </w:t>
      </w:r>
      <w:r w:rsidR="005C3BA9" w:rsidRPr="00E23CED">
        <w:t>square metre</w:t>
      </w:r>
      <w:r w:rsidRPr="00E23CED">
        <w:t>. This underlying relationship is further complicated by the various mediating factors in the stream ecosystem, which can up- or down-regulate the precise periphyton biomass (see</w:t>
      </w:r>
      <w:r w:rsidR="00483F95" w:rsidRPr="00E23CED">
        <w:t xml:space="preserve"> </w:t>
      </w:r>
      <w:r w:rsidR="00243D19" w:rsidRPr="00E23CED">
        <w:fldChar w:fldCharType="begin"/>
      </w:r>
      <w:r w:rsidR="00243D19" w:rsidRPr="00E23CED">
        <w:instrText xml:space="preserve"> REF _Ref135042481 \h </w:instrText>
      </w:r>
      <w:r w:rsidR="00243D19" w:rsidRPr="00E23CED">
        <w:fldChar w:fldCharType="separate"/>
      </w:r>
      <w:r w:rsidR="00FA0487" w:rsidRPr="00E23CED">
        <w:t xml:space="preserve">Figure </w:t>
      </w:r>
      <w:r w:rsidR="00FA0487">
        <w:rPr>
          <w:noProof/>
        </w:rPr>
        <w:t>5</w:t>
      </w:r>
      <w:r w:rsidR="00243D19" w:rsidRPr="00E23CED">
        <w:fldChar w:fldCharType="end"/>
      </w:r>
      <w:r w:rsidRPr="00E23CED">
        <w:t xml:space="preserve">). </w:t>
      </w:r>
    </w:p>
    <w:p w14:paraId="5DB63074" w14:textId="715276A0" w:rsidR="00572CA5" w:rsidRPr="00E23CED" w:rsidRDefault="00572CA5" w:rsidP="00572CA5">
      <w:pPr>
        <w:pStyle w:val="Figureheading"/>
      </w:pPr>
      <w:bookmarkStart w:id="78" w:name="_Ref135042481"/>
      <w:bookmarkStart w:id="79" w:name="_Toc142661807"/>
      <w:r w:rsidRPr="00E23CED">
        <w:lastRenderedPageBreak/>
        <w:t xml:space="preserve">Figure </w:t>
      </w:r>
      <w:fldSimple w:instr=" SEQ Figure \* ARABIC ">
        <w:r w:rsidR="00FA0487">
          <w:rPr>
            <w:noProof/>
          </w:rPr>
          <w:t>5</w:t>
        </w:r>
      </w:fldSimple>
      <w:bookmarkEnd w:id="78"/>
      <w:r w:rsidRPr="00E23CED">
        <w:t>:</w:t>
      </w:r>
      <w:r w:rsidR="00B6599D" w:rsidRPr="00E23CED">
        <w:t xml:space="preserve"> </w:t>
      </w:r>
      <w:r w:rsidR="00C83C6C" w:rsidRPr="00E23CED">
        <w:tab/>
      </w:r>
      <w:r w:rsidRPr="00E23CED">
        <w:t xml:space="preserve">Factors </w:t>
      </w:r>
      <w:r w:rsidR="005C3BA9" w:rsidRPr="00E23CED">
        <w:t xml:space="preserve">that </w:t>
      </w:r>
      <w:r w:rsidRPr="00E23CED">
        <w:t>mediate the relationship between periphyton and nutrients (in</w:t>
      </w:r>
      <w:r w:rsidR="00527BF9" w:rsidRPr="00E23CED">
        <w:t> </w:t>
      </w:r>
      <w:r w:rsidRPr="00E23CED">
        <w:t xml:space="preserve">this case represented as the nutrient forms </w:t>
      </w:r>
      <w:r w:rsidR="0036531C" w:rsidRPr="00E23CED">
        <w:t xml:space="preserve">dissolved inorganic nitrogen </w:t>
      </w:r>
      <w:r w:rsidRPr="00E23CED">
        <w:t xml:space="preserve">and </w:t>
      </w:r>
      <w:r w:rsidR="00C917C4" w:rsidRPr="00E23CED">
        <w:t>dissolved reactive phosphorus</w:t>
      </w:r>
      <w:r w:rsidRPr="00E23CED">
        <w:t>)</w:t>
      </w:r>
      <w:bookmarkEnd w:id="79"/>
      <w:r w:rsidRPr="00E23CED">
        <w:t xml:space="preserve"> </w:t>
      </w:r>
    </w:p>
    <w:p w14:paraId="316DC455" w14:textId="77777777" w:rsidR="00572CA5" w:rsidRPr="00E23CED" w:rsidRDefault="00572CA5" w:rsidP="00572CA5">
      <w:pPr>
        <w:pStyle w:val="BodyText"/>
      </w:pPr>
      <w:r w:rsidRPr="00E23CED">
        <w:rPr>
          <w:noProof/>
        </w:rPr>
        <w:drawing>
          <wp:inline distT="0" distB="0" distL="0" distR="0" wp14:anchorId="49ACC6F7" wp14:editId="29C6FD29">
            <wp:extent cx="4779310" cy="3786338"/>
            <wp:effectExtent l="0" t="0" r="2540" b="5080"/>
            <wp:docPr id="28" name="Picture 28" descr="Diagram showing the factors that mediate the relationship between periphyton and nutrients.&#10;Algal biomass (Chl a) vs DIN and DRP concent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owing the factors that mediate the relationship between periphyton and nutrients.&#10;Algal biomass (Chl a) vs DIN and DRP concentration&#10;"/>
                    <pic:cNvPicPr/>
                  </pic:nvPicPr>
                  <pic:blipFill rotWithShape="1">
                    <a:blip r:embed="rId67"/>
                    <a:srcRect l="2876" t="5392" r="5568" b="3489"/>
                    <a:stretch/>
                  </pic:blipFill>
                  <pic:spPr bwMode="auto">
                    <a:xfrm>
                      <a:off x="0" y="0"/>
                      <a:ext cx="4784140" cy="3790164"/>
                    </a:xfrm>
                    <a:prstGeom prst="rect">
                      <a:avLst/>
                    </a:prstGeom>
                    <a:ln>
                      <a:noFill/>
                    </a:ln>
                    <a:extLst>
                      <a:ext uri="{53640926-AAD7-44D8-BBD7-CCE9431645EC}">
                        <a14:shadowObscured xmlns:a14="http://schemas.microsoft.com/office/drawing/2010/main"/>
                      </a:ext>
                    </a:extLst>
                  </pic:spPr>
                </pic:pic>
              </a:graphicData>
            </a:graphic>
          </wp:inline>
        </w:drawing>
      </w:r>
    </w:p>
    <w:p w14:paraId="7B68376A" w14:textId="4BCDFBFE" w:rsidR="00C917C4" w:rsidRPr="00E23CED" w:rsidRDefault="00C917C4" w:rsidP="0017550B">
      <w:pPr>
        <w:pStyle w:val="Source"/>
        <w:spacing w:after="0"/>
      </w:pPr>
      <w:r w:rsidRPr="00E23CED">
        <w:t xml:space="preserve">Note: </w:t>
      </w:r>
      <w:r w:rsidR="000678E4" w:rsidRPr="00E23CED">
        <w:t xml:space="preserve">Chl </w:t>
      </w:r>
      <w:r w:rsidR="000678E4" w:rsidRPr="00E23CED">
        <w:rPr>
          <w:i/>
          <w:iCs/>
        </w:rPr>
        <w:t>a</w:t>
      </w:r>
      <w:r w:rsidR="000678E4" w:rsidRPr="00E23CED">
        <w:t xml:space="preserve"> = c</w:t>
      </w:r>
      <w:r w:rsidR="00405FB8" w:rsidRPr="00E23CED">
        <w:t xml:space="preserve">hlorophyll a; DIN = </w:t>
      </w:r>
      <w:r w:rsidR="00762BE0" w:rsidRPr="00E23CED">
        <w:t xml:space="preserve">dissolved inorganic nitrogen; DRP = </w:t>
      </w:r>
      <w:r w:rsidR="0017550B" w:rsidRPr="00E23CED">
        <w:t>dissolved reactive phosphorus.</w:t>
      </w:r>
    </w:p>
    <w:p w14:paraId="077A0F73" w14:textId="0DA513BD" w:rsidR="005C3BA9" w:rsidRPr="00E23CED" w:rsidRDefault="005C3BA9" w:rsidP="00C83C6C">
      <w:pPr>
        <w:pStyle w:val="Source"/>
      </w:pPr>
      <w:r w:rsidRPr="00E23CED">
        <w:t xml:space="preserve">Source: Adapted from Ministry for the Environment </w:t>
      </w:r>
      <w:r w:rsidR="00B13C75" w:rsidRPr="00E23CED">
        <w:t>(</w:t>
      </w:r>
      <w:r w:rsidRPr="00E23CED">
        <w:t>2022b</w:t>
      </w:r>
      <w:r w:rsidR="00B13C75" w:rsidRPr="00E23CED">
        <w:t>)</w:t>
      </w:r>
    </w:p>
    <w:p w14:paraId="3A03B5F5" w14:textId="10F2FED2" w:rsidR="00572CA5" w:rsidRPr="00E23CED" w:rsidRDefault="00FE2FA7" w:rsidP="00C83C6C">
      <w:pPr>
        <w:pStyle w:val="Heading4"/>
      </w:pPr>
      <w:r w:rsidRPr="00E23CED">
        <w:t>P</w:t>
      </w:r>
      <w:r w:rsidR="00572CA5" w:rsidRPr="00E23CED">
        <w:t>eriphyton look-up tables</w:t>
      </w:r>
    </w:p>
    <w:p w14:paraId="3B684601" w14:textId="4FC7CCA6" w:rsidR="00572CA5" w:rsidRPr="00E23CED" w:rsidRDefault="00572CA5" w:rsidP="00C83C6C">
      <w:pPr>
        <w:pStyle w:val="BodyText"/>
      </w:pPr>
      <w:r w:rsidRPr="00E23CED">
        <w:t>The periphyton look-up tables are based on a study (Snelder et al, 202</w:t>
      </w:r>
      <w:r w:rsidR="00492AD5" w:rsidRPr="00E23CED">
        <w:t>2</w:t>
      </w:r>
      <w:r w:rsidRPr="00E23CED">
        <w:t xml:space="preserve">) that derived instream nutrient concentrations and exceedance criteria for periphyton biomass objectives using regional council monitoring data. </w:t>
      </w:r>
      <w:r w:rsidR="008B05A6" w:rsidRPr="00E23CED">
        <w:t>This study</w:t>
      </w:r>
      <w:r w:rsidRPr="00E23CED">
        <w:t xml:space="preserve"> update</w:t>
      </w:r>
      <w:r w:rsidR="008B05A6" w:rsidRPr="00E23CED">
        <w:t>d</w:t>
      </w:r>
      <w:r w:rsidRPr="00E23CED">
        <w:t xml:space="preserve"> earlier </w:t>
      </w:r>
      <w:r w:rsidR="008B05A6" w:rsidRPr="00E23CED">
        <w:t>work</w:t>
      </w:r>
      <w:r w:rsidRPr="00E23CED">
        <w:t xml:space="preserve"> (Snelder et al, 2019) used for the regulatory impact statement for the NPS-FM. </w:t>
      </w:r>
    </w:p>
    <w:p w14:paraId="2A527193" w14:textId="42AA328D" w:rsidR="00572CA5" w:rsidRPr="00E23CED" w:rsidRDefault="00572CA5" w:rsidP="00C83C6C">
      <w:pPr>
        <w:pStyle w:val="BodyText"/>
      </w:pPr>
      <w:r w:rsidRPr="00E23CED">
        <w:t>A detailed history of this model can be found in</w:t>
      </w:r>
      <w:r w:rsidR="009B58C2" w:rsidRPr="00E23CED">
        <w:t xml:space="preserve"> </w:t>
      </w:r>
      <w:hyperlink w:anchor="table3" w:history="1">
        <w:r w:rsidR="009B58C2" w:rsidRPr="00E23CED">
          <w:rPr>
            <w:rStyle w:val="Hyperlink"/>
          </w:rPr>
          <w:t>section 3.5 Reconciling nutrient criteria across the freshwater management unit and downstream receiving environments</w:t>
        </w:r>
      </w:hyperlink>
      <w:r w:rsidRPr="00E23CED">
        <w:t xml:space="preserve">. </w:t>
      </w:r>
      <w:r w:rsidR="00505779" w:rsidRPr="00E23CED">
        <w:t xml:space="preserve">Significant </w:t>
      </w:r>
      <w:r w:rsidRPr="00E23CED">
        <w:t xml:space="preserve">features of the look-up tables derived from the model </w:t>
      </w:r>
      <w:r w:rsidR="009B1A0C" w:rsidRPr="00E23CED">
        <w:t>include:</w:t>
      </w:r>
    </w:p>
    <w:p w14:paraId="0B1614C9" w14:textId="3AF6A7B8" w:rsidR="00572CA5" w:rsidRPr="00E23CED" w:rsidRDefault="009B1A0C" w:rsidP="00C83C6C">
      <w:pPr>
        <w:pStyle w:val="Bullet"/>
      </w:pPr>
      <w:r w:rsidRPr="00E23CED">
        <w:t>t</w:t>
      </w:r>
      <w:r w:rsidR="00572CA5" w:rsidRPr="00E23CED">
        <w:t>he nutrient criteria in the look-up tables apply to all hard-bottomed (</w:t>
      </w:r>
      <w:r w:rsidR="006678C2" w:rsidRPr="00E23CED">
        <w:t>ie</w:t>
      </w:r>
      <w:r w:rsidR="00572CA5" w:rsidRPr="00E23CED">
        <w:t xml:space="preserve">, cobble- or gravel-bed) streams and </w:t>
      </w:r>
      <w:proofErr w:type="gramStart"/>
      <w:r w:rsidR="00572CA5" w:rsidRPr="00E23CED">
        <w:t>rivers</w:t>
      </w:r>
      <w:proofErr w:type="gramEnd"/>
    </w:p>
    <w:p w14:paraId="42BD0EC2" w14:textId="57F397E9" w:rsidR="00572CA5" w:rsidRPr="00E23CED" w:rsidRDefault="009B1A0C" w:rsidP="00C83C6C">
      <w:pPr>
        <w:pStyle w:val="Bullet"/>
      </w:pPr>
      <w:r w:rsidRPr="00E23CED">
        <w:t>c</w:t>
      </w:r>
      <w:r w:rsidR="00572CA5" w:rsidRPr="00E23CED">
        <w:t xml:space="preserve">hl-a refers to the 92nd percentile of chl-a calculated from at least </w:t>
      </w:r>
      <w:r w:rsidRPr="00E23CED">
        <w:t>three</w:t>
      </w:r>
      <w:r w:rsidR="00572CA5" w:rsidRPr="00E23CED">
        <w:t xml:space="preserve"> years of monthly data, which is the metric specified in the periphyton </w:t>
      </w:r>
      <w:proofErr w:type="gramStart"/>
      <w:r w:rsidR="00572CA5" w:rsidRPr="00E23CED">
        <w:t>attribute</w:t>
      </w:r>
      <w:proofErr w:type="gramEnd"/>
    </w:p>
    <w:p w14:paraId="1B13D247" w14:textId="6CA4B154" w:rsidR="00572CA5" w:rsidRPr="00E23CED" w:rsidRDefault="009B1A0C" w:rsidP="00C83C6C">
      <w:pPr>
        <w:pStyle w:val="Bullet"/>
      </w:pPr>
      <w:r w:rsidRPr="00E23CED">
        <w:t>t</w:t>
      </w:r>
      <w:r w:rsidR="00572CA5" w:rsidRPr="00E23CED">
        <w:t xml:space="preserve">he tables provide nutrient criteria that apply to different levels of </w:t>
      </w:r>
      <w:r w:rsidR="00572CA5" w:rsidRPr="00E23CED">
        <w:rPr>
          <w:b/>
          <w:bCs/>
        </w:rPr>
        <w:t>under-protection risk</w:t>
      </w:r>
      <w:r w:rsidRPr="00E23CED">
        <w:t>,</w:t>
      </w:r>
      <w:r w:rsidR="00572CA5" w:rsidRPr="00E23CED">
        <w:t xml:space="preserve"> </w:t>
      </w:r>
      <w:r w:rsidRPr="00E23CED">
        <w:t>which</w:t>
      </w:r>
      <w:r w:rsidR="00572CA5" w:rsidRPr="00E23CED">
        <w:t xml:space="preserve"> is the</w:t>
      </w:r>
      <w:r w:rsidR="003C7B52" w:rsidRPr="00E23CED">
        <w:t xml:space="preserve"> percentage</w:t>
      </w:r>
      <w:r w:rsidR="00572CA5" w:rsidRPr="00E23CED">
        <w:t xml:space="preserve"> risk that a randomly</w:t>
      </w:r>
      <w:r w:rsidR="00454460" w:rsidRPr="00E23CED">
        <w:t xml:space="preserve"> </w:t>
      </w:r>
      <w:r w:rsidR="00572CA5" w:rsidRPr="00E23CED">
        <w:t>chosen location will exceed a specified biomass threshold despite nutrient concentrations being compliant with the specified nutrient criteria</w:t>
      </w:r>
      <w:r w:rsidR="00D77838" w:rsidRPr="00E23CED">
        <w:t>. I</w:t>
      </w:r>
      <w:r w:rsidR="00572CA5" w:rsidRPr="00E23CED">
        <w:t>n other words, it is a spatial exceedance criterion</w:t>
      </w:r>
      <w:r w:rsidRPr="00E23CED">
        <w:t>;</w:t>
      </w:r>
      <w:r w:rsidR="00572CA5" w:rsidRPr="00E23CED">
        <w:t xml:space="preserve"> </w:t>
      </w:r>
      <w:r w:rsidRPr="00E23CED">
        <w:t>t</w:t>
      </w:r>
      <w:r w:rsidR="00572CA5" w:rsidRPr="00E23CED">
        <w:t>he table provide</w:t>
      </w:r>
      <w:r w:rsidRPr="00E23CED">
        <w:t>s</w:t>
      </w:r>
      <w:r w:rsidR="00572CA5" w:rsidRPr="00E23CED">
        <w:t xml:space="preserve"> nutrient targets for under-protection risks of 5, 10, 15 and 20</w:t>
      </w:r>
      <w:r w:rsidRPr="00E23CED">
        <w:t xml:space="preserve"> per cent (</w:t>
      </w:r>
      <w:r w:rsidR="00E914C8" w:rsidRPr="00E23CED">
        <w:t xml:space="preserve">for </w:t>
      </w:r>
      <w:r w:rsidRPr="00E23CED">
        <w:t>i</w:t>
      </w:r>
      <w:r w:rsidR="00572CA5" w:rsidRPr="00E23CED">
        <w:t>llustrated explanations of under-protection risk</w:t>
      </w:r>
      <w:r w:rsidR="00E914C8" w:rsidRPr="00E23CED">
        <w:t>,</w:t>
      </w:r>
      <w:r w:rsidR="00572CA5" w:rsidRPr="00E23CED">
        <w:t xml:space="preserve"> </w:t>
      </w:r>
      <w:r w:rsidR="00E914C8" w:rsidRPr="00E23CED">
        <w:t>see</w:t>
      </w:r>
      <w:r w:rsidR="00572CA5" w:rsidRPr="00E23CED">
        <w:t xml:space="preserve"> </w:t>
      </w:r>
      <w:r w:rsidRPr="00E23CED">
        <w:t>Ministry for the Environment</w:t>
      </w:r>
      <w:r w:rsidR="00572CA5" w:rsidRPr="00E23CED">
        <w:t xml:space="preserve"> 2022a</w:t>
      </w:r>
      <w:r w:rsidR="00FF502C" w:rsidRPr="00E23CED">
        <w:t> </w:t>
      </w:r>
      <w:r w:rsidRPr="00E23CED">
        <w:t>and</w:t>
      </w:r>
      <w:r w:rsidR="00A759CC" w:rsidRPr="00E23CED">
        <w:t xml:space="preserve"> </w:t>
      </w:r>
      <w:r w:rsidR="00285850" w:rsidRPr="00E23CED">
        <w:t>2022b</w:t>
      </w:r>
      <w:r w:rsidR="003C7B52" w:rsidRPr="00E23CED">
        <w:t>)</w:t>
      </w:r>
      <w:r w:rsidR="00572CA5" w:rsidRPr="00E23CED">
        <w:t xml:space="preserve"> </w:t>
      </w:r>
    </w:p>
    <w:p w14:paraId="0EABF577" w14:textId="0E16F689" w:rsidR="00572CA5" w:rsidRPr="00E23CED" w:rsidRDefault="009B1A0C" w:rsidP="00B055AD">
      <w:pPr>
        <w:pStyle w:val="Bullet"/>
        <w:spacing w:after="100"/>
      </w:pPr>
      <w:r w:rsidRPr="00E23CED">
        <w:lastRenderedPageBreak/>
        <w:t>t</w:t>
      </w:r>
      <w:r w:rsidR="00572CA5" w:rsidRPr="00E23CED">
        <w:t xml:space="preserve">he look-up tables include targets for </w:t>
      </w:r>
      <w:r w:rsidR="006957BD" w:rsidRPr="00E23CED">
        <w:t>total nitrogen (</w:t>
      </w:r>
      <w:r w:rsidR="00572CA5" w:rsidRPr="00E23CED">
        <w:t>TN</w:t>
      </w:r>
      <w:r w:rsidR="006957BD" w:rsidRPr="00E23CED">
        <w:t>)</w:t>
      </w:r>
      <w:r w:rsidR="00572CA5" w:rsidRPr="00E23CED">
        <w:t xml:space="preserve">, </w:t>
      </w:r>
      <w:r w:rsidR="00431FEA" w:rsidRPr="00E23CED">
        <w:t xml:space="preserve">total phosphorus (TP), </w:t>
      </w:r>
      <w:r w:rsidR="00572CA5" w:rsidRPr="00E23CED">
        <w:t>DIN and DRP concentrations for the upper</w:t>
      </w:r>
      <w:r w:rsidR="00FF502C" w:rsidRPr="00E23CED">
        <w:t> </w:t>
      </w:r>
      <w:r w:rsidR="00572CA5" w:rsidRPr="00E23CED">
        <w:t>limit of band A, B and C in the periphyton attribute (ie, respectively 50, 120 and</w:t>
      </w:r>
      <w:r w:rsidR="00FF502C" w:rsidRPr="00E23CED">
        <w:t> </w:t>
      </w:r>
      <w:r w:rsidR="00572CA5" w:rsidRPr="00E23CED">
        <w:t>200</w:t>
      </w:r>
      <w:r w:rsidR="00FF502C" w:rsidRPr="00E23CED">
        <w:t> </w:t>
      </w:r>
      <w:r w:rsidRPr="00E23CED">
        <w:t>milligram</w:t>
      </w:r>
      <w:r w:rsidR="00C946D8" w:rsidRPr="00E23CED">
        <w:t>s</w:t>
      </w:r>
      <w:r w:rsidRPr="00E23CED">
        <w:t xml:space="preserve"> </w:t>
      </w:r>
      <w:r w:rsidR="00572CA5" w:rsidRPr="00E23CED">
        <w:t>chl-a</w:t>
      </w:r>
      <w:r w:rsidRPr="00E23CED">
        <w:rPr>
          <w:szCs w:val="22"/>
          <w:lang w:eastAsia="en-AU"/>
        </w:rPr>
        <w:t xml:space="preserve"> </w:t>
      </w:r>
      <w:r w:rsidRPr="00E23CED">
        <w:t>per square metre</w:t>
      </w:r>
      <w:r w:rsidR="00572CA5" w:rsidRPr="00E23CED">
        <w:t xml:space="preserve">) </w:t>
      </w:r>
    </w:p>
    <w:p w14:paraId="6B33784C" w14:textId="533881A5" w:rsidR="00572CA5" w:rsidRPr="00E23CED" w:rsidRDefault="009B1A0C" w:rsidP="00B055AD">
      <w:pPr>
        <w:pStyle w:val="Bullet"/>
        <w:spacing w:after="100"/>
      </w:pPr>
      <w:r w:rsidRPr="00E23CED">
        <w:t>s</w:t>
      </w:r>
      <w:r w:rsidR="00572CA5" w:rsidRPr="00E23CED">
        <w:t xml:space="preserve">tream types are defined using </w:t>
      </w:r>
      <w:r w:rsidR="00E45E54" w:rsidRPr="00E23CED">
        <w:t xml:space="preserve">the </w:t>
      </w:r>
      <w:r w:rsidR="00572CA5" w:rsidRPr="00E23CED">
        <w:t>N</w:t>
      </w:r>
      <w:r w:rsidR="00E45E54" w:rsidRPr="00E23CED">
        <w:t xml:space="preserve">ational </w:t>
      </w:r>
      <w:r w:rsidR="00572CA5" w:rsidRPr="00E23CED">
        <w:t>I</w:t>
      </w:r>
      <w:r w:rsidR="00E45E54" w:rsidRPr="00E23CED">
        <w:t xml:space="preserve">nstitute of </w:t>
      </w:r>
      <w:r w:rsidR="00572CA5" w:rsidRPr="00E23CED">
        <w:t>W</w:t>
      </w:r>
      <w:r w:rsidR="00E45E54" w:rsidRPr="00E23CED">
        <w:t xml:space="preserve">ater and </w:t>
      </w:r>
      <w:proofErr w:type="gramStart"/>
      <w:r w:rsidR="00572CA5" w:rsidRPr="00E23CED">
        <w:t>A</w:t>
      </w:r>
      <w:r w:rsidR="00E45E54" w:rsidRPr="00E23CED">
        <w:t>tmospheric Research</w:t>
      </w:r>
      <w:r w:rsidR="00572CA5" w:rsidRPr="00E23CED">
        <w:t xml:space="preserve">’s </w:t>
      </w:r>
      <w:r w:rsidRPr="00E23CED">
        <w:t>r</w:t>
      </w:r>
      <w:r w:rsidR="00572CA5" w:rsidRPr="00E23CED">
        <w:t>iver</w:t>
      </w:r>
      <w:proofErr w:type="gramEnd"/>
      <w:r w:rsidR="00572CA5" w:rsidRPr="00E23CED">
        <w:t xml:space="preserve"> </w:t>
      </w:r>
      <w:r w:rsidRPr="00E23CED">
        <w:t>e</w:t>
      </w:r>
      <w:r w:rsidR="00572CA5" w:rsidRPr="00E23CED">
        <w:t xml:space="preserve">nvironment </w:t>
      </w:r>
      <w:r w:rsidRPr="00E23CED">
        <w:t>c</w:t>
      </w:r>
      <w:r w:rsidR="00572CA5" w:rsidRPr="00E23CED">
        <w:t>lassification (REC) at the source-of-flow level (21 classes), divided into shaded and unshaded sites</w:t>
      </w:r>
    </w:p>
    <w:p w14:paraId="442B72C7" w14:textId="4FAF97B4" w:rsidR="00572CA5" w:rsidRPr="00E23CED" w:rsidRDefault="009B1A0C" w:rsidP="00B055AD">
      <w:pPr>
        <w:pStyle w:val="Bullet"/>
        <w:spacing w:after="100"/>
      </w:pPr>
      <w:r w:rsidRPr="00E23CED">
        <w:t>a</w:t>
      </w:r>
      <w:r w:rsidR="00572CA5" w:rsidRPr="00E23CED">
        <w:t xml:space="preserve">lternative criteria </w:t>
      </w:r>
      <w:r w:rsidR="00656A63">
        <w:t>should</w:t>
      </w:r>
      <w:r w:rsidR="00572CA5" w:rsidRPr="00E23CED">
        <w:t xml:space="preserve"> be used</w:t>
      </w:r>
      <w:r w:rsidR="003C7B52" w:rsidRPr="00E23CED">
        <w:t xml:space="preserve"> w</w:t>
      </w:r>
      <w:r w:rsidRPr="00E23CED">
        <w:t>here</w:t>
      </w:r>
      <w:r w:rsidR="00572CA5" w:rsidRPr="00E23CED">
        <w:t>:</w:t>
      </w:r>
    </w:p>
    <w:p w14:paraId="51DF0486" w14:textId="6A869AD6" w:rsidR="00572CA5" w:rsidRPr="00E23CED" w:rsidRDefault="00572CA5" w:rsidP="00B055AD">
      <w:pPr>
        <w:pStyle w:val="Sub-list"/>
        <w:spacing w:after="100"/>
      </w:pPr>
      <w:r w:rsidRPr="00E23CED">
        <w:t>current nutrient concentrations are less than the nutrient criterion from the look-up table</w:t>
      </w:r>
      <w:r w:rsidR="007812A7" w:rsidRPr="00E23CED">
        <w:t>,</w:t>
      </w:r>
      <w:r w:rsidRPr="00E23CED">
        <w:t xml:space="preserve"> or where the nutrient exceedance criteria for DRP or TP are zero, the requirement to at least maintain water quality applies</w:t>
      </w:r>
      <w:r w:rsidR="004171A7" w:rsidRPr="00E23CED">
        <w:t>. I</w:t>
      </w:r>
      <w:r w:rsidRPr="00E23CED">
        <w:t>n th</w:t>
      </w:r>
      <w:r w:rsidR="004171A7" w:rsidRPr="00E23CED">
        <w:t>ese</w:t>
      </w:r>
      <w:r w:rsidRPr="00E23CED">
        <w:t xml:space="preserve"> situation</w:t>
      </w:r>
      <w:r w:rsidR="004171A7" w:rsidRPr="00E23CED">
        <w:t>s</w:t>
      </w:r>
      <w:r w:rsidRPr="00E23CED">
        <w:t xml:space="preserve">, replace an identified criterion by the current measured or modelled </w:t>
      </w:r>
      <w:proofErr w:type="gramStart"/>
      <w:r w:rsidRPr="00E23CED">
        <w:t>concentration</w:t>
      </w:r>
      <w:proofErr w:type="gramEnd"/>
    </w:p>
    <w:p w14:paraId="440ED343" w14:textId="49B1CD59" w:rsidR="00572CA5" w:rsidRPr="00E23CED" w:rsidRDefault="00572CA5" w:rsidP="00B055AD">
      <w:pPr>
        <w:pStyle w:val="Sub-list"/>
        <w:spacing w:after="100"/>
      </w:pPr>
      <w:r w:rsidRPr="00E23CED">
        <w:t>the identified criteria are higher than levels to achieve other attribute states at the site (</w:t>
      </w:r>
      <w:r w:rsidR="006678C2" w:rsidRPr="00E23CED">
        <w:t>eg</w:t>
      </w:r>
      <w:r w:rsidRPr="00E23CED">
        <w:t>, the nitrate toxicity target attribute)</w:t>
      </w:r>
      <w:r w:rsidR="000D1E6F" w:rsidRPr="00E23CED">
        <w:t>. In this situation,</w:t>
      </w:r>
      <w:r w:rsidR="00A418B4" w:rsidRPr="00E23CED">
        <w:t xml:space="preserve"> </w:t>
      </w:r>
      <w:r w:rsidR="009B1A0C" w:rsidRPr="00E23CED">
        <w:t>t</w:t>
      </w:r>
      <w:r w:rsidR="00A418B4" w:rsidRPr="00E23CED">
        <w:t xml:space="preserve">he </w:t>
      </w:r>
      <w:r w:rsidR="005712F4" w:rsidRPr="00E23CED">
        <w:t>more sensitive</w:t>
      </w:r>
      <w:r w:rsidR="00A418B4" w:rsidRPr="00E23CED">
        <w:t xml:space="preserve"> TAS </w:t>
      </w:r>
      <w:r w:rsidR="00656A63">
        <w:t>should</w:t>
      </w:r>
      <w:r w:rsidR="00A418B4" w:rsidRPr="00E23CED">
        <w:t xml:space="preserve"> be </w:t>
      </w:r>
      <w:proofErr w:type="gramStart"/>
      <w:r w:rsidR="00A418B4" w:rsidRPr="00E23CED">
        <w:t>applied</w:t>
      </w:r>
      <w:proofErr w:type="gramEnd"/>
    </w:p>
    <w:p w14:paraId="28FD1A7C" w14:textId="56FBC6F7" w:rsidR="00572CA5" w:rsidRPr="00E23CED" w:rsidRDefault="00572CA5" w:rsidP="00B055AD">
      <w:pPr>
        <w:pStyle w:val="Sub-list"/>
        <w:spacing w:after="100"/>
      </w:pPr>
      <w:r w:rsidRPr="00E23CED">
        <w:t>there are sensitive downstream receiving environments that require nutrient concentrations or loads that imply the identified criterion is too high</w:t>
      </w:r>
      <w:r w:rsidR="000D1E6F" w:rsidRPr="00E23CED">
        <w:t>. In this situation,</w:t>
      </w:r>
      <w:r w:rsidR="009B1A0C" w:rsidRPr="00E23CED">
        <w:t xml:space="preserve"> </w:t>
      </w:r>
      <w:r w:rsidR="00A418B4" w:rsidRPr="00E23CED">
        <w:t>more stringent TASs</w:t>
      </w:r>
      <w:r w:rsidR="000A7F0B" w:rsidRPr="00E23CED">
        <w:t xml:space="preserve"> </w:t>
      </w:r>
      <w:r w:rsidR="00656A63">
        <w:t>should</w:t>
      </w:r>
      <w:r w:rsidR="000A7F0B" w:rsidRPr="00E23CED">
        <w:t xml:space="preserve"> be factored in</w:t>
      </w:r>
      <w:r w:rsidR="00A418B4" w:rsidRPr="00E23CED">
        <w:t>.</w:t>
      </w:r>
    </w:p>
    <w:p w14:paraId="295BF322" w14:textId="01C0CD5C" w:rsidR="00572CA5" w:rsidRPr="00E23CED" w:rsidRDefault="005A3C06" w:rsidP="00B055AD">
      <w:pPr>
        <w:pStyle w:val="BodyText"/>
        <w:spacing w:after="100"/>
      </w:pPr>
      <w:r w:rsidRPr="00E23CED">
        <w:rPr>
          <w:b/>
          <w:bCs/>
        </w:rPr>
        <w:t>If the look-up tables are used</w:t>
      </w:r>
      <w:r w:rsidR="00345923" w:rsidRPr="00E23CED">
        <w:rPr>
          <w:b/>
          <w:bCs/>
        </w:rPr>
        <w:t>, these should only be considered as a starting point</w:t>
      </w:r>
      <w:r w:rsidR="00572CA5" w:rsidRPr="00E23CED">
        <w:rPr>
          <w:b/>
          <w:bCs/>
        </w:rPr>
        <w:t xml:space="preserve"> for managing nutrient concentrations for periphyton.</w:t>
      </w:r>
      <w:r w:rsidR="00572CA5" w:rsidRPr="00E23CED">
        <w:rPr>
          <w:i/>
          <w:iCs/>
        </w:rPr>
        <w:t xml:space="preserve"> </w:t>
      </w:r>
      <w:r w:rsidR="00573752" w:rsidRPr="00E23CED">
        <w:t>The</w:t>
      </w:r>
      <w:r w:rsidR="00572CA5" w:rsidRPr="00E23CED">
        <w:t xml:space="preserve"> direct output of the model should </w:t>
      </w:r>
      <w:r w:rsidR="00D42D17" w:rsidRPr="00E23CED">
        <w:t xml:space="preserve">not </w:t>
      </w:r>
      <w:r w:rsidR="00572CA5" w:rsidRPr="00E23CED">
        <w:t xml:space="preserve">be used without verification, </w:t>
      </w:r>
      <w:r w:rsidR="00935BBD" w:rsidRPr="00E23CED">
        <w:t>because</w:t>
      </w:r>
      <w:r w:rsidR="00572CA5" w:rsidRPr="00E23CED">
        <w:t xml:space="preserve"> the criteria in the tables are risk</w:t>
      </w:r>
      <w:r w:rsidR="009B1A0C" w:rsidRPr="00E23CED">
        <w:t xml:space="preserve"> </w:t>
      </w:r>
      <w:r w:rsidR="00572CA5" w:rsidRPr="00E23CED">
        <w:t xml:space="preserve">based and apply to populations of sites. Therefore, once nutrient criteria are assigned from the look-up tables to sites across a region (following the steps in </w:t>
      </w:r>
      <w:r w:rsidR="009B1A0C" w:rsidRPr="00E23CED">
        <w:t>Ministry for the</w:t>
      </w:r>
      <w:r w:rsidR="00FF502C" w:rsidRPr="00E23CED">
        <w:t> </w:t>
      </w:r>
      <w:r w:rsidR="009B1A0C" w:rsidRPr="00E23CED">
        <w:t>Environment</w:t>
      </w:r>
      <w:r w:rsidR="00572CA5" w:rsidRPr="00E23CED">
        <w:t xml:space="preserve"> </w:t>
      </w:r>
      <w:r w:rsidR="00285850" w:rsidRPr="00E23CED">
        <w:t>(</w:t>
      </w:r>
      <w:r w:rsidR="00572CA5" w:rsidRPr="00E23CED">
        <w:t>2022a</w:t>
      </w:r>
      <w:r w:rsidR="00285850" w:rsidRPr="00E23CED">
        <w:t>)</w:t>
      </w:r>
      <w:r w:rsidR="00572CA5" w:rsidRPr="00E23CED">
        <w:t>)</w:t>
      </w:r>
      <w:r w:rsidR="009B1A0C" w:rsidRPr="00E23CED">
        <w:t>,</w:t>
      </w:r>
      <w:r w:rsidR="00572CA5" w:rsidRPr="00E23CED">
        <w:t xml:space="preserve"> regional councils </w:t>
      </w:r>
      <w:r w:rsidR="007D616B">
        <w:t>should</w:t>
      </w:r>
      <w:r w:rsidR="00572CA5" w:rsidRPr="00E23CED">
        <w:t xml:space="preserve"> apply a procedure for assessing confidence in (ie, verifying) the criteria</w:t>
      </w:r>
      <w:r w:rsidR="009B1A0C" w:rsidRPr="00E23CED">
        <w:t>.</w:t>
      </w:r>
      <w:r w:rsidR="00F5525C" w:rsidRPr="00E23CED">
        <w:rPr>
          <w:rStyle w:val="FootnoteReference"/>
        </w:rPr>
        <w:footnoteReference w:id="11"/>
      </w:r>
    </w:p>
    <w:p w14:paraId="3F524A2F" w14:textId="295E9E5E" w:rsidR="00572CA5" w:rsidRPr="00E23CED" w:rsidRDefault="006251E3" w:rsidP="00B055AD">
      <w:pPr>
        <w:pStyle w:val="BodyText"/>
        <w:spacing w:after="100"/>
      </w:pPr>
      <w:r w:rsidRPr="00E23CED">
        <w:t>R</w:t>
      </w:r>
      <w:r w:rsidR="00572CA5" w:rsidRPr="00E23CED">
        <w:t>egional councils need to assess the nutrient criteria by determining how well the</w:t>
      </w:r>
      <w:r w:rsidR="009B1A0C" w:rsidRPr="00E23CED">
        <w:t>se</w:t>
      </w:r>
      <w:r w:rsidR="00572CA5" w:rsidRPr="00E23CED">
        <w:t xml:space="preserve"> predict the proportion of sites in a population that would exceed a nominated biomass threshold.</w:t>
      </w:r>
      <w:r w:rsidR="00500C4E" w:rsidRPr="00E23CED">
        <w:rPr>
          <w:rStyle w:val="FootnoteReference"/>
        </w:rPr>
        <w:footnoteReference w:id="12"/>
      </w:r>
      <w:r w:rsidR="00572CA5" w:rsidRPr="00E23CED">
        <w:t xml:space="preserve"> </w:t>
      </w:r>
      <w:r w:rsidR="00E80AE4" w:rsidRPr="00E23CED">
        <w:t xml:space="preserve">They cannot interpret the look-up table criterion for a site as a prediction of the associated biomass threshold. </w:t>
      </w:r>
    </w:p>
    <w:p w14:paraId="1534BD06" w14:textId="64F7EFAB" w:rsidR="00572CA5" w:rsidRPr="00E23CED" w:rsidRDefault="009B1A0C" w:rsidP="00572CA5">
      <w:pPr>
        <w:pStyle w:val="BodyText"/>
      </w:pPr>
      <w:r w:rsidRPr="00E23CED">
        <w:t>T</w:t>
      </w:r>
      <w:r w:rsidR="00572CA5" w:rsidRPr="00E23CED">
        <w:t>he features of the model on which the look-up tables are based</w:t>
      </w:r>
      <w:r w:rsidR="0007752A" w:rsidRPr="00E23CED">
        <w:t>,</w:t>
      </w:r>
      <w:r w:rsidR="00BE372F" w:rsidRPr="00E23CED">
        <w:rPr>
          <w:rStyle w:val="FootnoteReference"/>
        </w:rPr>
        <w:footnoteReference w:id="13"/>
      </w:r>
      <w:r w:rsidR="00572CA5" w:rsidRPr="00E23CED">
        <w:t xml:space="preserve"> complicate interpretation of the nutrient criteria generated from it. A real-life example of the saturating concentration effect was documented by Suplee et al (2012).</w:t>
      </w:r>
    </w:p>
    <w:p w14:paraId="0C739DD2" w14:textId="2E2BA1FF" w:rsidR="00572CA5" w:rsidRPr="00E23CED" w:rsidRDefault="00572CA5" w:rsidP="00C83C6C">
      <w:pPr>
        <w:pStyle w:val="BodyText"/>
      </w:pPr>
      <w:r w:rsidRPr="00E23CED">
        <w:t>Further cautions are</w:t>
      </w:r>
      <w:r w:rsidR="00325A06" w:rsidRPr="00E23CED">
        <w:t xml:space="preserve"> </w:t>
      </w:r>
      <w:r w:rsidR="009E0817" w:rsidRPr="00E23CED">
        <w:t>as follows.</w:t>
      </w:r>
    </w:p>
    <w:p w14:paraId="50970EB9" w14:textId="56EDC999" w:rsidR="00572CA5" w:rsidRPr="00E23CED" w:rsidRDefault="002364D0" w:rsidP="00C83C6C">
      <w:pPr>
        <w:pStyle w:val="Bullet"/>
      </w:pPr>
      <w:r w:rsidRPr="00E23CED">
        <w:t>The biomass ceiling i</w:t>
      </w:r>
      <w:r w:rsidR="00572CA5" w:rsidRPr="00E23CED">
        <w:t>n some REC source-of-flow classes, even at high percentiles of the predicted cumulative probability distribution (</w:t>
      </w:r>
      <w:r w:rsidR="006678C2" w:rsidRPr="00E23CED">
        <w:t>eg</w:t>
      </w:r>
      <w:r w:rsidR="00572CA5" w:rsidRPr="00E23CED">
        <w:t>, the 80th percentile</w:t>
      </w:r>
      <w:r w:rsidR="009B1A0C" w:rsidRPr="00E23CED">
        <w:t>,</w:t>
      </w:r>
      <w:r w:rsidR="00572CA5" w:rsidRPr="00E23CED">
        <w:t xml:space="preserve"> which corresponds to the 20</w:t>
      </w:r>
      <w:r w:rsidR="009B1A0C" w:rsidRPr="00E23CED">
        <w:t xml:space="preserve"> per cent</w:t>
      </w:r>
      <w:r w:rsidR="00572CA5" w:rsidRPr="00E23CED">
        <w:t xml:space="preserve"> under-protection risk)</w:t>
      </w:r>
      <w:r w:rsidR="002E03DA" w:rsidRPr="00E23CED">
        <w:t>,</w:t>
      </w:r>
      <w:r w:rsidR="00572CA5" w:rsidRPr="00E23CED">
        <w:t xml:space="preserve"> may be lower than the NOF B- and C-band thresholds of 120 </w:t>
      </w:r>
      <w:r w:rsidR="00957EDA" w:rsidRPr="00E23CED">
        <w:t>m</w:t>
      </w:r>
      <w:r w:rsidR="0041736B" w:rsidRPr="00E23CED">
        <w:t>illi</w:t>
      </w:r>
      <w:r w:rsidR="00957EDA" w:rsidRPr="00E23CED">
        <w:t>g</w:t>
      </w:r>
      <w:r w:rsidR="0041736B" w:rsidRPr="00E23CED">
        <w:t>ram</w:t>
      </w:r>
      <w:r w:rsidR="009E0817" w:rsidRPr="00E23CED">
        <w:t>s</w:t>
      </w:r>
      <w:r w:rsidR="009B1A0C" w:rsidRPr="00E23CED">
        <w:t xml:space="preserve"> </w:t>
      </w:r>
      <w:r w:rsidR="00572CA5" w:rsidRPr="00E23CED">
        <w:t>chlorophyll</w:t>
      </w:r>
      <w:r w:rsidR="006B2530" w:rsidRPr="00E23CED">
        <w:t xml:space="preserve"> m</w:t>
      </w:r>
      <w:r w:rsidR="00E436CF" w:rsidRPr="00E23CED">
        <w:rPr>
          <w:vertAlign w:val="superscript"/>
        </w:rPr>
        <w:t>-2</w:t>
      </w:r>
      <w:r w:rsidR="006B2530" w:rsidRPr="00E23CED">
        <w:t xml:space="preserve"> </w:t>
      </w:r>
      <w:r w:rsidR="00572CA5" w:rsidRPr="00E23CED">
        <w:t>and 200 m</w:t>
      </w:r>
      <w:r w:rsidR="009B1A0C" w:rsidRPr="00E23CED">
        <w:t>illi</w:t>
      </w:r>
      <w:r w:rsidR="00572CA5" w:rsidRPr="00E23CED">
        <w:t>g</w:t>
      </w:r>
      <w:r w:rsidR="009B1A0C" w:rsidRPr="00E23CED">
        <w:t>ram</w:t>
      </w:r>
      <w:r w:rsidR="009E0817" w:rsidRPr="00E23CED">
        <w:t>s</w:t>
      </w:r>
      <w:r w:rsidR="00572CA5" w:rsidRPr="00E23CED">
        <w:t xml:space="preserve"> chlorophyll m</w:t>
      </w:r>
      <w:r w:rsidR="00572CA5" w:rsidRPr="00E23CED">
        <w:rPr>
          <w:vertAlign w:val="superscript"/>
        </w:rPr>
        <w:t>–2</w:t>
      </w:r>
      <w:r w:rsidR="00572CA5" w:rsidRPr="00E23CED">
        <w:t xml:space="preserve">. In other words, the models indicate </w:t>
      </w:r>
      <w:r w:rsidR="009B1A0C" w:rsidRPr="00E23CED">
        <w:t xml:space="preserve">that </w:t>
      </w:r>
      <w:r w:rsidR="00572CA5" w:rsidRPr="00E23CED">
        <w:t>factors other than nutrient concentration limit the maximum biomass in these REC classes so that thresholds will not be reached, no matter how high the nutrient concentration</w:t>
      </w:r>
      <w:r w:rsidR="00A418B4" w:rsidRPr="00E23CED">
        <w:t>.</w:t>
      </w:r>
    </w:p>
    <w:p w14:paraId="4E1CB482" w14:textId="1937009B" w:rsidR="00572CA5" w:rsidRPr="00E23CED" w:rsidRDefault="00572CA5" w:rsidP="00F53568">
      <w:pPr>
        <w:pStyle w:val="Bullet"/>
        <w:spacing w:after="100"/>
      </w:pPr>
      <w:r w:rsidRPr="00E23CED">
        <w:lastRenderedPageBreak/>
        <w:t>Shifts in periphyton community composition in response to nutrient enrichment may occur without a significant change in periphyton biomass (</w:t>
      </w:r>
      <w:r w:rsidR="009B1A0C" w:rsidRPr="00E23CED">
        <w:t>Ministry for the Environment,</w:t>
      </w:r>
      <w:r w:rsidRPr="00E23CED">
        <w:t xml:space="preserve"> 2022b). Therefore, any nutrient criteria based on chl-a may not be protective of nutrient-affected attributes higher up the food chain. In </w:t>
      </w:r>
      <w:r w:rsidR="00B46299" w:rsidRPr="00E23CED">
        <w:t>such circumstances</w:t>
      </w:r>
      <w:r w:rsidR="00214E8E" w:rsidRPr="00E23CED">
        <w:t>,</w:t>
      </w:r>
      <w:r w:rsidRPr="00E23CED">
        <w:t xml:space="preserve"> other attributes such as MCI may be worth greater consideration when setting nutrient concentrations in </w:t>
      </w:r>
      <w:r w:rsidRPr="00E23CED">
        <w:rPr>
          <w:rFonts w:eastAsia="Calibri" w:cs="Calibri"/>
        </w:rPr>
        <w:t>upstream contributing water bodie</w:t>
      </w:r>
      <w:r w:rsidRPr="00E23CED">
        <w:t>s</w:t>
      </w:r>
      <w:r w:rsidR="009B1A0C" w:rsidRPr="00E23CED">
        <w:t>,</w:t>
      </w:r>
      <w:r w:rsidRPr="00E23CED">
        <w:t xml:space="preserve"> </w:t>
      </w:r>
      <w:r w:rsidR="00E96DF6" w:rsidRPr="00E23CED">
        <w:t>because</w:t>
      </w:r>
      <w:r w:rsidRPr="00E23CED">
        <w:t xml:space="preserve"> research indicates they</w:t>
      </w:r>
      <w:r w:rsidR="00792FE0" w:rsidRPr="00E23CED">
        <w:t> </w:t>
      </w:r>
      <w:r w:rsidRPr="00E23CED">
        <w:t>are more sensitive to the effects of nutrient enrichment than periphyton (Canning</w:t>
      </w:r>
      <w:r w:rsidR="00CD6D1C" w:rsidRPr="00E23CED">
        <w:t xml:space="preserve"> et</w:t>
      </w:r>
      <w:r w:rsidR="00792FE0" w:rsidRPr="00E23CED">
        <w:t> </w:t>
      </w:r>
      <w:r w:rsidR="00CD6D1C" w:rsidRPr="00E23CED">
        <w:t>al,</w:t>
      </w:r>
      <w:r w:rsidRPr="00E23CED">
        <w:t xml:space="preserve"> 2021).</w:t>
      </w:r>
    </w:p>
    <w:p w14:paraId="172C6C92" w14:textId="3BD329F7" w:rsidR="00572CA5" w:rsidRPr="00E23CED" w:rsidRDefault="00572CA5" w:rsidP="00F53568">
      <w:pPr>
        <w:pStyle w:val="BodyText"/>
        <w:spacing w:after="100"/>
      </w:pPr>
      <w:r w:rsidRPr="00E23CED">
        <w:t xml:space="preserve">The national periphyton dataset continues to expand as sites are added to monitoring programmes in different regions, and time series are being extended. </w:t>
      </w:r>
      <w:r w:rsidR="009B1A0C" w:rsidRPr="00E23CED">
        <w:t>Other</w:t>
      </w:r>
      <w:r w:rsidRPr="00E23CED">
        <w:t xml:space="preserve"> statistical methodologies for analysing the data and extracting nutrient criteria are </w:t>
      </w:r>
      <w:r w:rsidR="009B1A0C" w:rsidRPr="00E23CED">
        <w:t xml:space="preserve">also </w:t>
      </w:r>
      <w:r w:rsidRPr="00E23CED">
        <w:t xml:space="preserve">being explored. </w:t>
      </w:r>
      <w:r w:rsidR="009B1A0C" w:rsidRPr="00E23CED">
        <w:t>T</w:t>
      </w:r>
      <w:r w:rsidRPr="00E23CED">
        <w:t xml:space="preserve">he current look-up tables </w:t>
      </w:r>
      <w:r w:rsidR="00F57539" w:rsidRPr="00E23CED">
        <w:t xml:space="preserve">are </w:t>
      </w:r>
      <w:r w:rsidR="009B1A0C" w:rsidRPr="00E23CED">
        <w:t>therefore</w:t>
      </w:r>
      <w:r w:rsidRPr="00E23CED">
        <w:t xml:space="preserve"> a work in progress, with potential for future refinement and improvement.</w:t>
      </w:r>
    </w:p>
    <w:p w14:paraId="2B5EDCF4" w14:textId="066BEE2D" w:rsidR="00572CA5" w:rsidRPr="00E23CED" w:rsidRDefault="00DD35BB" w:rsidP="00F53568">
      <w:pPr>
        <w:pStyle w:val="BodyText"/>
        <w:spacing w:after="100"/>
      </w:pPr>
      <w:r w:rsidRPr="00E23CED">
        <w:t xml:space="preserve">More </w:t>
      </w:r>
      <w:r w:rsidR="00890CA6" w:rsidRPr="00E23CED">
        <w:t>technical details and older</w:t>
      </w:r>
      <w:r w:rsidRPr="00E23CED">
        <w:t xml:space="preserve"> </w:t>
      </w:r>
      <w:r w:rsidR="00572CA5" w:rsidRPr="00E23CED">
        <w:t>models on periphyton biomass can be found</w:t>
      </w:r>
      <w:r w:rsidR="00BE43F4" w:rsidRPr="00E23CED">
        <w:t xml:space="preserve"> in</w:t>
      </w:r>
      <w:r w:rsidR="00C06C11" w:rsidRPr="00E23CED">
        <w:t xml:space="preserve"> </w:t>
      </w:r>
      <w:hyperlink r:id="rId68" w:history="1">
        <w:hyperlink r:id="rId69" w:history="1">
          <w:r w:rsidR="00B9683C" w:rsidRPr="00E23CED">
            <w:rPr>
              <w:rStyle w:val="Hyperlink"/>
              <w:rFonts w:cstheme="minorHAnsi"/>
              <w:i/>
            </w:rPr>
            <w:t>Setting instream nutrient concentration thresholds for nutrient-affected attributes in rivers: Guidance on implementing clause 3.13 of the NPS-FM</w:t>
          </w:r>
        </w:hyperlink>
      </w:hyperlink>
      <w:r w:rsidR="00BE43F4" w:rsidRPr="00E23CED">
        <w:t xml:space="preserve"> </w:t>
      </w:r>
      <w:r w:rsidR="009B1A0C" w:rsidRPr="00E23CED">
        <w:t>(Ministry for the Environment, 2022b).</w:t>
      </w:r>
    </w:p>
    <w:p w14:paraId="089C220E" w14:textId="77777777" w:rsidR="00572CA5" w:rsidRPr="00E23CED" w:rsidRDefault="00572CA5" w:rsidP="00F53568">
      <w:pPr>
        <w:pStyle w:val="Heading5"/>
        <w:spacing w:before="240"/>
      </w:pPr>
      <w:r w:rsidRPr="00E23CED">
        <w:t>Links to the periphyton look-up tables</w:t>
      </w:r>
    </w:p>
    <w:p w14:paraId="68D318C6" w14:textId="53E4A891" w:rsidR="00572CA5" w:rsidRPr="00E23CED" w:rsidRDefault="00E8131B" w:rsidP="00F53568">
      <w:pPr>
        <w:pStyle w:val="Bullet"/>
        <w:spacing w:before="120" w:after="100"/>
      </w:pPr>
      <w:hyperlink r:id="rId70">
        <w:r w:rsidR="00572CA5" w:rsidRPr="00E23CED">
          <w:rPr>
            <w:rStyle w:val="Hyperlink"/>
            <w:i/>
            <w:iCs/>
          </w:rPr>
          <w:t xml:space="preserve">Guidance on look-up tables for setting nutrient targets for periphyton: </w:t>
        </w:r>
        <w:r w:rsidR="003E5539" w:rsidRPr="00E23CED">
          <w:rPr>
            <w:rStyle w:val="Hyperlink"/>
            <w:i/>
            <w:iCs/>
          </w:rPr>
          <w:t>S</w:t>
        </w:r>
        <w:r w:rsidR="00572CA5" w:rsidRPr="00E23CED">
          <w:rPr>
            <w:rStyle w:val="Hyperlink"/>
            <w:i/>
            <w:iCs/>
          </w:rPr>
          <w:t>econd edition</w:t>
        </w:r>
      </w:hyperlink>
      <w:r w:rsidR="009B1A0C" w:rsidRPr="00E23CED">
        <w:rPr>
          <w:rStyle w:val="Hyperlink"/>
        </w:rPr>
        <w:t xml:space="preserve"> </w:t>
      </w:r>
      <w:r w:rsidR="009B1A0C" w:rsidRPr="00E23CED">
        <w:t>(Ministry for the Environment, 2022a)</w:t>
      </w:r>
      <w:r w:rsidR="00F53568" w:rsidRPr="00E23CED">
        <w:t>.</w:t>
      </w:r>
    </w:p>
    <w:p w14:paraId="056A4BC9" w14:textId="2AE6BD82" w:rsidR="00572CA5" w:rsidRPr="00E23CED" w:rsidRDefault="00E8131B" w:rsidP="00F53568">
      <w:pPr>
        <w:pStyle w:val="Bullet"/>
        <w:spacing w:after="100"/>
      </w:pPr>
      <w:hyperlink r:id="rId71">
        <w:r w:rsidR="00572CA5" w:rsidRPr="00E23CED">
          <w:rPr>
            <w:rStyle w:val="Hyperlink"/>
            <w:i/>
            <w:iCs/>
          </w:rPr>
          <w:t>Derivation of nutrient criteria for periphyton biomass objectives</w:t>
        </w:r>
      </w:hyperlink>
      <w:r w:rsidR="009B1A0C" w:rsidRPr="00E23CED">
        <w:t xml:space="preserve"> (</w:t>
      </w:r>
      <w:r w:rsidR="00E269A8" w:rsidRPr="00E23CED">
        <w:t>Snelder</w:t>
      </w:r>
      <w:r w:rsidR="009B1A0C" w:rsidRPr="00E23CED">
        <w:t xml:space="preserve"> et al, 2022)</w:t>
      </w:r>
      <w:r w:rsidR="00F53568" w:rsidRPr="00E23CED">
        <w:t>.</w:t>
      </w:r>
    </w:p>
    <w:p w14:paraId="59EA080E" w14:textId="53C20CFE" w:rsidR="00572CA5" w:rsidRPr="00E23CED" w:rsidRDefault="00572CA5" w:rsidP="00F53568">
      <w:pPr>
        <w:pStyle w:val="Bullet"/>
        <w:spacing w:after="100"/>
      </w:pPr>
      <w:r w:rsidRPr="00E23CED">
        <w:t xml:space="preserve">The dataset used to inform the look-up tables: </w:t>
      </w:r>
      <w:hyperlink r:id="rId72">
        <w:r w:rsidRPr="00E23CED">
          <w:rPr>
            <w:rStyle w:val="Hyperlink"/>
          </w:rPr>
          <w:t>NZ Freshwater Nutrient and Biomass Measurements for Periphyton 2012–2020</w:t>
        </w:r>
      </w:hyperlink>
      <w:r w:rsidR="009B1A0C" w:rsidRPr="00E23CED">
        <w:t xml:space="preserve"> (Ministry for the Environment)</w:t>
      </w:r>
      <w:r w:rsidR="009B1A0C" w:rsidRPr="00E23CED">
        <w:rPr>
          <w:rStyle w:val="Hyperlink"/>
          <w:color w:val="auto"/>
        </w:rPr>
        <w:t>.</w:t>
      </w:r>
    </w:p>
    <w:p w14:paraId="68A9DB65" w14:textId="422940B0" w:rsidR="001A2F9C" w:rsidRPr="00E23CED" w:rsidRDefault="0030418C" w:rsidP="00C83C6C">
      <w:pPr>
        <w:pStyle w:val="Heading2"/>
      </w:pPr>
      <w:bookmarkStart w:id="80" w:name="_3.1_Nutrient_outcomes"/>
      <w:bookmarkStart w:id="81" w:name="_3.4__Deriving"/>
      <w:bookmarkStart w:id="82" w:name="_Ref140418963"/>
      <w:bookmarkStart w:id="83" w:name="_Toc143077513"/>
      <w:bookmarkEnd w:id="80"/>
      <w:bookmarkEnd w:id="81"/>
      <w:r w:rsidRPr="00E23CED">
        <w:t>3</w:t>
      </w:r>
      <w:r w:rsidR="007F2A8D" w:rsidRPr="00E23CED">
        <w:t>.</w:t>
      </w:r>
      <w:r w:rsidR="0028097E" w:rsidRPr="00E23CED">
        <w:t>4</w:t>
      </w:r>
      <w:bookmarkStart w:id="84" w:name="_Hlk130832400"/>
      <w:r w:rsidR="00A02EF8" w:rsidRPr="00E23CED">
        <w:t xml:space="preserve"> </w:t>
      </w:r>
      <w:r w:rsidR="00C83C6C" w:rsidRPr="00E23CED">
        <w:tab/>
      </w:r>
      <w:r w:rsidR="00DB2AE7" w:rsidRPr="00E23CED">
        <w:t>Deriving n</w:t>
      </w:r>
      <w:r w:rsidR="007F2A8D" w:rsidRPr="00E23CED">
        <w:t xml:space="preserve">utrient </w:t>
      </w:r>
      <w:r w:rsidR="00216FC8" w:rsidRPr="00E23CED">
        <w:t xml:space="preserve">criteria </w:t>
      </w:r>
      <w:r w:rsidR="007F2A8D" w:rsidRPr="00E23CED">
        <w:t xml:space="preserve">for </w:t>
      </w:r>
      <w:r w:rsidR="00FF4D71" w:rsidRPr="00E23CED">
        <w:t>nutrient</w:t>
      </w:r>
      <w:r w:rsidR="00C83C6C" w:rsidRPr="00E23CED">
        <w:noBreakHyphen/>
      </w:r>
      <w:r w:rsidR="00FF4D71" w:rsidRPr="00E23CED">
        <w:t xml:space="preserve">sensitive </w:t>
      </w:r>
      <w:r w:rsidR="00D72C38" w:rsidRPr="00E23CED">
        <w:t>downstream</w:t>
      </w:r>
      <w:r w:rsidR="007F2A8D" w:rsidRPr="00E23CED">
        <w:t xml:space="preserve"> receiving</w:t>
      </w:r>
      <w:r w:rsidR="00C83C6C" w:rsidRPr="00E23CED">
        <w:t> </w:t>
      </w:r>
      <w:proofErr w:type="gramStart"/>
      <w:r w:rsidR="007F2A8D" w:rsidRPr="00E23CED">
        <w:t>environments</w:t>
      </w:r>
      <w:bookmarkEnd w:id="82"/>
      <w:bookmarkEnd w:id="83"/>
      <w:bookmarkEnd w:id="84"/>
      <w:proofErr w:type="gramEnd"/>
      <w:r w:rsidR="00F02542" w:rsidRPr="00E23CED">
        <w:t xml:space="preserve"> </w:t>
      </w:r>
    </w:p>
    <w:p w14:paraId="2CB83F1C" w14:textId="77D2A210" w:rsidR="00015418" w:rsidRPr="00E23CED" w:rsidRDefault="0030418C" w:rsidP="00C83C6C">
      <w:pPr>
        <w:pStyle w:val="Heading3"/>
        <w:tabs>
          <w:tab w:val="clear" w:pos="851"/>
          <w:tab w:val="left" w:pos="964"/>
        </w:tabs>
        <w:spacing w:before="240" w:after="240"/>
      </w:pPr>
      <w:r w:rsidRPr="00E23CED">
        <w:t>3</w:t>
      </w:r>
      <w:r w:rsidR="00CF4C4D" w:rsidRPr="00E23CED">
        <w:t>.</w:t>
      </w:r>
      <w:r w:rsidR="0028097E" w:rsidRPr="00E23CED">
        <w:t>4</w:t>
      </w:r>
      <w:r w:rsidR="00CF4C4D" w:rsidRPr="00E23CED">
        <w:t>.1</w:t>
      </w:r>
      <w:r w:rsidR="00B6599D" w:rsidRPr="00E23CED">
        <w:t xml:space="preserve"> </w:t>
      </w:r>
      <w:bookmarkStart w:id="85" w:name="_Hlk131000383"/>
      <w:r w:rsidR="00C83C6C" w:rsidRPr="00E23CED">
        <w:tab/>
      </w:r>
      <w:r w:rsidR="00471EF8" w:rsidRPr="00E23CED">
        <w:t>What are n</w:t>
      </w:r>
      <w:r w:rsidR="00490260" w:rsidRPr="00E23CED">
        <w:t>utrient</w:t>
      </w:r>
      <w:r w:rsidR="00546EC7" w:rsidRPr="00E23CED">
        <w:t>-</w:t>
      </w:r>
      <w:r w:rsidR="00CF4C4D" w:rsidRPr="00E23CED">
        <w:t>sensitive downstream receiving</w:t>
      </w:r>
      <w:r w:rsidR="00C83C6C" w:rsidRPr="00E23CED">
        <w:t> </w:t>
      </w:r>
      <w:r w:rsidR="00CF4C4D" w:rsidRPr="00E23CED">
        <w:t>environments</w:t>
      </w:r>
      <w:bookmarkEnd w:id="85"/>
      <w:r w:rsidR="00471EF8" w:rsidRPr="00E23CED">
        <w:t>?</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77EA" w:rsidRPr="00E23CED" w14:paraId="222744C0" w14:textId="77777777" w:rsidTr="00C83C6C">
        <w:tc>
          <w:tcPr>
            <w:tcW w:w="0" w:type="auto"/>
            <w:shd w:val="clear" w:color="auto" w:fill="D5EBE8" w:themeFill="accent3"/>
          </w:tcPr>
          <w:p w14:paraId="1F7924D1" w14:textId="6C14FCB6" w:rsidR="001377EA" w:rsidRPr="00E23CED" w:rsidRDefault="00AF3006" w:rsidP="00F53568">
            <w:pPr>
              <w:pStyle w:val="Boxheading0"/>
              <w:spacing w:before="180"/>
            </w:pPr>
            <w:r w:rsidRPr="00E23CED">
              <w:t>Main</w:t>
            </w:r>
            <w:r w:rsidR="00876041" w:rsidRPr="00E23CED">
              <w:t xml:space="preserve"> points</w:t>
            </w:r>
          </w:p>
          <w:p w14:paraId="4F54CC45" w14:textId="4EAC3680" w:rsidR="00876041" w:rsidRPr="00E23CED" w:rsidRDefault="00490260" w:rsidP="00C83C6C">
            <w:pPr>
              <w:pStyle w:val="Boxtext"/>
              <w:spacing w:after="0"/>
            </w:pPr>
            <w:r w:rsidRPr="00E23CED">
              <w:t>Nutrient</w:t>
            </w:r>
            <w:r w:rsidR="00F93558" w:rsidRPr="00E23CED">
              <w:t>-</w:t>
            </w:r>
            <w:r w:rsidR="00876041" w:rsidRPr="00E23CED">
              <w:t xml:space="preserve">sensitive </w:t>
            </w:r>
            <w:r w:rsidR="001C387C" w:rsidRPr="00E23CED">
              <w:t>downstream receiving environments</w:t>
            </w:r>
            <w:r w:rsidR="00876041" w:rsidRPr="00E23CED">
              <w:t xml:space="preserve"> include</w:t>
            </w:r>
            <w:r w:rsidR="00014289" w:rsidRPr="00E23CED">
              <w:rPr>
                <w:sz w:val="22"/>
                <w:szCs w:val="22"/>
              </w:rPr>
              <w:t xml:space="preserve"> </w:t>
            </w:r>
            <w:r w:rsidR="00014289" w:rsidRPr="00E23CED">
              <w:t xml:space="preserve">rivers, lakes, wetlands, </w:t>
            </w:r>
            <w:r w:rsidR="00546EC7" w:rsidRPr="00E23CED">
              <w:t>a</w:t>
            </w:r>
            <w:r w:rsidR="00014289" w:rsidRPr="00E23CED">
              <w:t>quifers, estuaries and coastal environments</w:t>
            </w:r>
            <w:r w:rsidR="00876041" w:rsidRPr="00E23CED">
              <w:t>.</w:t>
            </w:r>
          </w:p>
          <w:p w14:paraId="21A9C7A3" w14:textId="16FD71A9" w:rsidR="008557CB" w:rsidRPr="00E23CED" w:rsidRDefault="00F57539" w:rsidP="00C83C6C">
            <w:pPr>
              <w:pStyle w:val="Boxtext"/>
              <w:spacing w:after="0"/>
            </w:pPr>
            <w:r w:rsidRPr="00E23CED">
              <w:t>Relatively</w:t>
            </w:r>
            <w:r w:rsidR="00AA30B2" w:rsidRPr="00E23CED">
              <w:t xml:space="preserve"> more </w:t>
            </w:r>
            <w:r w:rsidR="005E2C0E" w:rsidRPr="00E23CED">
              <w:t xml:space="preserve">relevant </w:t>
            </w:r>
            <w:r w:rsidR="00AA30B2" w:rsidRPr="00E23CED">
              <w:t xml:space="preserve">information </w:t>
            </w:r>
            <w:r w:rsidR="005A2C04" w:rsidRPr="00E23CED">
              <w:t xml:space="preserve">is available </w:t>
            </w:r>
            <w:r w:rsidR="00AA30B2" w:rsidRPr="00E23CED">
              <w:t xml:space="preserve">to </w:t>
            </w:r>
            <w:r w:rsidR="00363996" w:rsidRPr="00E23CED">
              <w:t xml:space="preserve">help </w:t>
            </w:r>
            <w:r w:rsidR="00AA30B2" w:rsidRPr="00E23CED">
              <w:t xml:space="preserve">with nutrient criteria for </w:t>
            </w:r>
            <w:r w:rsidR="004476D5" w:rsidRPr="00E23CED">
              <w:t>river</w:t>
            </w:r>
            <w:r w:rsidR="0003196B" w:rsidRPr="00E23CED">
              <w:t>s,</w:t>
            </w:r>
            <w:r w:rsidR="004476D5" w:rsidRPr="00E23CED">
              <w:t xml:space="preserve"> lake</w:t>
            </w:r>
            <w:r w:rsidR="0003196B" w:rsidRPr="00E23CED">
              <w:t>s</w:t>
            </w:r>
            <w:r w:rsidR="004476D5" w:rsidRPr="00E23CED">
              <w:t xml:space="preserve"> and estuar</w:t>
            </w:r>
            <w:r w:rsidR="0003196B" w:rsidRPr="00E23CED">
              <w:t>ies</w:t>
            </w:r>
            <w:r w:rsidR="008557CB" w:rsidRPr="00E23CED">
              <w:t>.</w:t>
            </w:r>
          </w:p>
          <w:p w14:paraId="31C9B4BB" w14:textId="56CC6F0C" w:rsidR="001377EA" w:rsidRPr="00E23CED" w:rsidRDefault="008557CB" w:rsidP="00E81561">
            <w:pPr>
              <w:pStyle w:val="Boxtext"/>
              <w:spacing w:after="180"/>
            </w:pPr>
            <w:r w:rsidRPr="00E23CED">
              <w:rPr>
                <w:spacing w:val="-2"/>
              </w:rPr>
              <w:t>The relative lack of information</w:t>
            </w:r>
            <w:r w:rsidR="00921020" w:rsidRPr="00E23CED">
              <w:rPr>
                <w:spacing w:val="-2"/>
              </w:rPr>
              <w:t xml:space="preserve"> for wetlands, </w:t>
            </w:r>
            <w:r w:rsidR="005E42E6" w:rsidRPr="00E23CED">
              <w:rPr>
                <w:spacing w:val="-2"/>
              </w:rPr>
              <w:t>groundwater and coastal receiving environments</w:t>
            </w:r>
            <w:r w:rsidR="00855556" w:rsidRPr="00E23CED">
              <w:rPr>
                <w:spacing w:val="-2"/>
              </w:rPr>
              <w:t>,</w:t>
            </w:r>
            <w:r w:rsidR="00211F75" w:rsidRPr="00E23CED">
              <w:t xml:space="preserve"> like lagoons or the broader coastal marine area</w:t>
            </w:r>
            <w:r w:rsidR="00855556" w:rsidRPr="00E23CED">
              <w:t>,</w:t>
            </w:r>
            <w:r w:rsidR="00680D41" w:rsidRPr="00E23CED">
              <w:t xml:space="preserve"> </w:t>
            </w:r>
            <w:r w:rsidR="00D5230B" w:rsidRPr="00E23CED">
              <w:t>does not mean these water bodies should be ignored when setting nutrient criteria</w:t>
            </w:r>
            <w:r w:rsidRPr="00E23CED">
              <w:t>. T</w:t>
            </w:r>
            <w:r w:rsidR="00D5230B" w:rsidRPr="00E23CED">
              <w:t>he best available information should be used.</w:t>
            </w:r>
          </w:p>
        </w:tc>
      </w:tr>
    </w:tbl>
    <w:p w14:paraId="488FD6B2" w14:textId="02BB6F93" w:rsidR="00007C60" w:rsidRPr="00E23CED" w:rsidRDefault="00096648" w:rsidP="00AE6CC8">
      <w:pPr>
        <w:pStyle w:val="BodyText"/>
        <w:keepLines/>
        <w:spacing w:before="240"/>
      </w:pPr>
      <w:r w:rsidRPr="00E23CED">
        <w:t>Clause</w:t>
      </w:r>
      <w:r w:rsidR="001A2F9C" w:rsidRPr="00E23CED">
        <w:t xml:space="preserve"> 3.13 requires that when councils set nutrient criteria in FMUs, they must ensure environmental outcomes are achieved for nutrient-sensitive downstream receiving environments. Downstream receiving environments include any aquatic environment that may</w:t>
      </w:r>
      <w:r w:rsidR="00C83C6C" w:rsidRPr="00E23CED">
        <w:t> </w:t>
      </w:r>
      <w:r w:rsidR="001A2F9C" w:rsidRPr="00E23CED">
        <w:t>be affected by the discharge of water from upstream</w:t>
      </w:r>
      <w:r w:rsidR="00D05DEA" w:rsidRPr="00E23CED">
        <w:t>,</w:t>
      </w:r>
      <w:r w:rsidR="001A2F9C" w:rsidRPr="00E23CED">
        <w:t xml:space="preserve"> includ</w:t>
      </w:r>
      <w:r w:rsidR="00D05DEA" w:rsidRPr="00E23CED">
        <w:t>ing</w:t>
      </w:r>
      <w:r w:rsidR="001A2F9C" w:rsidRPr="00E23CED">
        <w:t xml:space="preserve"> coastal marine areas (including estuaries)</w:t>
      </w:r>
      <w:r w:rsidR="00043AB7" w:rsidRPr="00E23CED">
        <w:t>.</w:t>
      </w:r>
    </w:p>
    <w:p w14:paraId="19B664FF" w14:textId="04CAF91E" w:rsidR="00432A28" w:rsidRPr="00E23CED" w:rsidRDefault="00D01AC8" w:rsidP="00C83C6C">
      <w:pPr>
        <w:pStyle w:val="BodyText"/>
      </w:pPr>
      <w:r w:rsidRPr="00E23CED">
        <w:lastRenderedPageBreak/>
        <w:t xml:space="preserve">Downstream </w:t>
      </w:r>
      <w:r w:rsidR="002D6005" w:rsidRPr="00E23CED">
        <w:t xml:space="preserve">receiving </w:t>
      </w:r>
      <w:r w:rsidR="003169CF" w:rsidRPr="00E23CED">
        <w:t xml:space="preserve">environments </w:t>
      </w:r>
      <w:r w:rsidRPr="00E23CED">
        <w:t>may</w:t>
      </w:r>
      <w:r w:rsidR="003169CF" w:rsidRPr="00E23CED">
        <w:t xml:space="preserve"> be</w:t>
      </w:r>
      <w:r w:rsidR="00B60453" w:rsidRPr="00E23CED">
        <w:t xml:space="preserve"> </w:t>
      </w:r>
      <w:r w:rsidR="00991958" w:rsidRPr="00E23CED">
        <w:t>nutrient</w:t>
      </w:r>
      <w:r w:rsidR="00196DA0" w:rsidRPr="00E23CED">
        <w:t xml:space="preserve"> </w:t>
      </w:r>
      <w:r w:rsidR="00991958" w:rsidRPr="00E23CED">
        <w:t>sensitive</w:t>
      </w:r>
      <w:r w:rsidR="00B60453" w:rsidRPr="00E23CED">
        <w:t xml:space="preserve"> </w:t>
      </w:r>
      <w:r w:rsidRPr="00E23CED">
        <w:t>when</w:t>
      </w:r>
      <w:r w:rsidR="008D1330" w:rsidRPr="00E23CED">
        <w:t>, for example</w:t>
      </w:r>
      <w:r w:rsidR="00B60453" w:rsidRPr="00E23CED">
        <w:t>:</w:t>
      </w:r>
    </w:p>
    <w:p w14:paraId="1EB8A940" w14:textId="63A80C25" w:rsidR="00B60453" w:rsidRPr="00E23CED" w:rsidRDefault="00D01AC8" w:rsidP="00C83C6C">
      <w:pPr>
        <w:pStyle w:val="Bullet"/>
      </w:pPr>
      <w:r w:rsidRPr="00E23CED">
        <w:t>a</w:t>
      </w:r>
      <w:r w:rsidR="00B60453" w:rsidRPr="00E23CED">
        <w:t xml:space="preserve"> limiting nutrient </w:t>
      </w:r>
      <w:r w:rsidRPr="00E23CED">
        <w:t xml:space="preserve">is supplied from upstream, which changes the </w:t>
      </w:r>
      <w:r w:rsidR="00B60453" w:rsidRPr="00E23CED">
        <w:t xml:space="preserve">nutrient limitation status of the </w:t>
      </w:r>
      <w:r w:rsidRPr="00E23CED">
        <w:t xml:space="preserve">downstream </w:t>
      </w:r>
      <w:r w:rsidR="00F65FD6" w:rsidRPr="00E23CED">
        <w:t xml:space="preserve">water </w:t>
      </w:r>
      <w:proofErr w:type="gramStart"/>
      <w:r w:rsidR="00F65FD6" w:rsidRPr="00E23CED">
        <w:t>bod</w:t>
      </w:r>
      <w:r w:rsidR="00B60453" w:rsidRPr="00E23CED">
        <w:t>y</w:t>
      </w:r>
      <w:proofErr w:type="gramEnd"/>
    </w:p>
    <w:p w14:paraId="2D41C861" w14:textId="3FA5C56C" w:rsidR="00B60453" w:rsidRPr="00E23CED" w:rsidRDefault="00B60453" w:rsidP="00C83C6C">
      <w:pPr>
        <w:pStyle w:val="Bullet"/>
      </w:pPr>
      <w:r w:rsidRPr="00E23CED">
        <w:t xml:space="preserve">long residence times </w:t>
      </w:r>
      <w:r w:rsidR="00D01AC8" w:rsidRPr="00E23CED">
        <w:t>in a lake enable primary producers (eg, phytoplankton)</w:t>
      </w:r>
      <w:r w:rsidRPr="00E23CED">
        <w:t xml:space="preserve"> </w:t>
      </w:r>
      <w:r w:rsidR="00D01AC8" w:rsidRPr="00E23CED">
        <w:t xml:space="preserve">to take up </w:t>
      </w:r>
      <w:r w:rsidR="00007C60" w:rsidRPr="00E23CED">
        <w:t xml:space="preserve">additional </w:t>
      </w:r>
      <w:r w:rsidR="00D01AC8" w:rsidRPr="00E23CED">
        <w:t>nutrients</w:t>
      </w:r>
      <w:r w:rsidRPr="00E23CED">
        <w:t xml:space="preserve"> </w:t>
      </w:r>
      <w:r w:rsidR="00007C60" w:rsidRPr="00E23CED">
        <w:t xml:space="preserve">from upstream </w:t>
      </w:r>
      <w:r w:rsidRPr="00E23CED">
        <w:t xml:space="preserve">and </w:t>
      </w:r>
      <w:proofErr w:type="gramStart"/>
      <w:r w:rsidRPr="00E23CED">
        <w:t>proliferat</w:t>
      </w:r>
      <w:r w:rsidR="00D01AC8" w:rsidRPr="00E23CED">
        <w:t>e</w:t>
      </w:r>
      <w:proofErr w:type="gramEnd"/>
    </w:p>
    <w:p w14:paraId="4FB10532" w14:textId="6BB411EC" w:rsidR="00B60453" w:rsidRPr="00E23CED" w:rsidRDefault="009B4DA1" w:rsidP="00C83C6C">
      <w:pPr>
        <w:pStyle w:val="Bullet"/>
      </w:pPr>
      <w:r w:rsidRPr="00E23CED">
        <w:t>the receiving environment represents a different habitat, with biological communities that differ from those upstream</w:t>
      </w:r>
      <w:r w:rsidR="00DC66CC" w:rsidRPr="00E23CED">
        <w:t xml:space="preserve"> (</w:t>
      </w:r>
      <w:r w:rsidRPr="00E23CED">
        <w:t>including having different responses to changes in nutrient concentrations</w:t>
      </w:r>
      <w:r w:rsidR="00DC66CC" w:rsidRPr="00E23CED">
        <w:t>)</w:t>
      </w:r>
      <w:r w:rsidR="00432003" w:rsidRPr="00E23CED">
        <w:t>.</w:t>
      </w:r>
    </w:p>
    <w:p w14:paraId="2CCF3329" w14:textId="76207B6D" w:rsidR="005D40C6" w:rsidRPr="00E23CED" w:rsidRDefault="008A1870" w:rsidP="00C5404C">
      <w:pPr>
        <w:pStyle w:val="BodyText"/>
      </w:pPr>
      <w:r w:rsidRPr="00E23CED">
        <w:t xml:space="preserve">A ki uta ki tai approach </w:t>
      </w:r>
      <w:r w:rsidR="00602E84" w:rsidRPr="00E23CED">
        <w:t xml:space="preserve">applies </w:t>
      </w:r>
      <w:r w:rsidRPr="00E23CED">
        <w:t xml:space="preserve">to </w:t>
      </w:r>
      <w:r w:rsidR="00144C78" w:rsidRPr="00E23CED">
        <w:t xml:space="preserve">water flowing through all parts of the landscape. The connections and flow paths can be </w:t>
      </w:r>
      <w:r w:rsidR="0030683F" w:rsidRPr="00E23CED">
        <w:t xml:space="preserve">intricate and </w:t>
      </w:r>
      <w:r w:rsidR="00144C78" w:rsidRPr="00E23CED">
        <w:t>complicated</w:t>
      </w:r>
      <w:r w:rsidR="009B1A0C" w:rsidRPr="00E23CED">
        <w:t>, and</w:t>
      </w:r>
      <w:r w:rsidR="00144C78" w:rsidRPr="00E23CED">
        <w:t xml:space="preserve"> </w:t>
      </w:r>
      <w:r w:rsidR="009B1A0C" w:rsidRPr="00E23CED">
        <w:t>c</w:t>
      </w:r>
      <w:r w:rsidR="00590EB3" w:rsidRPr="00E23CED">
        <w:t>onsideration must be given</w:t>
      </w:r>
      <w:r w:rsidR="00AE6CC8" w:rsidRPr="00E23CED">
        <w:t> </w:t>
      </w:r>
      <w:r w:rsidR="00590EB3" w:rsidRPr="00E23CED">
        <w:t xml:space="preserve">to ensuring nutrient management protects </w:t>
      </w:r>
      <w:r w:rsidR="00EC7FE4" w:rsidRPr="00E23CED">
        <w:t>all types of water</w:t>
      </w:r>
      <w:r w:rsidR="001D4CE7" w:rsidRPr="00E23CED">
        <w:t xml:space="preserve"> </w:t>
      </w:r>
      <w:r w:rsidR="00EC7FE4" w:rsidRPr="00E23CED">
        <w:t xml:space="preserve">bodies in an FMU. </w:t>
      </w:r>
    </w:p>
    <w:p w14:paraId="0CDFCBDC" w14:textId="66A02A35" w:rsidR="00C80D95" w:rsidRPr="00E23CED" w:rsidRDefault="00C80D95" w:rsidP="00C83C6C">
      <w:pPr>
        <w:pStyle w:val="Heading3"/>
        <w:tabs>
          <w:tab w:val="clear" w:pos="851"/>
          <w:tab w:val="left" w:pos="964"/>
        </w:tabs>
        <w:rPr>
          <w:sz w:val="22"/>
        </w:rPr>
      </w:pPr>
      <w:r w:rsidRPr="00E23CED">
        <w:t xml:space="preserve">3.4.2 </w:t>
      </w:r>
      <w:r w:rsidR="00C83C6C" w:rsidRPr="00E23CED">
        <w:tab/>
      </w:r>
      <w:r w:rsidRPr="00E23CED">
        <w:t>Wetlands</w:t>
      </w:r>
    </w:p>
    <w:p w14:paraId="708620DB" w14:textId="351650B2" w:rsidR="002D117B" w:rsidRPr="00E23CED" w:rsidRDefault="002D117B" w:rsidP="00C83C6C">
      <w:pPr>
        <w:pStyle w:val="BodyText"/>
      </w:pPr>
      <w:r w:rsidRPr="00E23CED">
        <w:t xml:space="preserve">Wetlands are distinguished by three main components: hydrology, soils and vegetation. Wetland hydrology determines soil development, the assemblage of plants and animals that inhabit the site, and the type and intensity of biochemical processes (US EPA, 2008). The main wetland types in Aotearoa are bogs, fens, swamps and marshes (Johnson </w:t>
      </w:r>
      <w:r w:rsidR="00AC12C1" w:rsidRPr="00E23CED">
        <w:t>and</w:t>
      </w:r>
      <w:r w:rsidRPr="00E23CED">
        <w:t xml:space="preserve"> Gerbeaux, 2004). The relationship between wetland type and water source is </w:t>
      </w:r>
      <w:r w:rsidR="009B1A0C" w:rsidRPr="00E23CED">
        <w:t>shown in</w:t>
      </w:r>
      <w:r w:rsidRPr="00E23CED">
        <w:t xml:space="preserve"> </w:t>
      </w:r>
      <w:r w:rsidR="009B1A0C" w:rsidRPr="00E23CED">
        <w:t>f</w:t>
      </w:r>
      <w:r w:rsidRPr="00E23CED">
        <w:t xml:space="preserve">igure </w:t>
      </w:r>
      <w:r w:rsidR="006D2F6C" w:rsidRPr="00E23CED">
        <w:t>6</w:t>
      </w:r>
      <w:r w:rsidRPr="00E23CED">
        <w:t xml:space="preserve">. </w:t>
      </w:r>
    </w:p>
    <w:p w14:paraId="59653E66" w14:textId="70E4D738" w:rsidR="00C80D95" w:rsidRPr="00E23CED" w:rsidRDefault="00D13E9A" w:rsidP="00C81B50">
      <w:pPr>
        <w:pStyle w:val="Figureheading"/>
      </w:pPr>
      <w:bookmarkStart w:id="86" w:name="_Toc142661808"/>
      <w:r w:rsidRPr="00E23CED">
        <w:t xml:space="preserve">Figure </w:t>
      </w:r>
      <w:r w:rsidR="006D2F6C" w:rsidRPr="00E23CED">
        <w:t>6</w:t>
      </w:r>
      <w:r w:rsidRPr="00E23CED">
        <w:t xml:space="preserve">: </w:t>
      </w:r>
      <w:r w:rsidR="00C83C6C" w:rsidRPr="00E23CED">
        <w:tab/>
      </w:r>
      <w:r w:rsidRPr="00E23CED">
        <w:t>Water source and wetland type</w:t>
      </w:r>
      <w:bookmarkEnd w:id="86"/>
    </w:p>
    <w:p w14:paraId="71F71282" w14:textId="4C481DD9" w:rsidR="00FA2777" w:rsidRPr="00E23CED" w:rsidRDefault="00C80D95" w:rsidP="00A02A73">
      <w:pPr>
        <w:pStyle w:val="BodyText"/>
        <w:spacing w:after="0"/>
        <w:jc w:val="center"/>
      </w:pPr>
      <w:r w:rsidRPr="00E23CED">
        <w:rPr>
          <w:noProof/>
        </w:rPr>
        <w:drawing>
          <wp:inline distT="0" distB="0" distL="0" distR="0" wp14:anchorId="41A684AE" wp14:editId="3B2B4782">
            <wp:extent cx="3147646" cy="2241295"/>
            <wp:effectExtent l="0" t="0" r="0" b="6985"/>
            <wp:docPr id="4" name="Picture 4" descr="Water source and wetland type triangular diagram">
              <a:extLst xmlns:a="http://schemas.openxmlformats.org/drawingml/2006/main">
                <a:ext uri="{FF2B5EF4-FFF2-40B4-BE49-F238E27FC236}">
                  <a16:creationId xmlns:a16="http://schemas.microsoft.com/office/drawing/2014/main" id="{C725EFCB-53D8-475E-BF00-6B9780467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 source and wetland type triangular diagram">
                      <a:extLst>
                        <a:ext uri="{FF2B5EF4-FFF2-40B4-BE49-F238E27FC236}">
                          <a16:creationId xmlns:a16="http://schemas.microsoft.com/office/drawing/2014/main" id="{C725EFCB-53D8-475E-BF00-6B9780467078}"/>
                        </a:ext>
                      </a:extLst>
                    </pic:cNvPr>
                    <pic:cNvPicPr>
                      <a:picLocks noChangeAspect="1"/>
                    </pic:cNvPicPr>
                  </pic:nvPicPr>
                  <pic:blipFill rotWithShape="1">
                    <a:blip r:embed="rId73"/>
                    <a:srcRect l="7706" r="2086"/>
                    <a:stretch/>
                  </pic:blipFill>
                  <pic:spPr bwMode="auto">
                    <a:xfrm>
                      <a:off x="0" y="0"/>
                      <a:ext cx="3253521" cy="2316684"/>
                    </a:xfrm>
                    <a:prstGeom prst="rect">
                      <a:avLst/>
                    </a:prstGeom>
                    <a:ln>
                      <a:noFill/>
                    </a:ln>
                    <a:extLst>
                      <a:ext uri="{53640926-AAD7-44D8-BBD7-CCE9431645EC}">
                        <a14:shadowObscured xmlns:a14="http://schemas.microsoft.com/office/drawing/2010/main"/>
                      </a:ext>
                    </a:extLst>
                  </pic:spPr>
                </pic:pic>
              </a:graphicData>
            </a:graphic>
          </wp:inline>
        </w:drawing>
      </w:r>
    </w:p>
    <w:p w14:paraId="0D19F296" w14:textId="34228E0A" w:rsidR="009B1A0C" w:rsidRPr="00E23CED" w:rsidRDefault="009B1A0C" w:rsidP="00A02A73">
      <w:pPr>
        <w:pStyle w:val="Source"/>
        <w:spacing w:after="80"/>
      </w:pPr>
      <w:r w:rsidRPr="00E23CED">
        <w:t xml:space="preserve">Source: US EPA </w:t>
      </w:r>
      <w:r w:rsidR="004276C4" w:rsidRPr="00E23CED">
        <w:t>(</w:t>
      </w:r>
      <w:r w:rsidRPr="00E23CED">
        <w:t>2008</w:t>
      </w:r>
      <w:r w:rsidR="004276C4" w:rsidRPr="00E23CED">
        <w:t>)</w:t>
      </w:r>
    </w:p>
    <w:p w14:paraId="4D3147FF" w14:textId="572BFCB5" w:rsidR="00902C34" w:rsidRPr="00E23CED" w:rsidRDefault="00C80D95" w:rsidP="00792FE0">
      <w:pPr>
        <w:pStyle w:val="BodyText"/>
        <w:spacing w:after="100"/>
      </w:pPr>
      <w:r w:rsidRPr="00E23CED">
        <w:t xml:space="preserve">Hydrological disturbance is the primary cause of loss of natural character in wetlands. </w:t>
      </w:r>
      <w:r w:rsidR="00B4268E" w:rsidRPr="00E23CED">
        <w:t>A</w:t>
      </w:r>
      <w:r w:rsidRPr="00E23CED">
        <w:t>s zones</w:t>
      </w:r>
      <w:r w:rsidR="005D4F86">
        <w:t> </w:t>
      </w:r>
      <w:r w:rsidRPr="00E23CED">
        <w:t>of nutrient transformation and removal, wetlands are also sensitive to the amount of nutrients they receive. Many Aotearoa wetlands continue to suffer from excess nutrient inputs, caus</w:t>
      </w:r>
      <w:r w:rsidR="000E42B9" w:rsidRPr="00E23CED">
        <w:t>ing</w:t>
      </w:r>
      <w:r w:rsidRPr="00E23CED">
        <w:t xml:space="preserve"> increased biomass of vascular plants, followed by shifts in plant community composition to species adapted to high nutrient environments (US EPA, 2008). Nutrient enrichment typically leads to replacement of diverse multi-species communities </w:t>
      </w:r>
      <w:r w:rsidR="009E4111" w:rsidRPr="00E23CED">
        <w:t>with</w:t>
      </w:r>
      <w:r w:rsidR="00113B6D" w:rsidRPr="00E23CED">
        <w:t xml:space="preserve"> </w:t>
      </w:r>
      <w:r w:rsidRPr="00E23CED">
        <w:t>those dominated by a few fast-growing competitors (</w:t>
      </w:r>
      <w:r w:rsidR="00FA7F23" w:rsidRPr="00E23CED">
        <w:t xml:space="preserve">Burge et al, 2020; </w:t>
      </w:r>
      <w:r w:rsidRPr="00E23CED">
        <w:t>Sorrell, 2010</w:t>
      </w:r>
      <w:r w:rsidR="00FA7F23" w:rsidRPr="00E23CED">
        <w:t>).</w:t>
      </w:r>
      <w:r w:rsidRPr="00E23CED">
        <w:t xml:space="preserve"> </w:t>
      </w:r>
      <w:r w:rsidR="00902C34" w:rsidRPr="00E23CED">
        <w:rPr>
          <w:spacing w:val="-2"/>
        </w:rPr>
        <w:t>Thus, w</w:t>
      </w:r>
      <w:r w:rsidR="00902C34" w:rsidRPr="00E23CED">
        <w:t>hile there is no national guidance on indicative nutrient criteria for managing the trophic state of wetlands, a precautionary approach should be taken</w:t>
      </w:r>
      <w:r w:rsidR="009E3BBD" w:rsidRPr="00E23CED">
        <w:t xml:space="preserve"> to </w:t>
      </w:r>
      <w:r w:rsidR="000C2364" w:rsidRPr="00E23CED">
        <w:t>ensure</w:t>
      </w:r>
      <w:r w:rsidR="009E3BBD" w:rsidRPr="00E23CED">
        <w:t xml:space="preserve"> nutrient inputs </w:t>
      </w:r>
      <w:r w:rsidR="000C2364" w:rsidRPr="00E23CED">
        <w:t>do not degrade wetland values</w:t>
      </w:r>
      <w:r w:rsidR="00902C34" w:rsidRPr="00E23CED">
        <w:t xml:space="preserve">. </w:t>
      </w:r>
    </w:p>
    <w:p w14:paraId="5AED8516" w14:textId="298030C3" w:rsidR="00C80D95" w:rsidRPr="00E23CED" w:rsidRDefault="00C80D95" w:rsidP="00A02A73">
      <w:pPr>
        <w:pStyle w:val="Heading3"/>
        <w:tabs>
          <w:tab w:val="clear" w:pos="851"/>
          <w:tab w:val="left" w:pos="964"/>
        </w:tabs>
        <w:spacing w:before="240"/>
      </w:pPr>
      <w:r w:rsidRPr="00E23CED">
        <w:lastRenderedPageBreak/>
        <w:t xml:space="preserve">3.4.3 </w:t>
      </w:r>
      <w:r w:rsidR="00B37918" w:rsidRPr="00E23CED">
        <w:tab/>
      </w:r>
      <w:r w:rsidRPr="00E23CED">
        <w:t>Groundwater</w:t>
      </w:r>
    </w:p>
    <w:p w14:paraId="008E8212" w14:textId="70C42969" w:rsidR="00C66D1A" w:rsidRPr="00E23CED" w:rsidRDefault="000E42B9" w:rsidP="00792FE0">
      <w:pPr>
        <w:pStyle w:val="BodyText"/>
        <w:spacing w:before="100" w:after="100"/>
      </w:pPr>
      <w:r w:rsidRPr="00E23CED">
        <w:t>F</w:t>
      </w:r>
      <w:r w:rsidR="00E22DAD" w:rsidRPr="00E23CED">
        <w:t>rom a nutrient perspective,</w:t>
      </w:r>
      <w:r w:rsidRPr="00E23CED">
        <w:t xml:space="preserve"> </w:t>
      </w:r>
      <w:r w:rsidR="00B60453" w:rsidRPr="00E23CED">
        <w:t xml:space="preserve">groundwater </w:t>
      </w:r>
      <w:r w:rsidR="004E026E" w:rsidRPr="00E23CED">
        <w:t xml:space="preserve">can be both an upstream contributing environment and a </w:t>
      </w:r>
      <w:r w:rsidR="001C387C" w:rsidRPr="00E23CED">
        <w:t>downstream receiving environment</w:t>
      </w:r>
      <w:r w:rsidR="00B60453" w:rsidRPr="00E23CED">
        <w:t>.</w:t>
      </w:r>
      <w:r w:rsidR="00A7591F" w:rsidRPr="00E23CED">
        <w:t xml:space="preserve"> </w:t>
      </w:r>
      <w:r w:rsidR="00D90B60" w:rsidRPr="00E23CED">
        <w:t xml:space="preserve">It is a source of nutrients to FMU surface waters (McDowell et al, 2015; Morgenstern and Daughney, 2012), </w:t>
      </w:r>
      <w:r w:rsidR="00B36F2D" w:rsidRPr="00E23CED">
        <w:t>while</w:t>
      </w:r>
      <w:r w:rsidR="00D90B60" w:rsidRPr="00E23CED">
        <w:t xml:space="preserve"> rivers and streams can</w:t>
      </w:r>
      <w:r w:rsidR="004157E7" w:rsidRPr="00E23CED">
        <w:t xml:space="preserve"> </w:t>
      </w:r>
      <w:r w:rsidR="00D90B60" w:rsidRPr="00E23CED">
        <w:t>recharge shallow aquifers.</w:t>
      </w:r>
    </w:p>
    <w:p w14:paraId="07CAD742" w14:textId="639039A0" w:rsidR="00807445" w:rsidRPr="00E23CED" w:rsidRDefault="00FE41BF" w:rsidP="00792FE0">
      <w:pPr>
        <w:pStyle w:val="BodyText"/>
        <w:spacing w:before="100" w:after="100"/>
      </w:pPr>
      <w:r w:rsidRPr="00E23CED">
        <w:t>N</w:t>
      </w:r>
      <w:r w:rsidR="00B60453" w:rsidRPr="00E23CED">
        <w:t xml:space="preserve">utrient additions to groundwater </w:t>
      </w:r>
      <w:r w:rsidR="008A37C2" w:rsidRPr="00E23CED">
        <w:t xml:space="preserve">from any source </w:t>
      </w:r>
      <w:r w:rsidR="00B60453" w:rsidRPr="00E23CED">
        <w:t xml:space="preserve">may influence heterotrophic </w:t>
      </w:r>
      <w:r w:rsidR="005B4992" w:rsidRPr="00E23CED">
        <w:t xml:space="preserve">processes </w:t>
      </w:r>
      <w:r w:rsidR="00B60453" w:rsidRPr="00E23CED">
        <w:t>(</w:t>
      </w:r>
      <w:r w:rsidR="006678C2" w:rsidRPr="00E23CED">
        <w:t>ie</w:t>
      </w:r>
      <w:r w:rsidR="00B60453" w:rsidRPr="00E23CED">
        <w:t>,</w:t>
      </w:r>
      <w:r w:rsidR="008D63C8" w:rsidRPr="00E23CED">
        <w:t> </w:t>
      </w:r>
      <w:r w:rsidR="00B60453" w:rsidRPr="00E23CED">
        <w:t xml:space="preserve">nitrification and denitrification), </w:t>
      </w:r>
      <w:r w:rsidR="005B4992" w:rsidRPr="00E23CED">
        <w:t xml:space="preserve">and </w:t>
      </w:r>
      <w:r w:rsidR="00F25A96" w:rsidRPr="00E23CED">
        <w:t xml:space="preserve">could potentially affect </w:t>
      </w:r>
      <w:r w:rsidR="005B4992" w:rsidRPr="00E23CED">
        <w:t>groundwater invertebrate communities (</w:t>
      </w:r>
      <w:r w:rsidR="006678C2" w:rsidRPr="00E23CED">
        <w:t>ie</w:t>
      </w:r>
      <w:r w:rsidR="005B4992" w:rsidRPr="00E23CED">
        <w:t>, biodiversity of stygofauna</w:t>
      </w:r>
      <w:r w:rsidR="00F25A96" w:rsidRPr="00E23CED">
        <w:t xml:space="preserve">, Fenwick et al </w:t>
      </w:r>
      <w:r w:rsidR="000E42B9" w:rsidRPr="00E23CED">
        <w:t>(</w:t>
      </w:r>
      <w:r w:rsidR="00F25A96" w:rsidRPr="00E23CED">
        <w:t>2021</w:t>
      </w:r>
      <w:r w:rsidR="000E42B9" w:rsidRPr="00E23CED">
        <w:t>)</w:t>
      </w:r>
      <w:r w:rsidR="005B4992" w:rsidRPr="00E23CED">
        <w:t>)</w:t>
      </w:r>
      <w:r w:rsidR="000E1CD4" w:rsidRPr="00E23CED">
        <w:t>.</w:t>
      </w:r>
      <w:r w:rsidR="005B4992" w:rsidRPr="00E23CED">
        <w:t xml:space="preserve"> </w:t>
      </w:r>
      <w:r w:rsidR="00747F93" w:rsidRPr="00E23CED">
        <w:t>H</w:t>
      </w:r>
      <w:r w:rsidR="00B60453" w:rsidRPr="00E23CED">
        <w:t xml:space="preserve">igh concentrations </w:t>
      </w:r>
      <w:r w:rsidR="00747F93" w:rsidRPr="00E23CED">
        <w:t>of nitrogen input</w:t>
      </w:r>
      <w:r w:rsidR="00F5028C" w:rsidRPr="00E23CED">
        <w:t xml:space="preserve"> instream</w:t>
      </w:r>
      <w:r w:rsidR="00747F93" w:rsidRPr="00E23CED">
        <w:t xml:space="preserve"> may lead to </w:t>
      </w:r>
      <w:r w:rsidR="00B60453" w:rsidRPr="00E23CED">
        <w:t xml:space="preserve">nitrate and </w:t>
      </w:r>
      <w:r w:rsidR="00F53F6F" w:rsidRPr="00E23CED">
        <w:t xml:space="preserve">ammonia </w:t>
      </w:r>
      <w:r w:rsidR="00B60453" w:rsidRPr="00E23CED">
        <w:t>toxicity (</w:t>
      </w:r>
      <w:r w:rsidR="00747F93" w:rsidRPr="00E23CED">
        <w:t xml:space="preserve">but </w:t>
      </w:r>
      <w:r w:rsidR="00B60453" w:rsidRPr="00E23CED">
        <w:t>note the NPS-FM nitrate and ammonia toxicity attributes only apply to</w:t>
      </w:r>
      <w:r w:rsidR="00F5028C" w:rsidRPr="00E23CED">
        <w:t xml:space="preserve"> the effects on</w:t>
      </w:r>
      <w:r w:rsidR="00B60453" w:rsidRPr="00E23CED">
        <w:t xml:space="preserve"> </w:t>
      </w:r>
      <w:r w:rsidR="00F5028C" w:rsidRPr="00E23CED">
        <w:t>river and lake aquatic life</w:t>
      </w:r>
      <w:r w:rsidR="00B60453" w:rsidRPr="00E23CED">
        <w:t>).</w:t>
      </w:r>
      <w:r w:rsidR="00E87CD5" w:rsidRPr="00E23CED">
        <w:t xml:space="preserve"> </w:t>
      </w:r>
      <w:r w:rsidR="00194559" w:rsidRPr="00E23CED">
        <w:t>C</w:t>
      </w:r>
      <w:r w:rsidR="009F61F2" w:rsidRPr="00E23CED">
        <w:t>oncentrations of nutrients (specifically nitrate-nitrogen) in Aotearoa groundwaters are</w:t>
      </w:r>
      <w:r w:rsidR="00841F54" w:rsidRPr="00E23CED">
        <w:t>,</w:t>
      </w:r>
      <w:r w:rsidR="009F61F2" w:rsidRPr="00E23CED">
        <w:t xml:space="preserve"> on average</w:t>
      </w:r>
      <w:r w:rsidR="00841F54" w:rsidRPr="00E23CED">
        <w:t>,</w:t>
      </w:r>
      <w:r w:rsidR="009F61F2" w:rsidRPr="00E23CED">
        <w:t xml:space="preserve"> almost five time</w:t>
      </w:r>
      <w:r w:rsidR="00A87A6D" w:rsidRPr="00E23CED">
        <w:t>s</w:t>
      </w:r>
      <w:r w:rsidR="009F61F2" w:rsidRPr="00E23CED">
        <w:t xml:space="preserve"> higher than those in surface waters (Rogers et</w:t>
      </w:r>
      <w:r w:rsidR="008D63C8" w:rsidRPr="00E23CED">
        <w:t> </w:t>
      </w:r>
      <w:r w:rsidR="009F61F2" w:rsidRPr="00E23CED">
        <w:t>al</w:t>
      </w:r>
      <w:r w:rsidR="00346F2F" w:rsidRPr="00E23CED">
        <w:t>,</w:t>
      </w:r>
      <w:r w:rsidR="009F61F2" w:rsidRPr="00E23CED">
        <w:t xml:space="preserve"> 2023)</w:t>
      </w:r>
      <w:r w:rsidR="008C53AF" w:rsidRPr="00E23CED">
        <w:t>. C</w:t>
      </w:r>
      <w:r w:rsidR="00B60453" w:rsidRPr="00E23CED">
        <w:t xml:space="preserve">are should be taken that </w:t>
      </w:r>
      <w:r w:rsidR="00CC28C8" w:rsidRPr="00E23CED">
        <w:t>instream values</w:t>
      </w:r>
      <w:r w:rsidR="00B60453" w:rsidRPr="00E23CED">
        <w:t xml:space="preserve"> are</w:t>
      </w:r>
      <w:r w:rsidR="00CC28C8" w:rsidRPr="00E23CED">
        <w:t xml:space="preserve"> </w:t>
      </w:r>
      <w:r w:rsidR="00B60453" w:rsidRPr="00E23CED">
        <w:t xml:space="preserve">not </w:t>
      </w:r>
      <w:r w:rsidR="00CC28C8" w:rsidRPr="00E23CED">
        <w:t>compromised</w:t>
      </w:r>
      <w:r w:rsidR="00B60453" w:rsidRPr="00E23CED">
        <w:t xml:space="preserve"> where groundwater re-emerges into </w:t>
      </w:r>
      <w:r w:rsidR="004E026E" w:rsidRPr="00E23CED">
        <w:t xml:space="preserve">downstream </w:t>
      </w:r>
      <w:r w:rsidR="00F65FD6" w:rsidRPr="00E23CED">
        <w:t>water bod</w:t>
      </w:r>
      <w:r w:rsidR="00B60453" w:rsidRPr="00E23CED">
        <w:t>ies.</w:t>
      </w:r>
    </w:p>
    <w:p w14:paraId="287907CB" w14:textId="35DB65D5" w:rsidR="00F81928" w:rsidRPr="00E23CED" w:rsidRDefault="006B08B2" w:rsidP="00A02A73">
      <w:pPr>
        <w:pStyle w:val="Heading3"/>
        <w:tabs>
          <w:tab w:val="clear" w:pos="851"/>
          <w:tab w:val="left" w:pos="964"/>
        </w:tabs>
        <w:spacing w:before="240"/>
      </w:pPr>
      <w:bookmarkStart w:id="87" w:name="_3.2.2__Trophic"/>
      <w:bookmarkStart w:id="88" w:name="Tropicstatemeasures"/>
      <w:bookmarkStart w:id="89" w:name="table2"/>
      <w:bookmarkStart w:id="90" w:name="figure5"/>
      <w:bookmarkEnd w:id="87"/>
      <w:bookmarkEnd w:id="88"/>
      <w:bookmarkEnd w:id="89"/>
      <w:bookmarkEnd w:id="90"/>
      <w:r w:rsidRPr="00E23CED">
        <w:t xml:space="preserve">3.4.4 </w:t>
      </w:r>
      <w:r w:rsidR="008D63C8" w:rsidRPr="00E23CED">
        <w:tab/>
      </w:r>
      <w:r w:rsidR="00F81928" w:rsidRPr="00E23CED">
        <w:t>Lakes</w:t>
      </w:r>
    </w:p>
    <w:p w14:paraId="6E463992" w14:textId="7AEE712F" w:rsidR="00B60453" w:rsidRPr="00E23CED" w:rsidRDefault="00B60453" w:rsidP="007C3210">
      <w:pPr>
        <w:pStyle w:val="BodyText"/>
        <w:spacing w:after="80"/>
      </w:pPr>
      <w:r w:rsidRPr="00E23CED">
        <w:t>Three attributes have been defined to manage the trophic state of lakes:</w:t>
      </w:r>
    </w:p>
    <w:p w14:paraId="171B792C" w14:textId="234B0B6D" w:rsidR="00B60453" w:rsidRPr="00E23CED" w:rsidRDefault="00B60453" w:rsidP="007C3210">
      <w:pPr>
        <w:pStyle w:val="Bullet"/>
        <w:spacing w:after="80"/>
      </w:pPr>
      <w:r w:rsidRPr="00E23CED">
        <w:t>phytoplankton biomass (</w:t>
      </w:r>
      <w:r w:rsidR="00C13BB7" w:rsidRPr="00E23CED">
        <w:t>chl-</w:t>
      </w:r>
      <w:r w:rsidRPr="00E23CED">
        <w:t xml:space="preserve">a concentration, </w:t>
      </w:r>
      <w:r w:rsidR="000E42B9" w:rsidRPr="00E23CED">
        <w:t>mi</w:t>
      </w:r>
      <w:r w:rsidR="00196DA0" w:rsidRPr="00E23CED">
        <w:t>l</w:t>
      </w:r>
      <w:r w:rsidR="000E42B9" w:rsidRPr="00E23CED">
        <w:t>ligrams per cubic metre</w:t>
      </w:r>
      <w:r w:rsidRPr="00E23CED">
        <w:t>)</w:t>
      </w:r>
      <w:r w:rsidR="00667D01" w:rsidRPr="00E23CED">
        <w:t xml:space="preserve"> (</w:t>
      </w:r>
      <w:r w:rsidR="000E42B9" w:rsidRPr="00E23CED">
        <w:t>a</w:t>
      </w:r>
      <w:r w:rsidR="00667D01" w:rsidRPr="00E23CED">
        <w:t xml:space="preserve">ppendix 2A, </w:t>
      </w:r>
      <w:r w:rsidR="000E42B9" w:rsidRPr="00E23CED">
        <w:t>t</w:t>
      </w:r>
      <w:r w:rsidR="00667D01" w:rsidRPr="00E23CED">
        <w:t>able 1)</w:t>
      </w:r>
    </w:p>
    <w:p w14:paraId="14044C74" w14:textId="5F3D2EC4" w:rsidR="00B60453" w:rsidRPr="00E23CED" w:rsidRDefault="00B60453" w:rsidP="007C3210">
      <w:pPr>
        <w:pStyle w:val="Bullet"/>
        <w:spacing w:after="80"/>
      </w:pPr>
      <w:r w:rsidRPr="00E23CED">
        <w:t>TN concentration (</w:t>
      </w:r>
      <w:r w:rsidR="000E42B9" w:rsidRPr="00E23CED">
        <w:t>mi</w:t>
      </w:r>
      <w:r w:rsidR="00196DA0" w:rsidRPr="00E23CED">
        <w:t>l</w:t>
      </w:r>
      <w:r w:rsidR="000E42B9" w:rsidRPr="00E23CED">
        <w:t>ligrams per cubic metre</w:t>
      </w:r>
      <w:r w:rsidRPr="00E23CED">
        <w:t>)</w:t>
      </w:r>
      <w:r w:rsidR="00667D01" w:rsidRPr="00E23CED">
        <w:t xml:space="preserve"> (</w:t>
      </w:r>
      <w:r w:rsidR="000E42B9" w:rsidRPr="00E23CED">
        <w:t>a</w:t>
      </w:r>
      <w:r w:rsidR="00667D01" w:rsidRPr="00E23CED">
        <w:t xml:space="preserve">ppendix 2A, </w:t>
      </w:r>
      <w:r w:rsidR="000E42B9" w:rsidRPr="00E23CED">
        <w:t>t</w:t>
      </w:r>
      <w:r w:rsidR="00667D01" w:rsidRPr="00E23CED">
        <w:t>able 3)</w:t>
      </w:r>
      <w:r w:rsidRPr="00E23CED">
        <w:t xml:space="preserve"> </w:t>
      </w:r>
    </w:p>
    <w:p w14:paraId="03F5ABDA" w14:textId="05892041" w:rsidR="00B60453" w:rsidRPr="00E23CED" w:rsidRDefault="00B60453" w:rsidP="00792FE0">
      <w:pPr>
        <w:pStyle w:val="Bullet"/>
        <w:spacing w:after="100"/>
      </w:pPr>
      <w:r w:rsidRPr="00E23CED">
        <w:t>TP concentration (</w:t>
      </w:r>
      <w:r w:rsidR="000E42B9" w:rsidRPr="00E23CED">
        <w:t>mi</w:t>
      </w:r>
      <w:r w:rsidR="00196DA0" w:rsidRPr="00E23CED">
        <w:t>l</w:t>
      </w:r>
      <w:r w:rsidR="000E42B9" w:rsidRPr="00E23CED">
        <w:t>ligrams per cubic metre</w:t>
      </w:r>
      <w:r w:rsidRPr="00E23CED">
        <w:t>)</w:t>
      </w:r>
      <w:r w:rsidR="00667D01" w:rsidRPr="00E23CED">
        <w:t xml:space="preserve"> (</w:t>
      </w:r>
      <w:r w:rsidR="000E42B9" w:rsidRPr="00E23CED">
        <w:t>a</w:t>
      </w:r>
      <w:r w:rsidR="00667D01" w:rsidRPr="00E23CED">
        <w:t xml:space="preserve">ppendix 2A, </w:t>
      </w:r>
      <w:r w:rsidR="000E42B9" w:rsidRPr="00E23CED">
        <w:t>t</w:t>
      </w:r>
      <w:r w:rsidR="00667D01" w:rsidRPr="00E23CED">
        <w:t>able 3)</w:t>
      </w:r>
      <w:r w:rsidRPr="00E23CED">
        <w:t>.</w:t>
      </w:r>
    </w:p>
    <w:p w14:paraId="3C95F10E" w14:textId="4496620B" w:rsidR="00AA3A12" w:rsidRPr="00E23CED" w:rsidRDefault="007E52A3" w:rsidP="008D63C8">
      <w:pPr>
        <w:pStyle w:val="BodyText"/>
      </w:pPr>
      <w:r w:rsidRPr="00E23CED">
        <w:t xml:space="preserve">Numeric values of the three attributes can be combined to calculate the </w:t>
      </w:r>
      <w:r w:rsidR="000E42B9" w:rsidRPr="00E23CED">
        <w:t>t</w:t>
      </w:r>
      <w:r w:rsidR="00667D01" w:rsidRPr="00E23CED">
        <w:t xml:space="preserve">rophic </w:t>
      </w:r>
      <w:r w:rsidR="000E42B9" w:rsidRPr="00E23CED">
        <w:t>l</w:t>
      </w:r>
      <w:r w:rsidR="00667D01" w:rsidRPr="00E23CED">
        <w:t xml:space="preserve">evel </w:t>
      </w:r>
      <w:r w:rsidR="000E42B9" w:rsidRPr="00E23CED">
        <w:t>i</w:t>
      </w:r>
      <w:r w:rsidR="00667D01" w:rsidRPr="00E23CED">
        <w:t>ndex (TLI)</w:t>
      </w:r>
      <w:r w:rsidRPr="00E23CED">
        <w:t xml:space="preserve">, </w:t>
      </w:r>
      <w:r w:rsidR="00D67214" w:rsidRPr="00E23CED">
        <w:t xml:space="preserve">which is </w:t>
      </w:r>
      <w:r w:rsidRPr="00E23CED">
        <w:t>a useful single index for assess</w:t>
      </w:r>
      <w:r w:rsidR="000E42B9" w:rsidRPr="00E23CED">
        <w:t>ing</w:t>
      </w:r>
      <w:r w:rsidRPr="00E23CED">
        <w:t xml:space="preserve"> lake water quality. The protocol for calculating TLI is set</w:t>
      </w:r>
      <w:r w:rsidR="00792FE0" w:rsidRPr="00E23CED">
        <w:t> </w:t>
      </w:r>
      <w:r w:rsidRPr="00E23CED">
        <w:t>out in Burns et al (2000). For recent insights an</w:t>
      </w:r>
      <w:r w:rsidR="001340F7" w:rsidRPr="00E23CED">
        <w:t>d</w:t>
      </w:r>
      <w:r w:rsidRPr="00E23CED">
        <w:t xml:space="preserve"> recommendations on </w:t>
      </w:r>
      <w:r w:rsidR="008508A7" w:rsidRPr="00E23CED">
        <w:t>the</w:t>
      </w:r>
      <w:r w:rsidRPr="00E23CED">
        <w:t xml:space="preserve"> use</w:t>
      </w:r>
      <w:r w:rsidR="001340F7" w:rsidRPr="00E23CED">
        <w:t xml:space="preserve"> </w:t>
      </w:r>
      <w:r w:rsidR="008508A7" w:rsidRPr="00E23CED">
        <w:t>of TLI in Aotearoa</w:t>
      </w:r>
      <w:r w:rsidR="000E42B9" w:rsidRPr="00E23CED">
        <w:t>,</w:t>
      </w:r>
      <w:r w:rsidR="008508A7" w:rsidRPr="00E23CED">
        <w:t xml:space="preserve"> </w:t>
      </w:r>
      <w:r w:rsidR="000E42B9" w:rsidRPr="00E23CED">
        <w:t>see</w:t>
      </w:r>
      <w:r w:rsidRPr="00E23CED">
        <w:t xml:space="preserve"> Sch</w:t>
      </w:r>
      <w:r w:rsidR="001340F7" w:rsidRPr="00E23CED">
        <w:t>a</w:t>
      </w:r>
      <w:r w:rsidRPr="00E23CED">
        <w:t>llenb</w:t>
      </w:r>
      <w:r w:rsidR="008A78B0" w:rsidRPr="00E23CED">
        <w:t>e</w:t>
      </w:r>
      <w:r w:rsidRPr="00E23CED">
        <w:t xml:space="preserve">rg and </w:t>
      </w:r>
      <w:r w:rsidR="001340F7" w:rsidRPr="00E23CED">
        <w:t>van der Zon (20</w:t>
      </w:r>
      <w:r w:rsidR="006A0149" w:rsidRPr="00E23CED">
        <w:t>19</w:t>
      </w:r>
      <w:r w:rsidR="001340F7" w:rsidRPr="00E23CED">
        <w:t>)</w:t>
      </w:r>
      <w:r w:rsidR="00667D01" w:rsidRPr="00E23CED">
        <w:t xml:space="preserve">. </w:t>
      </w:r>
    </w:p>
    <w:p w14:paraId="7368DA20" w14:textId="3C164E2E" w:rsidR="00D674DE" w:rsidRPr="00E23CED" w:rsidRDefault="00E8131B" w:rsidP="008C5DB1">
      <w:pPr>
        <w:pStyle w:val="BodyText"/>
      </w:pPr>
      <w:hyperlink w:anchor="table3" w:history="1">
        <w:r w:rsidR="009450A5" w:rsidRPr="00E23CED">
          <w:rPr>
            <w:rStyle w:val="Hyperlink"/>
          </w:rPr>
          <w:t>Section 3.5 Reconciling nutrient criteria across the freshwater management unit and downstream receiving environments</w:t>
        </w:r>
      </w:hyperlink>
      <w:r w:rsidR="00D1388E" w:rsidRPr="00E23CED">
        <w:t xml:space="preserve"> </w:t>
      </w:r>
      <w:r w:rsidR="00667D01" w:rsidRPr="00E23CED">
        <w:t>discusses interconversion between in-river concentrations (</w:t>
      </w:r>
      <w:r w:rsidR="006678C2" w:rsidRPr="00E23CED">
        <w:t>ie</w:t>
      </w:r>
      <w:r w:rsidR="00667D01" w:rsidRPr="00E23CED">
        <w:t>, inflow concentrations from an FMU) and estimated in-lake concentrations</w:t>
      </w:r>
      <w:r w:rsidR="00941D41" w:rsidRPr="00E23CED">
        <w:t xml:space="preserve"> (where lakes are a potential nutrient</w:t>
      </w:r>
      <w:r w:rsidR="000E42B9" w:rsidRPr="00E23CED">
        <w:t>-</w:t>
      </w:r>
      <w:r w:rsidR="00941D41" w:rsidRPr="00E23CED">
        <w:t>sensitive downstream receiving environment</w:t>
      </w:r>
      <w:r w:rsidR="00A06032" w:rsidRPr="00E23CED">
        <w:t>)</w:t>
      </w:r>
      <w:r w:rsidR="00667D01" w:rsidRPr="00E23CED">
        <w:t>.</w:t>
      </w:r>
      <w:r w:rsidR="003A5B52" w:rsidRPr="00E23CED">
        <w:t xml:space="preserve"> </w:t>
      </w:r>
      <w:r w:rsidR="00B60453" w:rsidRPr="00E23CED">
        <w:t xml:space="preserve">The concentration of both </w:t>
      </w:r>
      <w:r w:rsidR="00DD725B" w:rsidRPr="00E23CED">
        <w:t>N</w:t>
      </w:r>
      <w:r w:rsidR="00B60453" w:rsidRPr="00E23CED">
        <w:t xml:space="preserve"> and </w:t>
      </w:r>
      <w:r w:rsidR="00DD725B" w:rsidRPr="00E23CED">
        <w:t>P</w:t>
      </w:r>
      <w:r w:rsidR="00B60453" w:rsidRPr="00E23CED">
        <w:t xml:space="preserve"> need to be considered when managing for</w:t>
      </w:r>
      <w:r w:rsidR="0041040F" w:rsidRPr="00E23CED">
        <w:t xml:space="preserve"> a</w:t>
      </w:r>
      <w:r w:rsidR="00AE6CC8" w:rsidRPr="00E23CED">
        <w:t xml:space="preserve"> </w:t>
      </w:r>
      <w:r w:rsidR="00D067FF" w:rsidRPr="00E23CED">
        <w:t>trophic state</w:t>
      </w:r>
      <w:r w:rsidR="0041040F" w:rsidRPr="00E23CED">
        <w:t xml:space="preserve"> outcome</w:t>
      </w:r>
      <w:r w:rsidR="00B60453" w:rsidRPr="00E23CED">
        <w:t xml:space="preserve"> in lakes</w:t>
      </w:r>
      <w:r w:rsidR="000E42B9" w:rsidRPr="00E23CED">
        <w:t>,</w:t>
      </w:r>
      <w:r w:rsidR="00B60453" w:rsidRPr="00E23CED">
        <w:t xml:space="preserve"> because of seasonal and interannual changes in</w:t>
      </w:r>
      <w:r w:rsidR="0041040F" w:rsidRPr="00E23CED">
        <w:t xml:space="preserve"> nutrient</w:t>
      </w:r>
      <w:r w:rsidR="00B60453" w:rsidRPr="00E23CED">
        <w:t xml:space="preserve"> limitation (Larned</w:t>
      </w:r>
      <w:r w:rsidR="00EE6C7D" w:rsidRPr="00E23CED">
        <w:t> </w:t>
      </w:r>
      <w:r w:rsidR="00B60453" w:rsidRPr="00E23CED">
        <w:t>et </w:t>
      </w:r>
      <w:r w:rsidR="009F4383" w:rsidRPr="00E23CED">
        <w:t>al</w:t>
      </w:r>
      <w:r w:rsidR="00B60453" w:rsidRPr="00E23CED">
        <w:t>, 2011).</w:t>
      </w:r>
    </w:p>
    <w:p w14:paraId="4592CE59" w14:textId="77777777" w:rsidR="00B60453" w:rsidRPr="00E23CED" w:rsidRDefault="00B60453" w:rsidP="00792FE0">
      <w:pPr>
        <w:pStyle w:val="Heading5"/>
        <w:spacing w:before="240"/>
      </w:pPr>
      <w:r w:rsidRPr="00E23CED">
        <w:t>Phytoplankton biomass</w:t>
      </w:r>
    </w:p>
    <w:p w14:paraId="787F9700" w14:textId="1F721829" w:rsidR="00C75FE1" w:rsidRPr="00E23CED" w:rsidRDefault="00B60453" w:rsidP="00792FE0">
      <w:pPr>
        <w:pStyle w:val="BodyText"/>
      </w:pPr>
      <w:r w:rsidRPr="00E23CED">
        <w:t>Phytoplankton biomass in a lake</w:t>
      </w:r>
      <w:r w:rsidR="002D5835" w:rsidRPr="00E23CED">
        <w:t xml:space="preserve"> is</w:t>
      </w:r>
      <w:r w:rsidR="00AD5D0A" w:rsidRPr="00E23CED">
        <w:t xml:space="preserve"> represented by measurements of chl-a</w:t>
      </w:r>
      <w:r w:rsidR="002D5835" w:rsidRPr="00E23CED">
        <w:t>. It</w:t>
      </w:r>
      <w:r w:rsidR="00AD5D0A" w:rsidRPr="00E23CED">
        <w:t xml:space="preserve"> </w:t>
      </w:r>
      <w:r w:rsidRPr="00E23CED">
        <w:t xml:space="preserve">is the biological expression </w:t>
      </w:r>
      <w:r w:rsidR="007E1CBA" w:rsidRPr="00E23CED">
        <w:t>(as primary production)</w:t>
      </w:r>
      <w:r w:rsidR="00C75FE1" w:rsidRPr="00E23CED">
        <w:t xml:space="preserve"> </w:t>
      </w:r>
      <w:r w:rsidRPr="00E23CED">
        <w:t xml:space="preserve">of nutrients N and P </w:t>
      </w:r>
      <w:r w:rsidR="003D1BB3" w:rsidRPr="00E23CED">
        <w:t xml:space="preserve">in the water column, </w:t>
      </w:r>
      <w:r w:rsidRPr="00E23CED">
        <w:t xml:space="preserve">within the constraints imposed by </w:t>
      </w:r>
      <w:r w:rsidR="00C75FE1" w:rsidRPr="00E23CED">
        <w:t xml:space="preserve">factors such as </w:t>
      </w:r>
      <w:r w:rsidRPr="00E23CED">
        <w:t xml:space="preserve">water clarity, </w:t>
      </w:r>
      <w:r w:rsidR="00BE5152" w:rsidRPr="00E23CED">
        <w:t xml:space="preserve">stratification, </w:t>
      </w:r>
      <w:r w:rsidRPr="00E23CED">
        <w:t>residence time</w:t>
      </w:r>
      <w:r w:rsidR="007E1CBA" w:rsidRPr="00E23CED">
        <w:t xml:space="preserve">, </w:t>
      </w:r>
      <w:r w:rsidR="003D1BB3" w:rsidRPr="00E23CED">
        <w:t>water temperature (season)</w:t>
      </w:r>
      <w:r w:rsidR="007E1CBA" w:rsidRPr="00E23CED">
        <w:t xml:space="preserve"> and other aspects of water quality (eg, water colour)</w:t>
      </w:r>
      <w:r w:rsidRPr="00E23CED">
        <w:t xml:space="preserve">. </w:t>
      </w:r>
    </w:p>
    <w:p w14:paraId="7CB4AC89" w14:textId="5A3079B7" w:rsidR="00B60453" w:rsidRPr="00E23CED" w:rsidRDefault="00B60453" w:rsidP="00B02FD5">
      <w:pPr>
        <w:pStyle w:val="BodyText"/>
        <w:spacing w:before="100" w:after="100"/>
      </w:pPr>
      <w:r w:rsidRPr="00E23CED">
        <w:t>Annual median and annual maximum values of chl-</w:t>
      </w:r>
      <w:r w:rsidRPr="00E23CED">
        <w:rPr>
          <w:iCs/>
        </w:rPr>
        <w:t>a</w:t>
      </w:r>
      <w:r w:rsidR="00B11096" w:rsidRPr="00E23CED">
        <w:t xml:space="preserve">, measured from samples collected using </w:t>
      </w:r>
      <w:r w:rsidR="0041040F" w:rsidRPr="00E23CED">
        <w:t xml:space="preserve">a </w:t>
      </w:r>
      <w:r w:rsidR="00B11096" w:rsidRPr="00E23CED">
        <w:t xml:space="preserve">recommended methodology (eg, </w:t>
      </w:r>
      <w:proofErr w:type="gramStart"/>
      <w:r w:rsidR="00B11096" w:rsidRPr="00E23CED">
        <w:t>Burns</w:t>
      </w:r>
      <w:proofErr w:type="gramEnd"/>
      <w:r w:rsidR="00B11096" w:rsidRPr="00E23CED">
        <w:t xml:space="preserve"> et al</w:t>
      </w:r>
      <w:r w:rsidR="00447372" w:rsidRPr="00E23CED">
        <w:t>,</w:t>
      </w:r>
      <w:r w:rsidR="00B11096" w:rsidRPr="00E23CED">
        <w:t xml:space="preserve"> 200</w:t>
      </w:r>
      <w:r w:rsidR="0030643F" w:rsidRPr="00E23CED">
        <w:t>0</w:t>
      </w:r>
      <w:r w:rsidR="00AB3254" w:rsidRPr="00E23CED">
        <w:t>;</w:t>
      </w:r>
      <w:r w:rsidR="00B11096" w:rsidRPr="00E23CED">
        <w:t xml:space="preserve"> Schallenberg and van der </w:t>
      </w:r>
      <w:r w:rsidR="008508A7" w:rsidRPr="00E23CED">
        <w:t>Zon</w:t>
      </w:r>
      <w:r w:rsidR="00AB3254" w:rsidRPr="00E23CED">
        <w:t>,</w:t>
      </w:r>
      <w:r w:rsidR="00B11096" w:rsidRPr="00E23CED">
        <w:t xml:space="preserve"> 20</w:t>
      </w:r>
      <w:r w:rsidR="00C777F4" w:rsidRPr="00E23CED">
        <w:t>19</w:t>
      </w:r>
      <w:r w:rsidR="00825933" w:rsidRPr="00E23CED">
        <w:t>,</w:t>
      </w:r>
      <w:r w:rsidR="00B11096" w:rsidRPr="00E23CED">
        <w:t xml:space="preserve"> </w:t>
      </w:r>
      <w:r w:rsidRPr="00E23CED">
        <w:t xml:space="preserve">are indicators of lake trophic state. </w:t>
      </w:r>
    </w:p>
    <w:p w14:paraId="3A4BF0A4" w14:textId="6B62993D" w:rsidR="00B60453" w:rsidRPr="00E23CED" w:rsidRDefault="00B60453" w:rsidP="00B02FD5">
      <w:pPr>
        <w:pStyle w:val="Heading5"/>
        <w:spacing w:before="240"/>
      </w:pPr>
      <w:r w:rsidRPr="00E23CED">
        <w:t>Total nitrogen</w:t>
      </w:r>
      <w:r w:rsidR="00C93AB9" w:rsidRPr="00E23CED">
        <w:t xml:space="preserve"> and</w:t>
      </w:r>
      <w:r w:rsidRPr="00E23CED">
        <w:t xml:space="preserve"> total phosphorus</w:t>
      </w:r>
    </w:p>
    <w:p w14:paraId="0E5B9A93" w14:textId="55BB44D9" w:rsidR="00B60453" w:rsidRPr="00E23CED" w:rsidRDefault="002A3BFC" w:rsidP="00B02FD5">
      <w:pPr>
        <w:pStyle w:val="BodyText"/>
        <w:spacing w:before="100" w:after="100"/>
      </w:pPr>
      <w:r w:rsidRPr="00E23CED">
        <w:t>Having identified</w:t>
      </w:r>
      <w:r w:rsidR="00B60453" w:rsidRPr="00E23CED">
        <w:t xml:space="preserve"> the freshwater objectives for phytoplankton (trophic state) sought for lakes</w:t>
      </w:r>
      <w:r w:rsidR="00F310BE" w:rsidRPr="00E23CED">
        <w:t> </w:t>
      </w:r>
      <w:r w:rsidR="00B60453" w:rsidRPr="00E23CED">
        <w:t xml:space="preserve">in an FMU, </w:t>
      </w:r>
      <w:r w:rsidRPr="00E23CED">
        <w:t>regional councils can</w:t>
      </w:r>
      <w:r w:rsidR="00B60453" w:rsidRPr="00E23CED">
        <w:t xml:space="preserve"> then select the corresponding TN and TP in-lake </w:t>
      </w:r>
      <w:r w:rsidR="00B60453" w:rsidRPr="00E23CED">
        <w:lastRenderedPageBreak/>
        <w:t>concentration criteria (measured as annual medians</w:t>
      </w:r>
      <w:r w:rsidR="00B11096" w:rsidRPr="00E23CED">
        <w:t xml:space="preserve"> from samples collected using the recommended methodology</w:t>
      </w:r>
      <w:r w:rsidR="00AA3A12" w:rsidRPr="00E23CED">
        <w:t xml:space="preserve"> as for chl-a</w:t>
      </w:r>
      <w:r w:rsidR="00B60453" w:rsidRPr="00E23CED">
        <w:t xml:space="preserve">) required to meet the freshwater objective. </w:t>
      </w:r>
      <w:r w:rsidR="007E1CBA" w:rsidRPr="00E23CED">
        <w:t xml:space="preserve">While </w:t>
      </w:r>
      <w:r w:rsidR="00AA3A12" w:rsidRPr="00E23CED">
        <w:t>c</w:t>
      </w:r>
      <w:r w:rsidR="007E1CBA" w:rsidRPr="00E23CED">
        <w:t>hl-a, TN and TP</w:t>
      </w:r>
      <w:r w:rsidR="008D63C8" w:rsidRPr="00E23CED">
        <w:t> </w:t>
      </w:r>
      <w:r w:rsidR="007E1CBA" w:rsidRPr="00E23CED">
        <w:t xml:space="preserve">are usually highly correlated </w:t>
      </w:r>
      <w:r w:rsidR="007E1CBA" w:rsidRPr="00E81561">
        <w:rPr>
          <w:i/>
        </w:rPr>
        <w:t>across</w:t>
      </w:r>
      <w:r w:rsidR="007E1CBA" w:rsidRPr="00E23CED">
        <w:t xml:space="preserve"> lakes</w:t>
      </w:r>
      <w:r w:rsidR="0041040F" w:rsidRPr="00E23CED">
        <w:t>,</w:t>
      </w:r>
      <w:r w:rsidR="007E1CBA" w:rsidRPr="00E23CED">
        <w:t xml:space="preserve"> </w:t>
      </w:r>
      <w:r w:rsidR="00E879BC" w:rsidRPr="00E23CED">
        <w:t xml:space="preserve">the three trophic state indicators can vary independently of </w:t>
      </w:r>
      <w:r w:rsidR="00825933" w:rsidRPr="00E23CED">
        <w:t>each other</w:t>
      </w:r>
      <w:r w:rsidR="00E879BC" w:rsidRPr="00E23CED">
        <w:t xml:space="preserve"> </w:t>
      </w:r>
      <w:r w:rsidR="00E879BC" w:rsidRPr="00E81561">
        <w:rPr>
          <w:i/>
        </w:rPr>
        <w:t>within</w:t>
      </w:r>
      <w:r w:rsidR="00E879BC" w:rsidRPr="00E23CED">
        <w:t xml:space="preserve"> lakes</w:t>
      </w:r>
      <w:r w:rsidR="002C277A" w:rsidRPr="00E23CED">
        <w:t>.</w:t>
      </w:r>
      <w:r w:rsidR="00E879BC" w:rsidRPr="00E23CED">
        <w:t xml:space="preserve"> </w:t>
      </w:r>
      <w:r w:rsidR="002C277A" w:rsidRPr="00E23CED">
        <w:t xml:space="preserve">This </w:t>
      </w:r>
      <w:r w:rsidR="00E879BC" w:rsidRPr="00E23CED">
        <w:t>depend</w:t>
      </w:r>
      <w:r w:rsidR="002C277A" w:rsidRPr="00E23CED">
        <w:t>s</w:t>
      </w:r>
      <w:r w:rsidR="00E879BC" w:rsidRPr="00E23CED">
        <w:t xml:space="preserve"> on factors such </w:t>
      </w:r>
      <w:r w:rsidR="00A230AF" w:rsidRPr="00E23CED">
        <w:t xml:space="preserve">as </w:t>
      </w:r>
      <w:r w:rsidR="00E879BC" w:rsidRPr="00E23CED">
        <w:t>growth-limit</w:t>
      </w:r>
      <w:r w:rsidR="00751FEE" w:rsidRPr="00E23CED">
        <w:t>ation by</w:t>
      </w:r>
      <w:r w:rsidR="008D63C8" w:rsidRPr="00E23CED">
        <w:t> </w:t>
      </w:r>
      <w:r w:rsidR="00751FEE" w:rsidRPr="00E23CED">
        <w:t>one nutrient</w:t>
      </w:r>
      <w:r w:rsidR="00825933" w:rsidRPr="00E23CED">
        <w:t>,</w:t>
      </w:r>
      <w:r w:rsidR="00751FEE" w:rsidRPr="00E23CED">
        <w:t xml:space="preserve"> or </w:t>
      </w:r>
      <w:r w:rsidR="00E879BC" w:rsidRPr="00E23CED">
        <w:t xml:space="preserve">whether nitrogen-fixing phytoplankton taxa are present in the lake </w:t>
      </w:r>
      <w:r w:rsidR="007E1CBA" w:rsidRPr="00E23CED">
        <w:t>(see</w:t>
      </w:r>
      <w:r w:rsidR="008D63C8" w:rsidRPr="00E23CED">
        <w:t> </w:t>
      </w:r>
      <w:r w:rsidR="007E1CBA" w:rsidRPr="00E23CED">
        <w:t>discussion in Schallenberg and van der Zon</w:t>
      </w:r>
      <w:r w:rsidR="00AB3254" w:rsidRPr="00E23CED">
        <w:t>,</w:t>
      </w:r>
      <w:r w:rsidR="007E1CBA" w:rsidRPr="00E23CED">
        <w:t xml:space="preserve"> 20</w:t>
      </w:r>
      <w:r w:rsidR="00C777F4" w:rsidRPr="00E23CED">
        <w:t>19</w:t>
      </w:r>
      <w:r w:rsidR="007E1CBA" w:rsidRPr="00E23CED">
        <w:t>)</w:t>
      </w:r>
      <w:r w:rsidR="00A230AF" w:rsidRPr="00E23CED">
        <w:t xml:space="preserve">. </w:t>
      </w:r>
      <w:r w:rsidR="00825933" w:rsidRPr="00E23CED">
        <w:t>W</w:t>
      </w:r>
      <w:r w:rsidR="00B60453" w:rsidRPr="00E23CED">
        <w:t xml:space="preserve">here lake attribute TN or TP concentrations are known not to provide for the corresponding phytoplankton </w:t>
      </w:r>
      <w:r w:rsidR="00751FEE" w:rsidRPr="00E23CED">
        <w:t>TAS</w:t>
      </w:r>
      <w:r w:rsidR="00B60453" w:rsidRPr="00E23CED">
        <w:t xml:space="preserve">, </w:t>
      </w:r>
      <w:r w:rsidR="004851BB" w:rsidRPr="00E23CED">
        <w:t>it</w:t>
      </w:r>
      <w:r w:rsidR="00B60453" w:rsidRPr="00E23CED">
        <w:t xml:space="preserve"> is</w:t>
      </w:r>
      <w:r w:rsidR="004851BB" w:rsidRPr="00E23CED">
        <w:t xml:space="preserve"> expected that</w:t>
      </w:r>
      <w:r w:rsidR="00B60453" w:rsidRPr="00E23CED">
        <w:t xml:space="preserve"> more meaningful and site-specific in-lake nutrient criteria will be adopted (or developed) as part of </w:t>
      </w:r>
      <w:r w:rsidR="00825933" w:rsidRPr="00E23CED">
        <w:t>c</w:t>
      </w:r>
      <w:r w:rsidR="00096648" w:rsidRPr="00E23CED">
        <w:t>lause</w:t>
      </w:r>
      <w:r w:rsidR="007A1B62" w:rsidRPr="00E23CED">
        <w:t xml:space="preserve"> 3.13</w:t>
      </w:r>
      <w:r w:rsidR="00687DB3" w:rsidRPr="00E23CED">
        <w:t>(</w:t>
      </w:r>
      <w:r w:rsidR="00751FEE" w:rsidRPr="00E23CED">
        <w:t>2</w:t>
      </w:r>
      <w:r w:rsidR="00B60453" w:rsidRPr="00E23CED">
        <w:t>).</w:t>
      </w:r>
      <w:r w:rsidR="00F675FF" w:rsidRPr="00E23CED">
        <w:rPr>
          <w:rStyle w:val="FootnoteReference"/>
        </w:rPr>
        <w:footnoteReference w:id="14"/>
      </w:r>
      <w:r w:rsidR="000D3BE9" w:rsidRPr="00E23CED">
        <w:t xml:space="preserve"> For example, in lakes that are light-limited through high turbidity, or have short residence times (both of which limit chl-a), the TAS for chl-a could be set in a different band from that for TN or TP.</w:t>
      </w:r>
    </w:p>
    <w:p w14:paraId="4899C0A9" w14:textId="3CDE70AC" w:rsidR="00B60453" w:rsidRPr="00E23CED" w:rsidRDefault="00532516" w:rsidP="00B02FD5">
      <w:pPr>
        <w:pStyle w:val="Heading3"/>
        <w:tabs>
          <w:tab w:val="clear" w:pos="851"/>
          <w:tab w:val="left" w:pos="964"/>
        </w:tabs>
        <w:spacing w:before="320"/>
      </w:pPr>
      <w:bookmarkStart w:id="91" w:name="_3.4.5__Estuaries"/>
      <w:bookmarkStart w:id="92" w:name="_Hlk513159017"/>
      <w:bookmarkStart w:id="93" w:name="_Hlk513159087"/>
      <w:bookmarkEnd w:id="91"/>
      <w:r w:rsidRPr="00E23CED">
        <w:t xml:space="preserve">3.4.5 </w:t>
      </w:r>
      <w:r w:rsidR="008D63C8" w:rsidRPr="00E23CED">
        <w:tab/>
      </w:r>
      <w:r w:rsidR="00B60453" w:rsidRPr="00E23CED">
        <w:t>Estuaries</w:t>
      </w:r>
      <w:bookmarkEnd w:id="92"/>
    </w:p>
    <w:p w14:paraId="6F02C204" w14:textId="6EE06717" w:rsidR="00825933" w:rsidRPr="00E23CED" w:rsidRDefault="00D70A1E" w:rsidP="00B02FD5">
      <w:pPr>
        <w:pStyle w:val="BodyText"/>
        <w:spacing w:before="100" w:after="100"/>
      </w:pPr>
      <w:r w:rsidRPr="00E23CED">
        <w:t>The NPS-FM specifies that downstream receiving environments include estuaries</w:t>
      </w:r>
      <w:r w:rsidR="006B3DC1" w:rsidRPr="00E23CED">
        <w:t>.</w:t>
      </w:r>
      <w:r w:rsidR="00B60453" w:rsidRPr="00E23CED">
        <w:t xml:space="preserve"> </w:t>
      </w:r>
      <w:r w:rsidR="00C75FE1" w:rsidRPr="00E23CED">
        <w:t>R</w:t>
      </w:r>
      <w:r w:rsidR="006B3DC1" w:rsidRPr="00E23CED">
        <w:t>ecognising that n</w:t>
      </w:r>
      <w:r w:rsidR="00B60453" w:rsidRPr="00E23CED">
        <w:t xml:space="preserve">utrient enrichment threatens many estuaries, </w:t>
      </w:r>
      <w:r w:rsidR="006B3DC1" w:rsidRPr="00E23CED">
        <w:t xml:space="preserve">a national </w:t>
      </w:r>
      <w:r w:rsidR="00825933" w:rsidRPr="00E23CED">
        <w:t>e</w:t>
      </w:r>
      <w:r w:rsidR="006B3DC1" w:rsidRPr="00E23CED">
        <w:t>stuar</w:t>
      </w:r>
      <w:r w:rsidR="00996202" w:rsidRPr="00E23CED">
        <w:t>y</w:t>
      </w:r>
      <w:r w:rsidR="006B3DC1" w:rsidRPr="00E23CED">
        <w:t xml:space="preserve"> </w:t>
      </w:r>
      <w:r w:rsidR="00825933" w:rsidRPr="00E23CED">
        <w:t>t</w:t>
      </w:r>
      <w:r w:rsidR="006B3DC1" w:rsidRPr="00E23CED">
        <w:t xml:space="preserve">rophic </w:t>
      </w:r>
      <w:r w:rsidR="00825933" w:rsidRPr="00E23CED">
        <w:t>i</w:t>
      </w:r>
      <w:r w:rsidR="006B3DC1" w:rsidRPr="00E23CED">
        <w:t xml:space="preserve">ndex (ETI) has been developed </w:t>
      </w:r>
      <w:r w:rsidR="00825933" w:rsidRPr="00E23CED">
        <w:t xml:space="preserve">through </w:t>
      </w:r>
      <w:r w:rsidR="006B3DC1" w:rsidRPr="00E23CED">
        <w:t>an Envirolink Tools project</w:t>
      </w:r>
      <w:r w:rsidR="003D2F80" w:rsidRPr="00E23CED">
        <w:t xml:space="preserve"> (</w:t>
      </w:r>
      <w:r w:rsidR="00DE2C8F" w:rsidRPr="00E23CED">
        <w:t>Zeldis</w:t>
      </w:r>
      <w:r w:rsidR="00D656A5" w:rsidRPr="00E23CED">
        <w:t xml:space="preserve"> et al</w:t>
      </w:r>
      <w:r w:rsidR="00825933" w:rsidRPr="00E23CED">
        <w:t>,</w:t>
      </w:r>
      <w:r w:rsidR="00D656A5" w:rsidRPr="00E23CED">
        <w:t xml:space="preserve"> </w:t>
      </w:r>
      <w:r w:rsidR="00DE2C8F" w:rsidRPr="00E23CED">
        <w:t>2017</w:t>
      </w:r>
      <w:r w:rsidR="003D2F80" w:rsidRPr="00E23CED">
        <w:t>)</w:t>
      </w:r>
      <w:r w:rsidR="006B3DC1" w:rsidRPr="00E23CED">
        <w:t xml:space="preserve">. </w:t>
      </w:r>
      <w:r w:rsidR="00B60453" w:rsidRPr="00E23CED">
        <w:t xml:space="preserve">The ETI was developed </w:t>
      </w:r>
      <w:r w:rsidR="00C75FE1" w:rsidRPr="00E23CED">
        <w:t>as three separate tools that</w:t>
      </w:r>
      <w:r w:rsidR="00B60453" w:rsidRPr="00E23CED">
        <w:t xml:space="preserve"> help regional councils </w:t>
      </w:r>
      <w:r w:rsidR="00432A28" w:rsidRPr="00E23CED">
        <w:t>to</w:t>
      </w:r>
      <w:r w:rsidR="00825933" w:rsidRPr="00E23CED">
        <w:t>:</w:t>
      </w:r>
      <w:r w:rsidR="00432A28" w:rsidRPr="00E23CED">
        <w:t xml:space="preserve"> </w:t>
      </w:r>
    </w:p>
    <w:p w14:paraId="4D9AFBC1" w14:textId="1FBC33B3" w:rsidR="00825933" w:rsidRPr="00E23CED" w:rsidRDefault="00B60453" w:rsidP="008D63C8">
      <w:pPr>
        <w:pStyle w:val="Numberedparagraph"/>
        <w:numPr>
          <w:ilvl w:val="0"/>
          <w:numId w:val="37"/>
        </w:numPr>
      </w:pPr>
      <w:r w:rsidRPr="00E23CED">
        <w:t>determin</w:t>
      </w:r>
      <w:r w:rsidR="006B417C" w:rsidRPr="00E23CED">
        <w:t>e</w:t>
      </w:r>
      <w:r w:rsidRPr="00E23CED">
        <w:t xml:space="preserve"> the susceptibility of an estuary to </w:t>
      </w:r>
      <w:proofErr w:type="gramStart"/>
      <w:r w:rsidRPr="00E23CED">
        <w:t>eutrophication</w:t>
      </w:r>
      <w:proofErr w:type="gramEnd"/>
    </w:p>
    <w:p w14:paraId="0B86FD56" w14:textId="3F74A36A" w:rsidR="00825933" w:rsidRPr="00E23CED" w:rsidRDefault="00B60453" w:rsidP="008D63C8">
      <w:pPr>
        <w:pStyle w:val="Numberedparagraph"/>
        <w:numPr>
          <w:ilvl w:val="0"/>
          <w:numId w:val="37"/>
        </w:numPr>
      </w:pPr>
      <w:r w:rsidRPr="00E23CED">
        <w:t xml:space="preserve">assess its current trophic </w:t>
      </w:r>
      <w:proofErr w:type="gramStart"/>
      <w:r w:rsidRPr="00E23CED">
        <w:t>state</w:t>
      </w:r>
      <w:proofErr w:type="gramEnd"/>
    </w:p>
    <w:p w14:paraId="1FAFD9A9" w14:textId="65156E38" w:rsidR="00825933" w:rsidRPr="00E23CED" w:rsidRDefault="00B60453" w:rsidP="008D63C8">
      <w:pPr>
        <w:pStyle w:val="Numberedparagraph"/>
        <w:numPr>
          <w:ilvl w:val="0"/>
          <w:numId w:val="37"/>
        </w:numPr>
      </w:pPr>
      <w:r w:rsidRPr="00E23CED">
        <w:t xml:space="preserve">assess how changes to </w:t>
      </w:r>
      <w:r w:rsidR="00DD725B" w:rsidRPr="00E23CED">
        <w:t>N</w:t>
      </w:r>
      <w:r w:rsidRPr="00E23CED">
        <w:t xml:space="preserve"> load (via conversion to concentrations) may alter its current</w:t>
      </w:r>
      <w:r w:rsidR="00B02FD5" w:rsidRPr="00E23CED">
        <w:t> </w:t>
      </w:r>
      <w:r w:rsidRPr="00E23CED">
        <w:t xml:space="preserve">state. </w:t>
      </w:r>
    </w:p>
    <w:p w14:paraId="4D80E1C5" w14:textId="0C4D2C86" w:rsidR="00B60453" w:rsidRPr="00E23CED" w:rsidRDefault="00970F27" w:rsidP="00B02FD5">
      <w:pPr>
        <w:pStyle w:val="BodyText"/>
        <w:spacing w:after="100"/>
      </w:pPr>
      <w:r w:rsidRPr="00E23CED">
        <w:t>The</w:t>
      </w:r>
      <w:r w:rsidR="000D3BE9" w:rsidRPr="00E23CED">
        <w:t xml:space="preserve"> ETI deals with N enrichment only </w:t>
      </w:r>
      <w:r w:rsidR="00E20A08" w:rsidRPr="00E23CED">
        <w:t xml:space="preserve">because, since the mid-1990s, strong consensus has developed that solving the problem of eutrophication in estuaries requires controls on N inputs </w:t>
      </w:r>
      <w:r w:rsidR="00414507" w:rsidRPr="00E23CED">
        <w:t xml:space="preserve">only </w:t>
      </w:r>
      <w:r w:rsidR="00E20A08" w:rsidRPr="00E23CED">
        <w:t>(Howarth and Marino</w:t>
      </w:r>
      <w:r w:rsidR="00DF4231" w:rsidRPr="00E23CED">
        <w:t>,</w:t>
      </w:r>
      <w:r w:rsidR="00E20A08" w:rsidRPr="00E23CED">
        <w:t xml:space="preserve"> 2006). P</w:t>
      </w:r>
      <w:r w:rsidR="00C628C6" w:rsidRPr="00E23CED">
        <w:t>hosphorus</w:t>
      </w:r>
      <w:r w:rsidR="00E20A08" w:rsidRPr="00E23CED">
        <w:t xml:space="preserve"> is not considered to be a limiting nutrient in </w:t>
      </w:r>
      <w:r w:rsidR="008B2808" w:rsidRPr="00E23CED">
        <w:t xml:space="preserve">Aotearoa </w:t>
      </w:r>
      <w:r w:rsidR="00E20A08" w:rsidRPr="00E23CED">
        <w:t>estuaries</w:t>
      </w:r>
      <w:r w:rsidR="00414507" w:rsidRPr="00E23CED">
        <w:t xml:space="preserve"> (Plew et al</w:t>
      </w:r>
      <w:r w:rsidR="00DF4231" w:rsidRPr="00E23CED">
        <w:t>,</w:t>
      </w:r>
      <w:r w:rsidR="00414507" w:rsidRPr="00E23CED">
        <w:t xml:space="preserve"> 202</w:t>
      </w:r>
      <w:r w:rsidR="0038267A" w:rsidRPr="00E23CED">
        <w:t>0</w:t>
      </w:r>
      <w:r w:rsidR="00414507" w:rsidRPr="00E23CED">
        <w:t>).</w:t>
      </w:r>
    </w:p>
    <w:p w14:paraId="2F3F7D80" w14:textId="3C27301C" w:rsidR="00C6107E" w:rsidRPr="00E23CED" w:rsidRDefault="00432A28" w:rsidP="00B02FD5">
      <w:pPr>
        <w:pStyle w:val="BodyText"/>
        <w:spacing w:after="100"/>
      </w:pPr>
      <w:r w:rsidRPr="00E23CED">
        <w:t>D</w:t>
      </w:r>
      <w:r w:rsidR="00C6107E" w:rsidRPr="00E23CED">
        <w:t xml:space="preserve">etails of the ETI and how to apply it are available </w:t>
      </w:r>
      <w:r w:rsidR="00825933" w:rsidRPr="00E23CED">
        <w:t xml:space="preserve">on </w:t>
      </w:r>
      <w:r w:rsidR="003B4F5A" w:rsidRPr="00E23CED">
        <w:t>NIWA’s</w:t>
      </w:r>
      <w:r w:rsidR="00825933" w:rsidRPr="00E23CED">
        <w:t xml:space="preserve"> website at</w:t>
      </w:r>
      <w:r w:rsidR="00C6107E" w:rsidRPr="00E23CED">
        <w:t xml:space="preserve"> </w:t>
      </w:r>
      <w:hyperlink r:id="rId74" w:history="1">
        <w:r w:rsidR="00AF0E46" w:rsidRPr="00E23CED">
          <w:rPr>
            <w:rStyle w:val="Hyperlink"/>
            <w:rFonts w:eastAsiaTheme="majorEastAsia"/>
          </w:rPr>
          <w:t xml:space="preserve">Estuarine </w:t>
        </w:r>
        <w:r w:rsidR="0044651D" w:rsidRPr="00E23CED">
          <w:rPr>
            <w:rStyle w:val="Hyperlink"/>
            <w:rFonts w:eastAsiaTheme="majorEastAsia"/>
          </w:rPr>
          <w:t>t</w:t>
        </w:r>
        <w:r w:rsidR="00AF0E46" w:rsidRPr="00E23CED">
          <w:rPr>
            <w:rStyle w:val="Hyperlink"/>
            <w:rFonts w:eastAsiaTheme="majorEastAsia"/>
          </w:rPr>
          <w:t xml:space="preserve">rophic </w:t>
        </w:r>
        <w:r w:rsidR="0044651D" w:rsidRPr="00E23CED">
          <w:rPr>
            <w:rStyle w:val="Hyperlink"/>
            <w:rFonts w:eastAsiaTheme="majorEastAsia"/>
          </w:rPr>
          <w:t>i</w:t>
        </w:r>
        <w:r w:rsidR="00AF0E46" w:rsidRPr="00E23CED">
          <w:rPr>
            <w:rStyle w:val="Hyperlink"/>
            <w:rFonts w:eastAsiaTheme="majorEastAsia"/>
          </w:rPr>
          <w:t xml:space="preserve">ndex </w:t>
        </w:r>
        <w:r w:rsidR="0044651D" w:rsidRPr="00E23CED">
          <w:rPr>
            <w:rStyle w:val="Hyperlink"/>
            <w:rFonts w:eastAsiaTheme="majorEastAsia"/>
          </w:rPr>
          <w:t>t</w:t>
        </w:r>
        <w:r w:rsidR="00AF0E46" w:rsidRPr="00E23CED">
          <w:rPr>
            <w:rStyle w:val="Hyperlink"/>
            <w:rFonts w:eastAsiaTheme="majorEastAsia"/>
          </w:rPr>
          <w:t>oolkit</w:t>
        </w:r>
      </w:hyperlink>
      <w:r w:rsidR="00EC7239" w:rsidRPr="00E23CED">
        <w:t xml:space="preserve">. </w:t>
      </w:r>
    </w:p>
    <w:bookmarkEnd w:id="93"/>
    <w:p w14:paraId="22E2D3B7" w14:textId="39895089" w:rsidR="00B60453" w:rsidRPr="00E23CED" w:rsidRDefault="00B60453" w:rsidP="00B02FD5">
      <w:pPr>
        <w:pStyle w:val="BodyText"/>
        <w:spacing w:after="100"/>
      </w:pPr>
      <w:r w:rsidRPr="00E23CED">
        <w:t>The ETI is recommended for dealing with trophic state</w:t>
      </w:r>
      <w:r w:rsidR="00861396" w:rsidRPr="00E23CED">
        <w:t>s</w:t>
      </w:r>
      <w:r w:rsidRPr="00E23CED">
        <w:t xml:space="preserve"> in estuaries</w:t>
      </w:r>
      <w:r w:rsidR="00EC7239" w:rsidRPr="00E23CED">
        <w:t xml:space="preserve">. Its </w:t>
      </w:r>
      <w:r w:rsidR="002C66C9" w:rsidRPr="00E23CED">
        <w:t xml:space="preserve">advantages </w:t>
      </w:r>
      <w:r w:rsidR="00EC7239" w:rsidRPr="00E23CED">
        <w:t>include</w:t>
      </w:r>
      <w:r w:rsidRPr="00E23CED">
        <w:t>:</w:t>
      </w:r>
    </w:p>
    <w:p w14:paraId="69E47C54" w14:textId="78EB4193" w:rsidR="009F563B" w:rsidRPr="00E23CED" w:rsidRDefault="00EC7239" w:rsidP="008D63C8">
      <w:pPr>
        <w:pStyle w:val="Bullet"/>
      </w:pPr>
      <w:r w:rsidRPr="00E23CED">
        <w:t xml:space="preserve">development </w:t>
      </w:r>
      <w:r w:rsidR="00B60453" w:rsidRPr="00E23CED">
        <w:t xml:space="preserve">in response to a need identified by regional council coastal </w:t>
      </w:r>
      <w:proofErr w:type="gramStart"/>
      <w:r w:rsidR="00B60453" w:rsidRPr="00E23CED">
        <w:t>scientists</w:t>
      </w:r>
      <w:proofErr w:type="gramEnd"/>
    </w:p>
    <w:p w14:paraId="38E7A1E0" w14:textId="38DA6B94" w:rsidR="00B60453" w:rsidRPr="00E23CED" w:rsidRDefault="00B60453" w:rsidP="008D63C8">
      <w:pPr>
        <w:pStyle w:val="Bullet"/>
      </w:pPr>
      <w:r w:rsidRPr="00E23CED">
        <w:t xml:space="preserve">a national initiative </w:t>
      </w:r>
      <w:r w:rsidR="001116A0" w:rsidRPr="00E23CED">
        <w:t xml:space="preserve">using data from </w:t>
      </w:r>
      <w:r w:rsidR="00ED30FA" w:rsidRPr="00E23CED">
        <w:t xml:space="preserve">more than </w:t>
      </w:r>
      <w:r w:rsidRPr="00E23CED">
        <w:t xml:space="preserve">400 estuaries </w:t>
      </w:r>
      <w:r w:rsidR="001116A0" w:rsidRPr="00E23CED">
        <w:t>(</w:t>
      </w:r>
      <w:r w:rsidR="0044651D" w:rsidRPr="00E23CED">
        <w:t>t</w:t>
      </w:r>
      <w:r w:rsidR="001116A0" w:rsidRPr="00E23CED">
        <w:t>ool 1)</w:t>
      </w:r>
      <w:r w:rsidR="002C66C9" w:rsidRPr="00E23CED">
        <w:t xml:space="preserve"> </w:t>
      </w:r>
      <w:r w:rsidR="001116A0" w:rsidRPr="00E23CED">
        <w:t>and</w:t>
      </w:r>
      <w:r w:rsidR="009F563B" w:rsidRPr="00E23CED">
        <w:t xml:space="preserve"> distinguish</w:t>
      </w:r>
      <w:r w:rsidR="001116A0" w:rsidRPr="00E23CED">
        <w:t>ing</w:t>
      </w:r>
      <w:r w:rsidR="009F563B" w:rsidRPr="00E23CED">
        <w:t xml:space="preserve"> four different types of </w:t>
      </w:r>
      <w:proofErr w:type="gramStart"/>
      <w:r w:rsidR="009F563B" w:rsidRPr="00E23CED">
        <w:t>estuary</w:t>
      </w:r>
      <w:proofErr w:type="gramEnd"/>
      <w:r w:rsidR="00E3077E" w:rsidRPr="00E23CED">
        <w:t xml:space="preserve"> (</w:t>
      </w:r>
      <w:r w:rsidRPr="00E23CED">
        <w:t xml:space="preserve">shallow intertidal dominated </w:t>
      </w:r>
      <w:r w:rsidR="00D42F6F" w:rsidRPr="00E23CED">
        <w:t>estuaries;</w:t>
      </w:r>
      <w:r w:rsidR="00E3077E" w:rsidRPr="00E23CED">
        <w:t xml:space="preserve"> </w:t>
      </w:r>
      <w:r w:rsidRPr="00E23CED">
        <w:t>shallow, short residence time tidal river</w:t>
      </w:r>
      <w:r w:rsidR="00D20887" w:rsidRPr="00E23CED">
        <w:t xml:space="preserve"> and </w:t>
      </w:r>
      <w:r w:rsidRPr="00E23CED">
        <w:t>tidal river with adjoining lagoon</w:t>
      </w:r>
      <w:r w:rsidR="0044651D" w:rsidRPr="00E23CED">
        <w:t>;</w:t>
      </w:r>
      <w:r w:rsidRPr="00E23CED">
        <w:t xml:space="preserve"> </w:t>
      </w:r>
      <w:r w:rsidR="00E3077E" w:rsidRPr="00E23CED">
        <w:t>d</w:t>
      </w:r>
      <w:r w:rsidRPr="00E23CED">
        <w:t>eeper subtidal dominated, longer residence time</w:t>
      </w:r>
      <w:r w:rsidR="0044651D" w:rsidRPr="00E23CED">
        <w:t>;</w:t>
      </w:r>
      <w:r w:rsidRPr="00E23CED">
        <w:t xml:space="preserve"> coastal lakes)</w:t>
      </w:r>
    </w:p>
    <w:p w14:paraId="2F12FD60" w14:textId="53635A0B" w:rsidR="00B60453" w:rsidRPr="00E23CED" w:rsidRDefault="00EC7239" w:rsidP="009B3408">
      <w:pPr>
        <w:pStyle w:val="Bullet"/>
        <w:spacing w:after="100"/>
      </w:pPr>
      <w:r w:rsidRPr="00E23CED">
        <w:t xml:space="preserve">provision of </w:t>
      </w:r>
      <w:r w:rsidR="00B60453" w:rsidRPr="00E23CED">
        <w:t>a process to determine susceptibility of estuaries to both</w:t>
      </w:r>
      <w:r w:rsidR="00576255" w:rsidRPr="00E23CED">
        <w:t xml:space="preserve"> </w:t>
      </w:r>
      <w:r w:rsidR="00B60453" w:rsidRPr="00E23CED">
        <w:t>macroalgal blooms</w:t>
      </w:r>
      <w:r w:rsidR="00576255" w:rsidRPr="00E23CED">
        <w:t xml:space="preserve"> and </w:t>
      </w:r>
      <w:r w:rsidR="00B60453" w:rsidRPr="00E23CED">
        <w:t xml:space="preserve">phytoplankton </w:t>
      </w:r>
      <w:proofErr w:type="gramStart"/>
      <w:r w:rsidR="00B60453" w:rsidRPr="00E23CED">
        <w:t>blooms</w:t>
      </w:r>
      <w:proofErr w:type="gramEnd"/>
    </w:p>
    <w:p w14:paraId="068F0739" w14:textId="79EEBCC3" w:rsidR="00B60453" w:rsidRPr="00E23CED" w:rsidRDefault="00EC7239" w:rsidP="009B3408">
      <w:pPr>
        <w:pStyle w:val="Bullet"/>
        <w:spacing w:after="100"/>
      </w:pPr>
      <w:r w:rsidRPr="00E23CED">
        <w:t>definition of ETI</w:t>
      </w:r>
      <w:r w:rsidR="00576255" w:rsidRPr="00E23CED">
        <w:t xml:space="preserve"> trophic state bands (A, B, C and D) comparable to those in NPS-FM attributes</w:t>
      </w:r>
      <w:r w:rsidR="00576255" w:rsidRPr="00E23CED" w:rsidDel="00576255">
        <w:t xml:space="preserve"> </w:t>
      </w:r>
      <w:r w:rsidR="00576255" w:rsidRPr="00E23CED">
        <w:t xml:space="preserve">applicable to </w:t>
      </w:r>
      <w:r w:rsidR="00B60453" w:rsidRPr="00E23CED">
        <w:t>rivers and lakes</w:t>
      </w:r>
      <w:r w:rsidR="00204F55" w:rsidRPr="00E23CED">
        <w:t>:</w:t>
      </w:r>
    </w:p>
    <w:p w14:paraId="3814C3CA" w14:textId="7CB1A46A" w:rsidR="00B60453" w:rsidRPr="00E23CED" w:rsidRDefault="00B60453" w:rsidP="009B3408">
      <w:pPr>
        <w:pStyle w:val="Sub-list"/>
        <w:spacing w:after="100"/>
      </w:pPr>
      <w:r w:rsidRPr="00E23CED">
        <w:t xml:space="preserve">macroalgal trophic bands and corresponding nutrient criteria </w:t>
      </w:r>
      <w:r w:rsidR="00EC7239" w:rsidRPr="00E23CED">
        <w:t xml:space="preserve">derived from real </w:t>
      </w:r>
      <w:proofErr w:type="gramStart"/>
      <w:r w:rsidR="00EC7239" w:rsidRPr="00E23CED">
        <w:t>data</w:t>
      </w:r>
      <w:proofErr w:type="gramEnd"/>
    </w:p>
    <w:p w14:paraId="0FA7EB10" w14:textId="24061D95" w:rsidR="00B60453" w:rsidRPr="00E23CED" w:rsidRDefault="00B60453" w:rsidP="009B3408">
      <w:pPr>
        <w:pStyle w:val="Sub-list"/>
        <w:spacing w:after="100"/>
      </w:pPr>
      <w:r w:rsidRPr="00E23CED">
        <w:t xml:space="preserve">phytoplankton trophic bands </w:t>
      </w:r>
      <w:r w:rsidR="00EC7239" w:rsidRPr="00E23CED">
        <w:t>derived using a</w:t>
      </w:r>
      <w:r w:rsidRPr="00E23CED">
        <w:t xml:space="preserve"> modelling approach. </w:t>
      </w:r>
    </w:p>
    <w:p w14:paraId="2FE56835" w14:textId="0D9B7E27" w:rsidR="00025C1B" w:rsidRPr="00E23CED" w:rsidRDefault="00025C1B" w:rsidP="009B3408">
      <w:pPr>
        <w:pStyle w:val="BodyText"/>
        <w:spacing w:after="100"/>
      </w:pPr>
      <w:r w:rsidRPr="00E23CED">
        <w:lastRenderedPageBreak/>
        <w:t xml:space="preserve">Features </w:t>
      </w:r>
      <w:r w:rsidR="0021337C" w:rsidRPr="00E23CED">
        <w:t>of the ETI</w:t>
      </w:r>
      <w:r w:rsidRPr="00E23CED">
        <w:t xml:space="preserve"> that may be limitations include</w:t>
      </w:r>
      <w:r w:rsidR="00117583" w:rsidRPr="00E23CED">
        <w:t xml:space="preserve"> the following.</w:t>
      </w:r>
    </w:p>
    <w:p w14:paraId="3FB180F6" w14:textId="07B1D58B" w:rsidR="00025C1B" w:rsidRPr="00E23CED" w:rsidRDefault="0021337C" w:rsidP="009B3408">
      <w:pPr>
        <w:pStyle w:val="Bullet"/>
        <w:spacing w:after="100"/>
      </w:pPr>
      <w:r w:rsidRPr="00E23CED">
        <w:t>It</w:t>
      </w:r>
      <w:r w:rsidR="00204F55" w:rsidRPr="00E23CED">
        <w:t xml:space="preserve"> deals only with </w:t>
      </w:r>
      <w:r w:rsidR="00414507" w:rsidRPr="00E23CED">
        <w:t>N because, as noted above</w:t>
      </w:r>
      <w:r w:rsidR="0044651D" w:rsidRPr="00E23CED">
        <w:t>,</w:t>
      </w:r>
      <w:r w:rsidR="00414507" w:rsidRPr="00E23CED">
        <w:t xml:space="preserve"> most estuaries in </w:t>
      </w:r>
      <w:r w:rsidR="0038267A" w:rsidRPr="00E23CED">
        <w:t>Aotearoa are N</w:t>
      </w:r>
      <w:r w:rsidR="00F07E90" w:rsidRPr="00E23CED">
        <w:noBreakHyphen/>
      </w:r>
      <w:r w:rsidR="0038267A" w:rsidRPr="00E23CED">
        <w:t>limited, not P-limited</w:t>
      </w:r>
      <w:r w:rsidR="0044651D" w:rsidRPr="00E23CED">
        <w:t>;</w:t>
      </w:r>
      <w:r w:rsidR="0038267A" w:rsidRPr="00E23CED">
        <w:t xml:space="preserve"> </w:t>
      </w:r>
      <w:r w:rsidR="0044651D" w:rsidRPr="00E23CED">
        <w:t>see</w:t>
      </w:r>
      <w:r w:rsidR="0038267A" w:rsidRPr="00E23CED">
        <w:t xml:space="preserve"> Plew et al (2020) for a discussion.</w:t>
      </w:r>
    </w:p>
    <w:p w14:paraId="53B0D407" w14:textId="0487815B" w:rsidR="00204F55" w:rsidRPr="00E23CED" w:rsidRDefault="00204F55" w:rsidP="009B3408">
      <w:pPr>
        <w:pStyle w:val="Bullet"/>
        <w:spacing w:after="100"/>
      </w:pPr>
      <w:r w:rsidRPr="00E23CED">
        <w:t>Outputs are annual average concentrations</w:t>
      </w:r>
      <w:r w:rsidR="009237DB" w:rsidRPr="00E23CED">
        <w:t>,</w:t>
      </w:r>
      <w:r w:rsidRPr="00E23CED">
        <w:t xml:space="preserve"> because the input includes annual average concentrations and flows from the </w:t>
      </w:r>
      <w:r w:rsidR="0044651D" w:rsidRPr="00E23CED">
        <w:t xml:space="preserve">catchment land use for environmental sustainability </w:t>
      </w:r>
      <w:r w:rsidRPr="00E23CED">
        <w:t xml:space="preserve">model (note that summer </w:t>
      </w:r>
      <w:r w:rsidR="00AA3A12" w:rsidRPr="00E23CED">
        <w:t xml:space="preserve">maximum </w:t>
      </w:r>
      <w:r w:rsidRPr="00E23CED">
        <w:t>concentrations can be predicted from annual averages)</w:t>
      </w:r>
      <w:r w:rsidR="0038267A" w:rsidRPr="00E23CED">
        <w:t>.</w:t>
      </w:r>
    </w:p>
    <w:p w14:paraId="5511AE9C" w14:textId="6805FF6C" w:rsidR="00204F55" w:rsidRPr="00E23CED" w:rsidRDefault="001D24FC" w:rsidP="009B3408">
      <w:pPr>
        <w:pStyle w:val="Bullet"/>
        <w:spacing w:after="100"/>
      </w:pPr>
      <w:r w:rsidRPr="00E23CED">
        <w:t>Because</w:t>
      </w:r>
      <w:r w:rsidR="003C650F" w:rsidRPr="00E23CED">
        <w:t xml:space="preserve"> </w:t>
      </w:r>
      <w:r w:rsidR="00522307" w:rsidRPr="00E23CED">
        <w:t>e</w:t>
      </w:r>
      <w:r w:rsidR="008F4010" w:rsidRPr="00E23CED">
        <w:t>stuary trophic index</w:t>
      </w:r>
      <w:r w:rsidR="00204F55" w:rsidRPr="00E23CED">
        <w:t xml:space="preserve"> tool 1 assumes the whole estuary is homogeneous</w:t>
      </w:r>
      <w:r w:rsidR="003C650F" w:rsidRPr="00E23CED">
        <w:t>, it</w:t>
      </w:r>
      <w:r w:rsidR="00204F55" w:rsidRPr="00E23CED">
        <w:t xml:space="preserve"> does not account for heterogenous nutrient environments within estuaries</w:t>
      </w:r>
      <w:r w:rsidR="0038267A" w:rsidRPr="00E23CED">
        <w:t>.</w:t>
      </w:r>
    </w:p>
    <w:p w14:paraId="26C3F4AA" w14:textId="3AB79C4E" w:rsidR="00204F55" w:rsidRPr="00E23CED" w:rsidRDefault="008F4010" w:rsidP="009B3408">
      <w:pPr>
        <w:pStyle w:val="Bullet"/>
        <w:spacing w:after="100"/>
      </w:pPr>
      <w:r w:rsidRPr="00E23CED">
        <w:t>Estuary trophic index</w:t>
      </w:r>
      <w:r w:rsidR="00204F55" w:rsidRPr="00E23CED">
        <w:t xml:space="preserve"> output is </w:t>
      </w:r>
      <w:r w:rsidR="006D525A" w:rsidRPr="00E23CED">
        <w:t>‘</w:t>
      </w:r>
      <w:r w:rsidR="00204F55" w:rsidRPr="00E23CED">
        <w:t>potential</w:t>
      </w:r>
      <w:r w:rsidR="006D525A" w:rsidRPr="00E23CED">
        <w:t>’</w:t>
      </w:r>
      <w:r w:rsidR="00204F55" w:rsidRPr="00E23CED">
        <w:t xml:space="preserve"> N concentrations, which are concentrations in the absence of nutrient uptake or losses through biogeochemical processes.</w:t>
      </w:r>
    </w:p>
    <w:p w14:paraId="381BF55E" w14:textId="4924B8F6" w:rsidR="00477D3F" w:rsidRPr="00E23CED" w:rsidRDefault="00D21555" w:rsidP="009B3408">
      <w:pPr>
        <w:pStyle w:val="Bullet"/>
        <w:spacing w:after="100"/>
      </w:pPr>
      <w:r w:rsidRPr="00E23CED">
        <w:t>The ETI may not be appropriate for</w:t>
      </w:r>
      <w:r w:rsidR="002B0BC7" w:rsidRPr="00E23CED">
        <w:t xml:space="preserve"> all</w:t>
      </w:r>
      <w:r w:rsidRPr="00E23CED">
        <w:t xml:space="preserve"> estuar</w:t>
      </w:r>
      <w:r w:rsidR="002B0BC7" w:rsidRPr="00E23CED">
        <w:t>y types</w:t>
      </w:r>
      <w:r w:rsidRPr="00E23CED">
        <w:t xml:space="preserve"> </w:t>
      </w:r>
      <w:r w:rsidR="002B0BC7" w:rsidRPr="00E23CED">
        <w:t xml:space="preserve">(eg, estuaries </w:t>
      </w:r>
      <w:r w:rsidRPr="00E23CED">
        <w:t>dominated by mangroves</w:t>
      </w:r>
      <w:r w:rsidR="002B0BC7" w:rsidRPr="00E23CED">
        <w:t>)</w:t>
      </w:r>
      <w:r w:rsidR="000F4A16" w:rsidRPr="00E23CED">
        <w:t>.</w:t>
      </w:r>
    </w:p>
    <w:p w14:paraId="4FDF93F0" w14:textId="461804E3" w:rsidR="0038267A" w:rsidRPr="00E23CED" w:rsidRDefault="00AB27C6" w:rsidP="009B3408">
      <w:pPr>
        <w:pStyle w:val="BodyText"/>
        <w:spacing w:after="100"/>
      </w:pPr>
      <w:r w:rsidRPr="00E23CED">
        <w:t>The</w:t>
      </w:r>
      <w:r w:rsidR="00B60453" w:rsidRPr="00E23CED">
        <w:t xml:space="preserve"> ETI </w:t>
      </w:r>
      <w:r w:rsidR="00204F55" w:rsidRPr="00E23CED">
        <w:t xml:space="preserve">may </w:t>
      </w:r>
      <w:r w:rsidR="00B60453" w:rsidRPr="00E23CED">
        <w:t>provide a useful first step</w:t>
      </w:r>
      <w:r w:rsidR="0044651D" w:rsidRPr="00E23CED">
        <w:t xml:space="preserve"> and </w:t>
      </w:r>
      <w:r w:rsidR="00B60453" w:rsidRPr="00E23CED">
        <w:t>screening level approach to identify</w:t>
      </w:r>
      <w:r w:rsidR="001116A0" w:rsidRPr="00E23CED">
        <w:t>ing</w:t>
      </w:r>
      <w:r w:rsidR="00B60453" w:rsidRPr="00E23CED">
        <w:t xml:space="preserve"> trophic state objectives for </w:t>
      </w:r>
      <w:r w:rsidR="001116A0" w:rsidRPr="00E23CED">
        <w:t>Aotearoa estuaries</w:t>
      </w:r>
      <w:r w:rsidR="00B60453" w:rsidRPr="00E23CED">
        <w:t>, and to set</w:t>
      </w:r>
      <w:r w:rsidR="001116A0" w:rsidRPr="00E23CED">
        <w:t>ting</w:t>
      </w:r>
      <w:r w:rsidR="00B60453" w:rsidRPr="00E23CED">
        <w:t xml:space="preserve"> corresponding potential TN concentrations</w:t>
      </w:r>
      <w:r w:rsidR="001116A0" w:rsidRPr="00E23CED">
        <w:t>.</w:t>
      </w:r>
      <w:r w:rsidR="006646CB" w:rsidRPr="00E23CED">
        <w:t xml:space="preserve"> </w:t>
      </w:r>
      <w:r w:rsidR="00522307" w:rsidRPr="00E23CED">
        <w:t>Because</w:t>
      </w:r>
      <w:r w:rsidRPr="00E23CED">
        <w:t xml:space="preserve"> i</w:t>
      </w:r>
      <w:r w:rsidR="001116A0" w:rsidRPr="00E23CED">
        <w:t xml:space="preserve">ts approach is generic, </w:t>
      </w:r>
      <w:r w:rsidR="006646CB" w:rsidRPr="00E23CED">
        <w:t xml:space="preserve">more detailed </w:t>
      </w:r>
      <w:r w:rsidR="001116A0" w:rsidRPr="00E23CED">
        <w:t>local investigations may</w:t>
      </w:r>
      <w:r w:rsidR="002C66C9" w:rsidRPr="00E23CED">
        <w:t xml:space="preserve"> </w:t>
      </w:r>
      <w:r w:rsidR="001116A0" w:rsidRPr="00E23CED">
        <w:t>be preferred.</w:t>
      </w:r>
      <w:r w:rsidR="00B60453" w:rsidRPr="00E23CED">
        <w:t xml:space="preserve"> </w:t>
      </w:r>
    </w:p>
    <w:p w14:paraId="15516C66" w14:textId="1CAECA42" w:rsidR="00B60453" w:rsidRPr="00E23CED" w:rsidRDefault="00B60453" w:rsidP="009B3408">
      <w:pPr>
        <w:pStyle w:val="BodyText"/>
        <w:spacing w:after="100"/>
      </w:pPr>
      <w:bookmarkStart w:id="94" w:name="figure6"/>
      <w:bookmarkStart w:id="95" w:name="box_ETI"/>
      <w:bookmarkEnd w:id="94"/>
      <w:bookmarkEnd w:id="95"/>
      <w:r w:rsidRPr="00E23CED">
        <w:t xml:space="preserve">Nitrogen criteria corresponding to trophic </w:t>
      </w:r>
      <w:r w:rsidR="0038267A" w:rsidRPr="00E23CED">
        <w:t xml:space="preserve">state </w:t>
      </w:r>
      <w:r w:rsidRPr="00E23CED">
        <w:t xml:space="preserve">bands </w:t>
      </w:r>
      <w:r w:rsidR="0038267A" w:rsidRPr="00E23CED">
        <w:t xml:space="preserve">as defined in the ETI </w:t>
      </w:r>
      <w:r w:rsidR="00E3077E" w:rsidRPr="00E23CED">
        <w:t>are summarised in</w:t>
      </w:r>
      <w:r w:rsidR="004A2540" w:rsidRPr="00E23CED">
        <w:t> </w:t>
      </w:r>
      <w:r w:rsidR="0044651D" w:rsidRPr="00E23CED">
        <w:t>t</w:t>
      </w:r>
      <w:r w:rsidR="00E3077E" w:rsidRPr="00E23CED">
        <w:t xml:space="preserve">able </w:t>
      </w:r>
      <w:r w:rsidR="009F7BEB" w:rsidRPr="00E23CED">
        <w:t>3.</w:t>
      </w:r>
    </w:p>
    <w:p w14:paraId="16500FB2" w14:textId="225B5225" w:rsidR="00C43808" w:rsidRPr="00E23CED" w:rsidRDefault="00C43808" w:rsidP="009B3408">
      <w:pPr>
        <w:pStyle w:val="Tableheading"/>
        <w:spacing w:line="260" w:lineRule="atLeast"/>
      </w:pPr>
      <w:bookmarkStart w:id="96" w:name="_Toc142661795"/>
      <w:r w:rsidRPr="00E23CED">
        <w:t xml:space="preserve">Table </w:t>
      </w:r>
      <w:r w:rsidRPr="00E23CED">
        <w:fldChar w:fldCharType="begin"/>
      </w:r>
      <w:r w:rsidRPr="00E23CED">
        <w:instrText>SEQ Table \* ARABIC</w:instrText>
      </w:r>
      <w:r w:rsidRPr="00E23CED">
        <w:fldChar w:fldCharType="separate"/>
      </w:r>
      <w:r w:rsidR="00FA0487">
        <w:rPr>
          <w:noProof/>
        </w:rPr>
        <w:t>3</w:t>
      </w:r>
      <w:r w:rsidRPr="00E23CED">
        <w:fldChar w:fldCharType="end"/>
      </w:r>
      <w:r w:rsidRPr="00E23CED">
        <w:t>:</w:t>
      </w:r>
      <w:r w:rsidR="000B6A23" w:rsidRPr="00E23CED">
        <w:t xml:space="preserve"> </w:t>
      </w:r>
      <w:r w:rsidR="008D63C8" w:rsidRPr="00E23CED">
        <w:tab/>
      </w:r>
      <w:r w:rsidRPr="00E23CED">
        <w:t xml:space="preserve">Indicative </w:t>
      </w:r>
      <w:r w:rsidRPr="00E23CED">
        <w:rPr>
          <w:iCs/>
        </w:rPr>
        <w:t>potential</w:t>
      </w:r>
      <w:r w:rsidRPr="00E23CED">
        <w:rPr>
          <w:i/>
        </w:rPr>
        <w:t xml:space="preserve"> </w:t>
      </w:r>
      <w:r w:rsidR="0046718B" w:rsidRPr="00E23CED">
        <w:t xml:space="preserve">total nitrogen </w:t>
      </w:r>
      <w:r w:rsidRPr="00E23CED">
        <w:t>threshold concentrations (</w:t>
      </w:r>
      <w:r w:rsidR="002F5D2F" w:rsidRPr="00E23CED">
        <w:t>milligrams per cubic metre</w:t>
      </w:r>
      <w:r w:rsidRPr="00E23CED">
        <w:t>) for macroalgal and phytoplankton trophic states in Aotearoa estuaries</w:t>
      </w:r>
      <w:bookmarkEnd w:id="96"/>
      <w:r w:rsidRPr="00E23CED">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418"/>
        <w:gridCol w:w="2126"/>
        <w:gridCol w:w="1559"/>
        <w:gridCol w:w="1629"/>
        <w:gridCol w:w="1773"/>
      </w:tblGrid>
      <w:tr w:rsidR="008D63C8" w:rsidRPr="00E23CED" w14:paraId="541B326B" w14:textId="77777777" w:rsidTr="009B3408">
        <w:trPr>
          <w:tblHeader/>
        </w:trPr>
        <w:tc>
          <w:tcPr>
            <w:tcW w:w="1418" w:type="dxa"/>
            <w:shd w:val="clear" w:color="auto" w:fill="1B556B" w:themeFill="text2"/>
            <w:vAlign w:val="bottom"/>
          </w:tcPr>
          <w:p w14:paraId="1876DBAF" w14:textId="77777777" w:rsidR="00C43808" w:rsidRPr="00E23CED" w:rsidRDefault="00C43808" w:rsidP="009B3408">
            <w:pPr>
              <w:pStyle w:val="TableTextbold"/>
              <w:spacing w:before="40" w:after="40"/>
              <w:rPr>
                <w:color w:val="FFFFFF" w:themeColor="background1"/>
              </w:rPr>
            </w:pPr>
            <w:bookmarkStart w:id="97" w:name="_Toc135714333"/>
            <w:r w:rsidRPr="00E23CED">
              <w:rPr>
                <w:color w:val="FFFFFF" w:themeColor="background1"/>
              </w:rPr>
              <w:t>Trophic state band</w:t>
            </w:r>
            <w:bookmarkEnd w:id="97"/>
          </w:p>
        </w:tc>
        <w:tc>
          <w:tcPr>
            <w:tcW w:w="3685" w:type="dxa"/>
            <w:gridSpan w:val="2"/>
            <w:shd w:val="clear" w:color="auto" w:fill="1B556B" w:themeFill="text2"/>
            <w:vAlign w:val="bottom"/>
          </w:tcPr>
          <w:p w14:paraId="22D68F02" w14:textId="77777777" w:rsidR="00C43808" w:rsidRPr="00E23CED" w:rsidRDefault="00C43808" w:rsidP="009B3408">
            <w:pPr>
              <w:pStyle w:val="TableTextbold"/>
              <w:spacing w:before="40" w:after="40"/>
              <w:jc w:val="center"/>
              <w:rPr>
                <w:color w:val="FFFFFF" w:themeColor="background1"/>
              </w:rPr>
            </w:pPr>
            <w:bookmarkStart w:id="98" w:name="_Toc135714334"/>
            <w:r w:rsidRPr="00E23CED">
              <w:rPr>
                <w:color w:val="FFFFFF" w:themeColor="background1"/>
              </w:rPr>
              <w:t>Macroalgal dominated systems</w:t>
            </w:r>
            <w:bookmarkEnd w:id="98"/>
          </w:p>
        </w:tc>
        <w:tc>
          <w:tcPr>
            <w:tcW w:w="3402" w:type="dxa"/>
            <w:gridSpan w:val="2"/>
            <w:shd w:val="clear" w:color="auto" w:fill="1B556B" w:themeFill="text2"/>
            <w:vAlign w:val="bottom"/>
          </w:tcPr>
          <w:p w14:paraId="1C390FAD" w14:textId="77777777" w:rsidR="00C43808" w:rsidRPr="00E23CED" w:rsidRDefault="00C43808" w:rsidP="009B3408">
            <w:pPr>
              <w:pStyle w:val="TableTextbold"/>
              <w:spacing w:before="40" w:after="40"/>
              <w:jc w:val="center"/>
              <w:rPr>
                <w:color w:val="FFFFFF" w:themeColor="background1"/>
              </w:rPr>
            </w:pPr>
            <w:bookmarkStart w:id="99" w:name="_Toc135714335"/>
            <w:r w:rsidRPr="00E23CED">
              <w:rPr>
                <w:color w:val="FFFFFF" w:themeColor="background1"/>
              </w:rPr>
              <w:t>Phytoplankton dominated systems</w:t>
            </w:r>
            <w:bookmarkStart w:id="100" w:name="_Hlk514424528"/>
            <w:bookmarkEnd w:id="99"/>
          </w:p>
        </w:tc>
      </w:tr>
      <w:tr w:rsidR="00C43808" w:rsidRPr="00E23CED" w14:paraId="16EDDB74" w14:textId="77777777" w:rsidTr="009B3408">
        <w:trPr>
          <w:trHeight w:val="340"/>
        </w:trPr>
        <w:tc>
          <w:tcPr>
            <w:tcW w:w="1418" w:type="dxa"/>
            <w:vAlign w:val="center"/>
          </w:tcPr>
          <w:p w14:paraId="326A1328" w14:textId="77777777" w:rsidR="00C43808" w:rsidRPr="00E23CED" w:rsidRDefault="00C43808" w:rsidP="009B3408">
            <w:pPr>
              <w:pStyle w:val="TableText"/>
              <w:spacing w:before="40" w:after="40"/>
            </w:pPr>
            <w:r w:rsidRPr="00E23CED">
              <w:t xml:space="preserve">Applies to: </w:t>
            </w:r>
          </w:p>
        </w:tc>
        <w:tc>
          <w:tcPr>
            <w:tcW w:w="2126" w:type="dxa"/>
            <w:vAlign w:val="center"/>
          </w:tcPr>
          <w:p w14:paraId="2A6DA8AB" w14:textId="2280650A" w:rsidR="00C43808" w:rsidRPr="00E23CED" w:rsidRDefault="006B0162" w:rsidP="009B3408">
            <w:pPr>
              <w:pStyle w:val="TableText"/>
              <w:spacing w:before="40" w:after="40"/>
            </w:pPr>
            <w:r w:rsidRPr="00E23CED">
              <w:t>Shallow intertidal dominated estuaries</w:t>
            </w:r>
            <w:r w:rsidR="008814D2" w:rsidRPr="00E23CED">
              <w:t>,</w:t>
            </w:r>
            <w:r w:rsidR="00C43808" w:rsidRPr="00E23CED">
              <w:t xml:space="preserve"> some </w:t>
            </w:r>
            <w:r w:rsidR="001F45D6" w:rsidRPr="00E23CED">
              <w:t>s</w:t>
            </w:r>
            <w:r w:rsidR="0044651D" w:rsidRPr="00E23CED">
              <w:t xml:space="preserve">hallow, short residence time (tidal river and tidal river with adjoining lagoon) estuaries </w:t>
            </w:r>
          </w:p>
        </w:tc>
        <w:tc>
          <w:tcPr>
            <w:tcW w:w="1559" w:type="dxa"/>
            <w:vAlign w:val="center"/>
          </w:tcPr>
          <w:p w14:paraId="4BEC785E" w14:textId="77777777" w:rsidR="00C43808" w:rsidRPr="00E23CED" w:rsidRDefault="00C43808" w:rsidP="009B3408">
            <w:pPr>
              <w:pStyle w:val="TableText"/>
              <w:spacing w:before="40" w:after="40"/>
            </w:pPr>
          </w:p>
        </w:tc>
        <w:tc>
          <w:tcPr>
            <w:tcW w:w="1629" w:type="dxa"/>
            <w:vAlign w:val="center"/>
          </w:tcPr>
          <w:p w14:paraId="49D29C98" w14:textId="1FBAEC4D" w:rsidR="00C43808" w:rsidRPr="00E23CED" w:rsidRDefault="003B2BBF" w:rsidP="009B3408">
            <w:pPr>
              <w:pStyle w:val="TableText"/>
              <w:spacing w:before="40" w:after="40"/>
            </w:pPr>
            <w:r w:rsidRPr="00E23CED">
              <w:t>D</w:t>
            </w:r>
            <w:r w:rsidR="001C4296" w:rsidRPr="00E23CED">
              <w:t>eeper subtidal dominated, longer residence time estuaries (</w:t>
            </w:r>
            <w:r w:rsidR="00C43808" w:rsidRPr="00E23CED">
              <w:t>DSDEs</w:t>
            </w:r>
            <w:r w:rsidR="001C4296" w:rsidRPr="00E23CED">
              <w:t>)</w:t>
            </w:r>
          </w:p>
        </w:tc>
        <w:tc>
          <w:tcPr>
            <w:tcW w:w="1773" w:type="dxa"/>
            <w:vAlign w:val="center"/>
          </w:tcPr>
          <w:p w14:paraId="2FCE4305" w14:textId="77777777" w:rsidR="00C43808" w:rsidRPr="00E23CED" w:rsidRDefault="00C43808" w:rsidP="009B3408">
            <w:pPr>
              <w:pStyle w:val="TableText"/>
              <w:spacing w:before="40" w:after="40"/>
            </w:pPr>
          </w:p>
        </w:tc>
      </w:tr>
      <w:tr w:rsidR="00C43808" w:rsidRPr="00E23CED" w14:paraId="023606D6" w14:textId="77777777" w:rsidTr="009B3408">
        <w:trPr>
          <w:trHeight w:val="340"/>
        </w:trPr>
        <w:tc>
          <w:tcPr>
            <w:tcW w:w="1418" w:type="dxa"/>
            <w:vAlign w:val="center"/>
          </w:tcPr>
          <w:p w14:paraId="3E08B34E" w14:textId="77777777" w:rsidR="00C43808" w:rsidRPr="00E23CED" w:rsidRDefault="00C43808" w:rsidP="009B3408">
            <w:pPr>
              <w:pStyle w:val="TableText"/>
              <w:spacing w:before="40" w:after="40"/>
            </w:pPr>
            <w:r w:rsidRPr="00E23CED">
              <w:t>Variable</w:t>
            </w:r>
          </w:p>
        </w:tc>
        <w:tc>
          <w:tcPr>
            <w:tcW w:w="2126" w:type="dxa"/>
            <w:vAlign w:val="center"/>
          </w:tcPr>
          <w:p w14:paraId="6ED379B8" w14:textId="77777777" w:rsidR="00C43808" w:rsidRPr="00E23CED" w:rsidRDefault="00C43808" w:rsidP="009B3408">
            <w:pPr>
              <w:pStyle w:val="TableText"/>
              <w:spacing w:before="40" w:after="40"/>
            </w:pPr>
            <w:r w:rsidRPr="00E23CED">
              <w:t>Ecological quality rating (EQR)</w:t>
            </w:r>
          </w:p>
        </w:tc>
        <w:tc>
          <w:tcPr>
            <w:tcW w:w="1559" w:type="dxa"/>
            <w:vAlign w:val="center"/>
          </w:tcPr>
          <w:p w14:paraId="41F18580" w14:textId="59876E7C" w:rsidR="00C43808" w:rsidRPr="00E23CED" w:rsidRDefault="003B2BBF" w:rsidP="009B3408">
            <w:pPr>
              <w:pStyle w:val="TableText"/>
              <w:spacing w:before="40" w:after="40"/>
            </w:pPr>
            <w:r w:rsidRPr="00E23CED">
              <w:t>P</w:t>
            </w:r>
            <w:r w:rsidR="00C43808" w:rsidRPr="00E23CED">
              <w:t xml:space="preserve">otential </w:t>
            </w:r>
            <w:r w:rsidR="00B9704D" w:rsidRPr="00E23CED">
              <w:t>total nitrogen (</w:t>
            </w:r>
            <w:r w:rsidR="00C43808" w:rsidRPr="00E23CED">
              <w:t>TN</w:t>
            </w:r>
            <w:r w:rsidR="00B9704D" w:rsidRPr="00E23CED">
              <w:t>)</w:t>
            </w:r>
            <w:r w:rsidR="00C43808" w:rsidRPr="00E23CED">
              <w:t xml:space="preserve"> </w:t>
            </w:r>
          </w:p>
        </w:tc>
        <w:tc>
          <w:tcPr>
            <w:tcW w:w="1629" w:type="dxa"/>
            <w:vAlign w:val="center"/>
          </w:tcPr>
          <w:p w14:paraId="699B4A80" w14:textId="3BA67DC3" w:rsidR="00C43808" w:rsidRPr="00E23CED" w:rsidRDefault="003B2BBF" w:rsidP="009B3408">
            <w:pPr>
              <w:pStyle w:val="TableText"/>
              <w:spacing w:before="40" w:after="40"/>
            </w:pPr>
            <w:r w:rsidRPr="00E23CED">
              <w:t>C</w:t>
            </w:r>
            <w:r w:rsidR="004D7E0A" w:rsidRPr="00E23CED">
              <w:t>hlorophyll a (</w:t>
            </w:r>
            <w:r w:rsidR="00C43808" w:rsidRPr="00E23CED">
              <w:t>chl</w:t>
            </w:r>
            <w:r w:rsidR="004D7E0A" w:rsidRPr="00E23CED">
              <w:noBreakHyphen/>
            </w:r>
            <w:r w:rsidR="00C43808" w:rsidRPr="00E23CED">
              <w:t>a</w:t>
            </w:r>
            <w:r w:rsidR="004D7E0A" w:rsidRPr="00E23CED">
              <w:t>)</w:t>
            </w:r>
          </w:p>
        </w:tc>
        <w:tc>
          <w:tcPr>
            <w:tcW w:w="1773" w:type="dxa"/>
            <w:vAlign w:val="center"/>
          </w:tcPr>
          <w:p w14:paraId="058609E3" w14:textId="7D337F32" w:rsidR="00C43808" w:rsidRPr="00E23CED" w:rsidRDefault="003B2BBF" w:rsidP="009B3408">
            <w:pPr>
              <w:pStyle w:val="TableText"/>
              <w:spacing w:before="40" w:after="40"/>
            </w:pPr>
            <w:r w:rsidRPr="00E23CED">
              <w:t>P</w:t>
            </w:r>
            <w:r w:rsidR="00C43808" w:rsidRPr="00E23CED">
              <w:t>otential TN</w:t>
            </w:r>
          </w:p>
        </w:tc>
      </w:tr>
      <w:tr w:rsidR="00C43808" w:rsidRPr="00E23CED" w14:paraId="2108CE6C" w14:textId="77777777" w:rsidTr="009B3408">
        <w:trPr>
          <w:trHeight w:val="340"/>
        </w:trPr>
        <w:tc>
          <w:tcPr>
            <w:tcW w:w="1418" w:type="dxa"/>
            <w:vAlign w:val="center"/>
          </w:tcPr>
          <w:p w14:paraId="6DB0EA26" w14:textId="77777777" w:rsidR="00C43808" w:rsidRPr="00E23CED" w:rsidRDefault="00C43808" w:rsidP="009B3408">
            <w:pPr>
              <w:pStyle w:val="TableText"/>
              <w:spacing w:before="40" w:after="40"/>
            </w:pPr>
            <w:r w:rsidRPr="00E23CED">
              <w:t>Unit</w:t>
            </w:r>
          </w:p>
        </w:tc>
        <w:tc>
          <w:tcPr>
            <w:tcW w:w="2126" w:type="dxa"/>
            <w:vAlign w:val="center"/>
          </w:tcPr>
          <w:p w14:paraId="3713ACAB" w14:textId="3BA3ADCE" w:rsidR="00C43808" w:rsidRPr="00E23CED" w:rsidRDefault="00326036" w:rsidP="009B3408">
            <w:pPr>
              <w:pStyle w:val="TableText"/>
              <w:spacing w:before="40" w:after="40"/>
            </w:pPr>
            <w:r w:rsidRPr="00E23CED">
              <w:t>S</w:t>
            </w:r>
            <w:r w:rsidR="00C43808" w:rsidRPr="00E23CED">
              <w:t>core (range 0 to 1)</w:t>
            </w:r>
          </w:p>
        </w:tc>
        <w:tc>
          <w:tcPr>
            <w:tcW w:w="1559" w:type="dxa"/>
            <w:vAlign w:val="center"/>
          </w:tcPr>
          <w:p w14:paraId="08D3E614" w14:textId="73ADE8F8" w:rsidR="00C43808" w:rsidRPr="00E23CED" w:rsidRDefault="003B2BBF" w:rsidP="009B3408">
            <w:pPr>
              <w:pStyle w:val="TableText"/>
              <w:spacing w:before="40" w:after="40"/>
            </w:pPr>
            <w:r w:rsidRPr="00E23CED">
              <w:t>M</w:t>
            </w:r>
            <w:r w:rsidR="004D7E0A" w:rsidRPr="00E23CED">
              <w:t>illigrams per cubic metre (</w:t>
            </w:r>
            <w:r w:rsidR="00C43808" w:rsidRPr="00E23CED">
              <w:t>mg/m</w:t>
            </w:r>
            <w:r w:rsidR="00C43808" w:rsidRPr="00E23CED">
              <w:rPr>
                <w:vertAlign w:val="superscript"/>
              </w:rPr>
              <w:t>3</w:t>
            </w:r>
            <w:r w:rsidR="004D7E0A" w:rsidRPr="00E23CED">
              <w:t>)</w:t>
            </w:r>
          </w:p>
        </w:tc>
        <w:tc>
          <w:tcPr>
            <w:tcW w:w="1629" w:type="dxa"/>
            <w:vAlign w:val="center"/>
          </w:tcPr>
          <w:p w14:paraId="442E4B75" w14:textId="311EA01B" w:rsidR="00C43808" w:rsidRPr="00E23CED" w:rsidRDefault="00C43808" w:rsidP="009B3408">
            <w:pPr>
              <w:pStyle w:val="TableText"/>
              <w:spacing w:before="40" w:after="40"/>
            </w:pPr>
            <w:r w:rsidRPr="00E23CED">
              <w:t>mg/m</w:t>
            </w:r>
            <w:r w:rsidRPr="00E23CED">
              <w:rPr>
                <w:vertAlign w:val="superscript"/>
              </w:rPr>
              <w:t>3</w:t>
            </w:r>
          </w:p>
        </w:tc>
        <w:tc>
          <w:tcPr>
            <w:tcW w:w="1773" w:type="dxa"/>
            <w:vAlign w:val="center"/>
          </w:tcPr>
          <w:p w14:paraId="3F119834" w14:textId="1A649F92" w:rsidR="00C43808" w:rsidRPr="00E23CED" w:rsidRDefault="00C43808" w:rsidP="009B3408">
            <w:pPr>
              <w:pStyle w:val="TableText"/>
              <w:spacing w:before="40" w:after="40"/>
            </w:pPr>
            <w:r w:rsidRPr="00E23CED">
              <w:t>mg/m</w:t>
            </w:r>
            <w:r w:rsidRPr="00E23CED">
              <w:rPr>
                <w:vertAlign w:val="superscript"/>
              </w:rPr>
              <w:t>3</w:t>
            </w:r>
          </w:p>
        </w:tc>
      </w:tr>
      <w:tr w:rsidR="00C43808" w:rsidRPr="00E23CED" w14:paraId="75B42901" w14:textId="77777777" w:rsidTr="009B3408">
        <w:trPr>
          <w:trHeight w:val="340"/>
        </w:trPr>
        <w:tc>
          <w:tcPr>
            <w:tcW w:w="1418" w:type="dxa"/>
            <w:vAlign w:val="center"/>
          </w:tcPr>
          <w:p w14:paraId="69E3BC4E" w14:textId="77777777" w:rsidR="00C43808" w:rsidRPr="00E23CED" w:rsidRDefault="00C43808" w:rsidP="009B3408">
            <w:pPr>
              <w:pStyle w:val="TableText"/>
              <w:spacing w:before="40" w:after="40"/>
            </w:pPr>
            <w:r w:rsidRPr="00E23CED">
              <w:t>A</w:t>
            </w:r>
          </w:p>
        </w:tc>
        <w:tc>
          <w:tcPr>
            <w:tcW w:w="2126" w:type="dxa"/>
            <w:vAlign w:val="center"/>
          </w:tcPr>
          <w:p w14:paraId="60BBE994" w14:textId="77777777" w:rsidR="00C43808" w:rsidRPr="00E23CED" w:rsidRDefault="00C43808" w:rsidP="009B3408">
            <w:pPr>
              <w:pStyle w:val="TableText"/>
              <w:spacing w:before="40" w:after="40"/>
            </w:pPr>
            <w:r w:rsidRPr="00E23CED">
              <w:t xml:space="preserve">≥0.8 to 1.0 </w:t>
            </w:r>
          </w:p>
        </w:tc>
        <w:tc>
          <w:tcPr>
            <w:tcW w:w="1559" w:type="dxa"/>
            <w:vAlign w:val="center"/>
          </w:tcPr>
          <w:p w14:paraId="23FCCC87" w14:textId="77777777" w:rsidR="00C43808" w:rsidRPr="00E23CED" w:rsidRDefault="00C43808" w:rsidP="009B3408">
            <w:pPr>
              <w:pStyle w:val="TableText"/>
              <w:spacing w:before="40" w:after="40"/>
            </w:pPr>
            <w:r w:rsidRPr="00E23CED">
              <w:t>&lt;55</w:t>
            </w:r>
          </w:p>
        </w:tc>
        <w:tc>
          <w:tcPr>
            <w:tcW w:w="1629" w:type="dxa"/>
            <w:vAlign w:val="center"/>
          </w:tcPr>
          <w:p w14:paraId="343F10E3" w14:textId="197A7EBF" w:rsidR="00C43808" w:rsidRPr="00E23CED" w:rsidRDefault="00C43808" w:rsidP="009B3408">
            <w:pPr>
              <w:pStyle w:val="TableText"/>
              <w:spacing w:before="40" w:after="40"/>
            </w:pPr>
            <w:r w:rsidRPr="00E23CED">
              <w:t>&lt;5</w:t>
            </w:r>
          </w:p>
        </w:tc>
        <w:tc>
          <w:tcPr>
            <w:tcW w:w="1773" w:type="dxa"/>
            <w:vAlign w:val="center"/>
          </w:tcPr>
          <w:p w14:paraId="7277B6FE" w14:textId="77777777" w:rsidR="00C43808" w:rsidRPr="00E23CED" w:rsidRDefault="00C43808" w:rsidP="009B3408">
            <w:pPr>
              <w:pStyle w:val="TableText"/>
              <w:spacing w:before="40" w:after="40"/>
            </w:pPr>
            <w:r w:rsidRPr="00E23CED">
              <w:t>&lt;50</w:t>
            </w:r>
          </w:p>
        </w:tc>
      </w:tr>
      <w:tr w:rsidR="00C43808" w:rsidRPr="00E23CED" w14:paraId="6C134410" w14:textId="77777777" w:rsidTr="009B3408">
        <w:trPr>
          <w:trHeight w:val="340"/>
        </w:trPr>
        <w:tc>
          <w:tcPr>
            <w:tcW w:w="1418" w:type="dxa"/>
            <w:vAlign w:val="center"/>
          </w:tcPr>
          <w:p w14:paraId="1B95F996" w14:textId="77777777" w:rsidR="00C43808" w:rsidRPr="00E23CED" w:rsidRDefault="00C43808" w:rsidP="009B3408">
            <w:pPr>
              <w:pStyle w:val="TableText"/>
              <w:spacing w:before="40" w:after="40"/>
            </w:pPr>
            <w:r w:rsidRPr="00E23CED">
              <w:t>B</w:t>
            </w:r>
          </w:p>
        </w:tc>
        <w:tc>
          <w:tcPr>
            <w:tcW w:w="2126" w:type="dxa"/>
            <w:vAlign w:val="center"/>
          </w:tcPr>
          <w:p w14:paraId="6394AA75" w14:textId="77777777" w:rsidR="00C43808" w:rsidRPr="00E23CED" w:rsidRDefault="00C43808" w:rsidP="009B3408">
            <w:pPr>
              <w:pStyle w:val="TableText"/>
              <w:spacing w:before="40" w:after="40"/>
            </w:pPr>
            <w:r w:rsidRPr="00E23CED">
              <w:t xml:space="preserve">≥0.6 to &lt;0.8 </w:t>
            </w:r>
          </w:p>
        </w:tc>
        <w:tc>
          <w:tcPr>
            <w:tcW w:w="1559" w:type="dxa"/>
            <w:vAlign w:val="center"/>
          </w:tcPr>
          <w:p w14:paraId="595C48D5" w14:textId="77777777" w:rsidR="00C43808" w:rsidRPr="00E23CED" w:rsidRDefault="00C43808" w:rsidP="009B3408">
            <w:pPr>
              <w:pStyle w:val="TableText"/>
              <w:spacing w:before="40" w:after="40"/>
            </w:pPr>
            <w:r w:rsidRPr="00E23CED">
              <w:t xml:space="preserve">≥55 to &lt;180 </w:t>
            </w:r>
          </w:p>
        </w:tc>
        <w:tc>
          <w:tcPr>
            <w:tcW w:w="1629" w:type="dxa"/>
            <w:vAlign w:val="center"/>
          </w:tcPr>
          <w:p w14:paraId="4462F6A9" w14:textId="77777777" w:rsidR="00C43808" w:rsidRPr="00E23CED" w:rsidRDefault="00C43808" w:rsidP="009B3408">
            <w:pPr>
              <w:pStyle w:val="TableText"/>
              <w:spacing w:before="40" w:after="40"/>
            </w:pPr>
            <w:r w:rsidRPr="00E23CED">
              <w:t xml:space="preserve">≥5 to &lt;10 </w:t>
            </w:r>
          </w:p>
        </w:tc>
        <w:tc>
          <w:tcPr>
            <w:tcW w:w="1773" w:type="dxa"/>
            <w:vAlign w:val="center"/>
          </w:tcPr>
          <w:p w14:paraId="239D7EB9" w14:textId="77777777" w:rsidR="00C43808" w:rsidRPr="00E23CED" w:rsidRDefault="00C43808" w:rsidP="009B3408">
            <w:pPr>
              <w:pStyle w:val="TableText"/>
              <w:spacing w:before="40" w:after="40"/>
            </w:pPr>
            <w:r w:rsidRPr="00E23CED">
              <w:t xml:space="preserve">≥50 to &lt;100 </w:t>
            </w:r>
          </w:p>
        </w:tc>
      </w:tr>
      <w:tr w:rsidR="00C43808" w:rsidRPr="00E23CED" w14:paraId="33DBFDE9" w14:textId="77777777" w:rsidTr="009B3408">
        <w:trPr>
          <w:trHeight w:val="340"/>
        </w:trPr>
        <w:tc>
          <w:tcPr>
            <w:tcW w:w="1418" w:type="dxa"/>
            <w:vAlign w:val="center"/>
          </w:tcPr>
          <w:p w14:paraId="3A27173E" w14:textId="77777777" w:rsidR="00C43808" w:rsidRPr="00E23CED" w:rsidRDefault="00C43808" w:rsidP="009B3408">
            <w:pPr>
              <w:pStyle w:val="TableText"/>
              <w:spacing w:before="40" w:after="40"/>
            </w:pPr>
            <w:r w:rsidRPr="00E23CED">
              <w:t>C</w:t>
            </w:r>
          </w:p>
        </w:tc>
        <w:tc>
          <w:tcPr>
            <w:tcW w:w="2126" w:type="dxa"/>
            <w:vAlign w:val="center"/>
          </w:tcPr>
          <w:p w14:paraId="08B38210" w14:textId="77777777" w:rsidR="00C43808" w:rsidRPr="00E23CED" w:rsidRDefault="00C43808" w:rsidP="009B3408">
            <w:pPr>
              <w:pStyle w:val="TableText"/>
              <w:spacing w:before="40" w:after="40"/>
            </w:pPr>
            <w:r w:rsidRPr="00E23CED">
              <w:t xml:space="preserve">≥0.4 to &lt;0.6 </w:t>
            </w:r>
          </w:p>
        </w:tc>
        <w:tc>
          <w:tcPr>
            <w:tcW w:w="1559" w:type="dxa"/>
            <w:vAlign w:val="center"/>
          </w:tcPr>
          <w:p w14:paraId="69915FCD" w14:textId="77777777" w:rsidR="00C43808" w:rsidRPr="00E23CED" w:rsidRDefault="00C43808" w:rsidP="009B3408">
            <w:pPr>
              <w:pStyle w:val="TableText"/>
              <w:spacing w:before="40" w:after="40"/>
            </w:pPr>
            <w:r w:rsidRPr="00E23CED">
              <w:t xml:space="preserve">≥180 to &lt;350 </w:t>
            </w:r>
          </w:p>
        </w:tc>
        <w:tc>
          <w:tcPr>
            <w:tcW w:w="1629" w:type="dxa"/>
            <w:vAlign w:val="center"/>
          </w:tcPr>
          <w:p w14:paraId="091519F6" w14:textId="77777777" w:rsidR="00C43808" w:rsidRPr="00E23CED" w:rsidRDefault="00C43808" w:rsidP="009B3408">
            <w:pPr>
              <w:pStyle w:val="TableText"/>
              <w:spacing w:before="40" w:after="40"/>
            </w:pPr>
            <w:r w:rsidRPr="00E23CED">
              <w:t xml:space="preserve">≥10 to &lt;16 </w:t>
            </w:r>
          </w:p>
        </w:tc>
        <w:tc>
          <w:tcPr>
            <w:tcW w:w="1773" w:type="dxa"/>
            <w:vAlign w:val="center"/>
          </w:tcPr>
          <w:p w14:paraId="0991A7B8" w14:textId="77777777" w:rsidR="00C43808" w:rsidRPr="00E23CED" w:rsidRDefault="00C43808" w:rsidP="009B3408">
            <w:pPr>
              <w:pStyle w:val="TableText"/>
              <w:spacing w:before="40" w:after="40"/>
            </w:pPr>
            <w:r w:rsidRPr="00E23CED">
              <w:t xml:space="preserve">≥100 to &lt;150 </w:t>
            </w:r>
          </w:p>
        </w:tc>
      </w:tr>
      <w:tr w:rsidR="00C43808" w:rsidRPr="00E23CED" w14:paraId="6D985333" w14:textId="77777777" w:rsidTr="009B3408">
        <w:trPr>
          <w:trHeight w:val="340"/>
        </w:trPr>
        <w:tc>
          <w:tcPr>
            <w:tcW w:w="1418" w:type="dxa"/>
            <w:vAlign w:val="center"/>
          </w:tcPr>
          <w:p w14:paraId="19A892BD" w14:textId="77777777" w:rsidR="00C43808" w:rsidRPr="00E23CED" w:rsidRDefault="00C43808" w:rsidP="009B3408">
            <w:pPr>
              <w:pStyle w:val="TableText"/>
              <w:spacing w:before="40" w:after="40"/>
            </w:pPr>
            <w:r w:rsidRPr="00E23CED">
              <w:t>D</w:t>
            </w:r>
          </w:p>
        </w:tc>
        <w:tc>
          <w:tcPr>
            <w:tcW w:w="2126" w:type="dxa"/>
            <w:vAlign w:val="center"/>
          </w:tcPr>
          <w:p w14:paraId="73120DE3" w14:textId="77777777" w:rsidR="00C43808" w:rsidRPr="00E23CED" w:rsidRDefault="00C43808" w:rsidP="009B3408">
            <w:pPr>
              <w:pStyle w:val="TableText"/>
              <w:spacing w:before="40" w:after="40"/>
            </w:pPr>
            <w:r w:rsidRPr="00E23CED">
              <w:t xml:space="preserve">&lt;0.4 </w:t>
            </w:r>
          </w:p>
        </w:tc>
        <w:tc>
          <w:tcPr>
            <w:tcW w:w="1559" w:type="dxa"/>
            <w:vAlign w:val="center"/>
          </w:tcPr>
          <w:p w14:paraId="16ABA445" w14:textId="77777777" w:rsidR="00C43808" w:rsidRPr="00E23CED" w:rsidRDefault="00C43808" w:rsidP="009B3408">
            <w:pPr>
              <w:pStyle w:val="TableText"/>
              <w:spacing w:before="40" w:after="40"/>
            </w:pPr>
            <w:r w:rsidRPr="00E23CED">
              <w:t xml:space="preserve">≥350 </w:t>
            </w:r>
          </w:p>
        </w:tc>
        <w:tc>
          <w:tcPr>
            <w:tcW w:w="1629" w:type="dxa"/>
            <w:vAlign w:val="center"/>
          </w:tcPr>
          <w:p w14:paraId="51C9A6A2" w14:textId="77777777" w:rsidR="00C43808" w:rsidRPr="00E23CED" w:rsidRDefault="00C43808" w:rsidP="009B3408">
            <w:pPr>
              <w:pStyle w:val="TableText"/>
              <w:spacing w:before="40" w:after="40"/>
            </w:pPr>
            <w:r w:rsidRPr="00E23CED">
              <w:t>≥16</w:t>
            </w:r>
          </w:p>
        </w:tc>
        <w:tc>
          <w:tcPr>
            <w:tcW w:w="1773" w:type="dxa"/>
            <w:vAlign w:val="center"/>
          </w:tcPr>
          <w:p w14:paraId="400A7E33" w14:textId="77777777" w:rsidR="00C43808" w:rsidRPr="00E23CED" w:rsidRDefault="00C43808" w:rsidP="009B3408">
            <w:pPr>
              <w:pStyle w:val="TableText"/>
              <w:spacing w:before="40" w:after="40"/>
            </w:pPr>
            <w:r w:rsidRPr="00E23CED">
              <w:t xml:space="preserve">≥150 </w:t>
            </w:r>
          </w:p>
        </w:tc>
      </w:tr>
      <w:tr w:rsidR="00C43808" w:rsidRPr="00E23CED" w14:paraId="12AD87CB" w14:textId="77777777" w:rsidTr="009B3408">
        <w:trPr>
          <w:trHeight w:val="340"/>
        </w:trPr>
        <w:tc>
          <w:tcPr>
            <w:tcW w:w="1418" w:type="dxa"/>
            <w:vAlign w:val="center"/>
          </w:tcPr>
          <w:p w14:paraId="07BCC238" w14:textId="114F8F6E" w:rsidR="00C43808" w:rsidRPr="00E23CED" w:rsidRDefault="00C43808" w:rsidP="009B3408">
            <w:pPr>
              <w:pStyle w:val="TableText"/>
              <w:spacing w:before="40" w:after="40"/>
            </w:pPr>
            <w:r w:rsidRPr="00E23CED">
              <w:t>References</w:t>
            </w:r>
            <w:r w:rsidR="004D7E0A" w:rsidRPr="00E23CED">
              <w:t xml:space="preserve"> and</w:t>
            </w:r>
            <w:r w:rsidR="0044651D" w:rsidRPr="00E23CED">
              <w:t xml:space="preserve"> </w:t>
            </w:r>
            <w:r w:rsidRPr="00E23CED">
              <w:t xml:space="preserve">notes </w:t>
            </w:r>
          </w:p>
        </w:tc>
        <w:tc>
          <w:tcPr>
            <w:tcW w:w="2126" w:type="dxa"/>
            <w:vAlign w:val="center"/>
          </w:tcPr>
          <w:p w14:paraId="6F738707" w14:textId="479B06F9" w:rsidR="00C43808" w:rsidRPr="00E23CED" w:rsidRDefault="00C43808" w:rsidP="009B3408">
            <w:pPr>
              <w:pStyle w:val="TableText"/>
              <w:spacing w:before="40" w:after="40"/>
            </w:pPr>
            <w:r w:rsidRPr="00E23CED">
              <w:t>Robertson et al (2016</w:t>
            </w:r>
            <w:r w:rsidR="00774418" w:rsidRPr="00E23CED">
              <w:t>)</w:t>
            </w:r>
            <w:r w:rsidRPr="00E23CED">
              <w:t xml:space="preserve"> </w:t>
            </w:r>
            <w:r w:rsidR="0095657E" w:rsidRPr="00E23CED">
              <w:t>(</w:t>
            </w:r>
            <w:r w:rsidRPr="00E23CED">
              <w:t xml:space="preserve">derivation of EQR using </w:t>
            </w:r>
            <w:r w:rsidR="004820A8" w:rsidRPr="00E23CED">
              <w:t>o</w:t>
            </w:r>
            <w:r w:rsidRPr="00E23CED">
              <w:t xml:space="preserve">pportunistic </w:t>
            </w:r>
            <w:r w:rsidR="004820A8" w:rsidRPr="00E23CED">
              <w:t>m</w:t>
            </w:r>
            <w:r w:rsidRPr="00E23CED">
              <w:t xml:space="preserve">acroalgal </w:t>
            </w:r>
            <w:r w:rsidR="004820A8" w:rsidRPr="00E23CED">
              <w:t>b</w:t>
            </w:r>
            <w:r w:rsidRPr="00E23CED">
              <w:t xml:space="preserve">looming </w:t>
            </w:r>
            <w:r w:rsidR="004820A8" w:rsidRPr="00E23CED">
              <w:t>t</w:t>
            </w:r>
            <w:r w:rsidRPr="00E23CED">
              <w:t xml:space="preserve">ool </w:t>
            </w:r>
          </w:p>
        </w:tc>
        <w:tc>
          <w:tcPr>
            <w:tcW w:w="1559" w:type="dxa"/>
            <w:vAlign w:val="center"/>
          </w:tcPr>
          <w:p w14:paraId="3E100996" w14:textId="13153FE8" w:rsidR="00C43808" w:rsidRPr="00E23CED" w:rsidRDefault="00C70DCD" w:rsidP="009B3408">
            <w:pPr>
              <w:pStyle w:val="TableText"/>
              <w:spacing w:before="40" w:after="40"/>
            </w:pPr>
            <w:r w:rsidRPr="00E23CED">
              <w:t>Zeldis</w:t>
            </w:r>
            <w:r w:rsidR="00C43808" w:rsidRPr="00E23CED">
              <w:t xml:space="preserve"> et al </w:t>
            </w:r>
            <w:r w:rsidR="00774418" w:rsidRPr="00E23CED">
              <w:t>(</w:t>
            </w:r>
            <w:r w:rsidR="00C43808" w:rsidRPr="00E23CED">
              <w:t>2017</w:t>
            </w:r>
            <w:r w:rsidR="00774418" w:rsidRPr="00E23CED">
              <w:t>)</w:t>
            </w:r>
            <w:r w:rsidR="00C43808" w:rsidRPr="00E23CED">
              <w:t xml:space="preserve"> </w:t>
            </w:r>
            <w:r w:rsidR="00332582" w:rsidRPr="00E23CED">
              <w:t>(</w:t>
            </w:r>
            <w:r w:rsidR="00C43808" w:rsidRPr="00E23CED">
              <w:t>derivation of TN bands equivalent to EQR</w:t>
            </w:r>
            <w:r w:rsidR="00332582" w:rsidRPr="00E23CED">
              <w:t>)</w:t>
            </w:r>
          </w:p>
        </w:tc>
        <w:tc>
          <w:tcPr>
            <w:tcW w:w="1629" w:type="dxa"/>
            <w:vAlign w:val="center"/>
          </w:tcPr>
          <w:p w14:paraId="084C84A8" w14:textId="35E437E3" w:rsidR="00C43808" w:rsidRPr="00E23CED" w:rsidRDefault="00C43808" w:rsidP="009B3408">
            <w:pPr>
              <w:pStyle w:val="TableText"/>
              <w:spacing w:before="40" w:after="40"/>
            </w:pPr>
            <w:r w:rsidRPr="00E23CED">
              <w:t xml:space="preserve">Eppley et al </w:t>
            </w:r>
            <w:r w:rsidR="00757739" w:rsidRPr="00E23CED">
              <w:t>(</w:t>
            </w:r>
            <w:r w:rsidRPr="00E23CED">
              <w:t>1969</w:t>
            </w:r>
            <w:r w:rsidR="00757739" w:rsidRPr="00E23CED">
              <w:t>)</w:t>
            </w:r>
            <w:r w:rsidRPr="00E23CED">
              <w:t>; Ferreira et al</w:t>
            </w:r>
            <w:r w:rsidR="00757739" w:rsidRPr="00E23CED">
              <w:t xml:space="preserve"> (</w:t>
            </w:r>
            <w:r w:rsidRPr="00E23CED">
              <w:t>2005</w:t>
            </w:r>
            <w:r w:rsidR="00757739" w:rsidRPr="00E23CED">
              <w:t>)</w:t>
            </w:r>
            <w:r w:rsidRPr="00E23CED">
              <w:t xml:space="preserve"> </w:t>
            </w:r>
            <w:r w:rsidR="009A5877" w:rsidRPr="00E23CED">
              <w:t>(</w:t>
            </w:r>
            <w:r w:rsidRPr="00E23CED">
              <w:t>models for predicting chl-a</w:t>
            </w:r>
            <w:r w:rsidR="009A5877" w:rsidRPr="00E23CED">
              <w:t>)</w:t>
            </w:r>
          </w:p>
        </w:tc>
        <w:tc>
          <w:tcPr>
            <w:tcW w:w="1773" w:type="dxa"/>
            <w:vAlign w:val="center"/>
          </w:tcPr>
          <w:p w14:paraId="7A89C73E" w14:textId="0F40D39D" w:rsidR="00C43808" w:rsidRPr="00E23CED" w:rsidRDefault="00C70DCD" w:rsidP="009B3408">
            <w:pPr>
              <w:pStyle w:val="TableText"/>
              <w:spacing w:before="40" w:after="40"/>
            </w:pPr>
            <w:r w:rsidRPr="00E23CED">
              <w:t>Zeldis</w:t>
            </w:r>
            <w:r w:rsidR="00C43808" w:rsidRPr="00E23CED">
              <w:t xml:space="preserve"> et al </w:t>
            </w:r>
            <w:r w:rsidR="00757739" w:rsidRPr="00E23CED">
              <w:t>(</w:t>
            </w:r>
            <w:r w:rsidR="00C43808" w:rsidRPr="00E23CED">
              <w:t>2017</w:t>
            </w:r>
            <w:r w:rsidR="00757739" w:rsidRPr="00E23CED">
              <w:t>)</w:t>
            </w:r>
            <w:r w:rsidR="00C43808" w:rsidRPr="00E23CED">
              <w:t xml:space="preserve"> </w:t>
            </w:r>
            <w:r w:rsidR="009A5877" w:rsidRPr="00E23CED">
              <w:t>(</w:t>
            </w:r>
            <w:r w:rsidR="00C43808" w:rsidRPr="00E23CED">
              <w:t>derivation of TN bands, applicable when flushing time &gt;3</w:t>
            </w:r>
            <w:r w:rsidR="0044651D" w:rsidRPr="00E23CED">
              <w:t>–</w:t>
            </w:r>
            <w:r w:rsidR="00C43808" w:rsidRPr="00E23CED">
              <w:t>4 days</w:t>
            </w:r>
            <w:r w:rsidR="009A5877" w:rsidRPr="00E23CED">
              <w:t>)</w:t>
            </w:r>
          </w:p>
        </w:tc>
      </w:tr>
    </w:tbl>
    <w:p w14:paraId="69F3C883" w14:textId="1A78516E" w:rsidR="0038267A" w:rsidRPr="00E23CED" w:rsidRDefault="008D63C8" w:rsidP="009B3408">
      <w:pPr>
        <w:pStyle w:val="Source"/>
        <w:spacing w:before="80"/>
      </w:pPr>
      <w:r w:rsidRPr="00E23CED">
        <w:t>Note: T</w:t>
      </w:r>
      <w:r w:rsidR="00E21425" w:rsidRPr="00E23CED">
        <w:t xml:space="preserve">otal nitrogen </w:t>
      </w:r>
      <w:r w:rsidRPr="00E23CED">
        <w:t xml:space="preserve">and </w:t>
      </w:r>
      <w:r w:rsidR="00DB65A5" w:rsidRPr="00E23CED">
        <w:t xml:space="preserve">chlorophyll </w:t>
      </w:r>
      <w:proofErr w:type="gramStart"/>
      <w:r w:rsidR="00DB65A5" w:rsidRPr="00E23CED">
        <w:t xml:space="preserve">a </w:t>
      </w:r>
      <w:r w:rsidRPr="00E23CED">
        <w:t>concentrations</w:t>
      </w:r>
      <w:proofErr w:type="gramEnd"/>
      <w:r w:rsidRPr="00E23CED">
        <w:t xml:space="preserve"> are annual mean values.</w:t>
      </w:r>
    </w:p>
    <w:p w14:paraId="19043B97" w14:textId="57E0F51F" w:rsidR="00B60453" w:rsidRPr="00E23CED" w:rsidRDefault="00B60453" w:rsidP="00F74D10">
      <w:pPr>
        <w:pStyle w:val="Heading2"/>
        <w:tabs>
          <w:tab w:val="clear" w:pos="851"/>
          <w:tab w:val="left" w:pos="964"/>
        </w:tabs>
      </w:pPr>
      <w:bookmarkStart w:id="101" w:name="table3"/>
      <w:bookmarkStart w:id="102" w:name="figure7"/>
      <w:bookmarkStart w:id="103" w:name="figure8"/>
      <w:bookmarkStart w:id="104" w:name="table4"/>
      <w:bookmarkStart w:id="105" w:name="table5"/>
      <w:bookmarkStart w:id="106" w:name="figure9"/>
      <w:bookmarkStart w:id="107" w:name="figure10"/>
      <w:bookmarkStart w:id="108" w:name="_3.2__Setting"/>
      <w:bookmarkStart w:id="109" w:name="_Hard-_and_soft-bottomed"/>
      <w:bookmarkStart w:id="110" w:name="_3.2.1._Periphyton_Lookup"/>
      <w:bookmarkStart w:id="111" w:name="_3.2.1._Periphyton_look-up"/>
      <w:bookmarkStart w:id="112" w:name="figure12"/>
      <w:bookmarkStart w:id="113" w:name="figure13"/>
      <w:bookmarkStart w:id="114" w:name="_Links_to_the"/>
      <w:bookmarkStart w:id="115" w:name="_3.2.2._Other_attributes"/>
      <w:bookmarkStart w:id="116" w:name="table6"/>
      <w:bookmarkStart w:id="117" w:name="table7"/>
      <w:bookmarkStart w:id="118" w:name="_Links_to_the_1"/>
      <w:bookmarkStart w:id="119" w:name="table8"/>
      <w:bookmarkStart w:id="120" w:name="table9"/>
      <w:bookmarkStart w:id="121" w:name="_3.3__Reconciling"/>
      <w:bookmarkStart w:id="122" w:name="_3.5__Reconciling"/>
      <w:bookmarkStart w:id="123" w:name="_Toc520810802"/>
      <w:bookmarkStart w:id="124" w:name="_Toc73711455"/>
      <w:bookmarkStart w:id="125" w:name="_Ref140407566"/>
      <w:bookmarkStart w:id="126" w:name="_Ref140420721"/>
      <w:bookmarkStart w:id="127" w:name="_Ref140426651"/>
      <w:bookmarkStart w:id="128" w:name="_Toc143077514"/>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E23CED">
        <w:lastRenderedPageBreak/>
        <w:t>3.</w:t>
      </w:r>
      <w:r w:rsidR="0028097E" w:rsidRPr="00E23CED">
        <w:t>5</w:t>
      </w:r>
      <w:r w:rsidRPr="00E23CED">
        <w:t xml:space="preserve"> </w:t>
      </w:r>
      <w:bookmarkStart w:id="129" w:name="_Hlk130995726"/>
      <w:r w:rsidR="00F74D10" w:rsidRPr="00E23CED">
        <w:tab/>
      </w:r>
      <w:r w:rsidRPr="00E23CED">
        <w:t>Reconciling nutrient criteria across the</w:t>
      </w:r>
      <w:r w:rsidR="003354DB" w:rsidRPr="00E23CED">
        <w:t> </w:t>
      </w:r>
      <w:r w:rsidR="00D00CEF" w:rsidRPr="00E23CED">
        <w:t xml:space="preserve">freshwater management unit </w:t>
      </w:r>
      <w:r w:rsidRPr="00E23CED">
        <w:t xml:space="preserve">and downstream receiving </w:t>
      </w:r>
      <w:proofErr w:type="gramStart"/>
      <w:r w:rsidRPr="00E23CED">
        <w:t>environments</w:t>
      </w:r>
      <w:bookmarkEnd w:id="123"/>
      <w:bookmarkEnd w:id="124"/>
      <w:bookmarkEnd w:id="125"/>
      <w:bookmarkEnd w:id="126"/>
      <w:bookmarkEnd w:id="127"/>
      <w:bookmarkEnd w:id="128"/>
      <w:bookmarkEnd w:id="129"/>
      <w:proofErr w:type="gramEnd"/>
    </w:p>
    <w:p w14:paraId="7E600E75" w14:textId="484E2AC8" w:rsidR="0044651D" w:rsidRPr="00E23CED" w:rsidRDefault="00096648" w:rsidP="00C81B50">
      <w:pPr>
        <w:pStyle w:val="BodyText"/>
      </w:pPr>
      <w:r w:rsidRPr="00E23CED">
        <w:t>Clause</w:t>
      </w:r>
      <w:r w:rsidR="00B60453" w:rsidRPr="00E23CED">
        <w:t xml:space="preserve"> 3.13 requires regional councils to </w:t>
      </w:r>
      <w:r w:rsidR="0009618D" w:rsidRPr="00E23CED">
        <w:t>set</w:t>
      </w:r>
      <w:r w:rsidR="009C3742" w:rsidRPr="00E23CED">
        <w:t xml:space="preserve"> </w:t>
      </w:r>
      <w:r w:rsidR="00CD6F10" w:rsidRPr="00E23CED">
        <w:t xml:space="preserve">nutrient </w:t>
      </w:r>
      <w:r w:rsidR="00AB2BDD" w:rsidRPr="00E23CED">
        <w:t xml:space="preserve">criteria </w:t>
      </w:r>
      <w:r w:rsidR="0009618D" w:rsidRPr="00E23CED">
        <w:t xml:space="preserve">that </w:t>
      </w:r>
      <w:r w:rsidR="00CD6F10" w:rsidRPr="00E23CED">
        <w:t>achieve</w:t>
      </w:r>
      <w:r w:rsidR="0001573B" w:rsidRPr="00E23CED">
        <w:t xml:space="preserve"> </w:t>
      </w:r>
      <w:r w:rsidR="0024054B" w:rsidRPr="00E23CED">
        <w:t xml:space="preserve">all identified </w:t>
      </w:r>
      <w:r w:rsidR="0001573B" w:rsidRPr="00E23CED">
        <w:t>TASs</w:t>
      </w:r>
      <w:r w:rsidR="00CD6F10" w:rsidRPr="00E23CED">
        <w:t xml:space="preserve"> </w:t>
      </w:r>
      <w:r w:rsidR="00F9340C" w:rsidRPr="00E23CED">
        <w:t>and environmental outcomes</w:t>
      </w:r>
      <w:r w:rsidR="0009618D" w:rsidRPr="00E23CED">
        <w:t xml:space="preserve"> in all water bodies in the FMU.</w:t>
      </w:r>
      <w:r w:rsidR="00A81C48" w:rsidRPr="00E23CED">
        <w:t xml:space="preserve"> Some nutrient criteria will be expressed as instream concentrations and exceedance criteria, </w:t>
      </w:r>
      <w:r w:rsidR="0044651D" w:rsidRPr="00E23CED">
        <w:t xml:space="preserve">while </w:t>
      </w:r>
      <w:r w:rsidR="00405505" w:rsidRPr="00E23CED">
        <w:t xml:space="preserve">others </w:t>
      </w:r>
      <w:r w:rsidR="00A81C48" w:rsidRPr="00E23CED">
        <w:t xml:space="preserve">may be expressed as instream loads. </w:t>
      </w:r>
    </w:p>
    <w:p w14:paraId="47B14165" w14:textId="1EA28D54" w:rsidR="0044651D" w:rsidRPr="00E23CED" w:rsidRDefault="00312F2A" w:rsidP="00F74D10">
      <w:pPr>
        <w:pStyle w:val="BodyText"/>
      </w:pPr>
      <w:r w:rsidRPr="00E23CED">
        <w:t>N</w:t>
      </w:r>
      <w:r w:rsidR="00275C2B" w:rsidRPr="00E23CED">
        <w:t xml:space="preserve">utrient criteria </w:t>
      </w:r>
      <w:r w:rsidRPr="00E23CED">
        <w:t xml:space="preserve">may be expressed in different forms of </w:t>
      </w:r>
      <w:r w:rsidR="00EB1230" w:rsidRPr="00E23CED">
        <w:t xml:space="preserve">N </w:t>
      </w:r>
      <w:r w:rsidRPr="00E23CED">
        <w:t xml:space="preserve">and </w:t>
      </w:r>
      <w:r w:rsidR="00EB1230" w:rsidRPr="00E23CED">
        <w:t xml:space="preserve">P </w:t>
      </w:r>
      <w:r w:rsidR="001E1957" w:rsidRPr="00E23CED">
        <w:t xml:space="preserve">that best suit the characteristics of the relevant water bodies </w:t>
      </w:r>
      <w:r w:rsidRPr="00E23CED">
        <w:t>(see</w:t>
      </w:r>
      <w:r w:rsidR="00EB1230" w:rsidRPr="00E23CED">
        <w:t xml:space="preserve"> </w:t>
      </w:r>
      <w:hyperlink w:anchor="_2.1.2__Nitrogen" w:history="1">
        <w:r w:rsidR="00EB1230" w:rsidRPr="00E23CED">
          <w:rPr>
            <w:rStyle w:val="Hyperlink"/>
          </w:rPr>
          <w:t>section 2.1.2 Nitrogen and phosphorus</w:t>
        </w:r>
      </w:hyperlink>
      <w:r w:rsidRPr="00E23CED">
        <w:t>). N</w:t>
      </w:r>
      <w:r w:rsidR="001A447F" w:rsidRPr="00E23CED">
        <w:t xml:space="preserve">utrient </w:t>
      </w:r>
      <w:r w:rsidR="0047614E" w:rsidRPr="00E23CED">
        <w:t xml:space="preserve">criteria </w:t>
      </w:r>
      <w:r w:rsidRPr="00E23CED">
        <w:t>are likely to vary in their</w:t>
      </w:r>
      <w:r w:rsidR="001A447F" w:rsidRPr="00E23CED">
        <w:t xml:space="preserve"> stringen</w:t>
      </w:r>
      <w:r w:rsidRPr="00E23CED">
        <w:t>cy</w:t>
      </w:r>
      <w:r w:rsidR="00EB1230" w:rsidRPr="00E23CED">
        <w:t>,</w:t>
      </w:r>
      <w:r w:rsidR="001A447F" w:rsidRPr="00E23CED">
        <w:t xml:space="preserve"> depending on what is required </w:t>
      </w:r>
      <w:r w:rsidRPr="00E23CED">
        <w:t xml:space="preserve">to achieve TASs in </w:t>
      </w:r>
      <w:r w:rsidR="00123B73" w:rsidRPr="00E23CED">
        <w:t xml:space="preserve">different parts of the </w:t>
      </w:r>
      <w:r w:rsidR="0047614E" w:rsidRPr="00E23CED">
        <w:t>river</w:t>
      </w:r>
      <w:r w:rsidR="00123B73" w:rsidRPr="00E23CED">
        <w:t xml:space="preserve"> network</w:t>
      </w:r>
      <w:r w:rsidR="0047614E" w:rsidRPr="00E23CED">
        <w:t>, lakes, groundwater</w:t>
      </w:r>
      <w:r w:rsidR="00FF29F7" w:rsidRPr="00E23CED">
        <w:t>,</w:t>
      </w:r>
      <w:r w:rsidR="0047614E" w:rsidRPr="00E23CED">
        <w:t xml:space="preserve"> wetlands</w:t>
      </w:r>
      <w:r w:rsidR="00FF29F7" w:rsidRPr="00E23CED">
        <w:t xml:space="preserve">, estuaries or other coastal environments. </w:t>
      </w:r>
    </w:p>
    <w:p w14:paraId="602B6DC8" w14:textId="260734A1" w:rsidR="0044651D" w:rsidRPr="00E23CED" w:rsidRDefault="00067782" w:rsidP="00C81B50">
      <w:pPr>
        <w:pStyle w:val="BodyText"/>
      </w:pPr>
      <w:r w:rsidRPr="00E23CED">
        <w:t>One of the final steps</w:t>
      </w:r>
      <w:r w:rsidR="00123B73" w:rsidRPr="00E23CED">
        <w:t xml:space="preserve">, </w:t>
      </w:r>
      <w:r w:rsidR="00BA267C" w:rsidRPr="00E23CED">
        <w:t xml:space="preserve">as outlined </w:t>
      </w:r>
      <w:r w:rsidR="00123B73" w:rsidRPr="00E23CED">
        <w:t>in</w:t>
      </w:r>
      <w:r w:rsidR="008B0EC1" w:rsidRPr="00E23CED">
        <w:t xml:space="preserve"> </w:t>
      </w:r>
      <w:hyperlink w:anchor="_3.1__General" w:history="1">
        <w:r w:rsidR="008B0EC1" w:rsidRPr="00E23CED">
          <w:rPr>
            <w:rStyle w:val="Hyperlink"/>
          </w:rPr>
          <w:t>section 3.1 General approach</w:t>
        </w:r>
      </w:hyperlink>
      <w:r w:rsidR="00BA267C" w:rsidRPr="00E23CED">
        <w:t xml:space="preserve">, will </w:t>
      </w:r>
      <w:r w:rsidRPr="00E23CED">
        <w:t>involve</w:t>
      </w:r>
      <w:r w:rsidR="00BA267C" w:rsidRPr="00E23CED">
        <w:t xml:space="preserve"> a reconciliation process </w:t>
      </w:r>
      <w:r w:rsidR="002429D3" w:rsidRPr="00E23CED">
        <w:t>to ensure nutrient</w:t>
      </w:r>
      <w:r w:rsidR="00004D75" w:rsidRPr="00E23CED">
        <w:t xml:space="preserve"> criteria</w:t>
      </w:r>
      <w:r w:rsidR="002429D3" w:rsidRPr="00E23CED">
        <w:t xml:space="preserve"> outcomes will achieve </w:t>
      </w:r>
      <w:r w:rsidR="00004D75" w:rsidRPr="00E23CED">
        <w:t>TASs</w:t>
      </w:r>
      <w:r w:rsidR="002429D3" w:rsidRPr="00E23CED">
        <w:t xml:space="preserve"> in all parts of the FMU.</w:t>
      </w:r>
      <w:r w:rsidR="00BA267C" w:rsidRPr="00E23CED">
        <w:t xml:space="preserve"> </w:t>
      </w:r>
      <w:r w:rsidR="00F04955" w:rsidRPr="00E23CED">
        <w:t>C</w:t>
      </w:r>
      <w:r w:rsidR="00BA3B5C" w:rsidRPr="00E23CED">
        <w:t>ouncils may undertake this reconciliation process</w:t>
      </w:r>
      <w:r w:rsidR="00F04955" w:rsidRPr="00E23CED">
        <w:t xml:space="preserve"> in various ways</w:t>
      </w:r>
      <w:r w:rsidR="00A50FD4" w:rsidRPr="00E23CED">
        <w:t>. I</w:t>
      </w:r>
      <w:r w:rsidR="00BA3B5C" w:rsidRPr="00E23CED">
        <w:t>t needs to be done in a transparent manner</w:t>
      </w:r>
      <w:r w:rsidR="00F04955" w:rsidRPr="00E23CED">
        <w:t>,</w:t>
      </w:r>
      <w:r w:rsidR="00BA3B5C" w:rsidRPr="00E23CED">
        <w:t xml:space="preserve"> to </w:t>
      </w:r>
      <w:r w:rsidR="00A73659" w:rsidRPr="00E23CED">
        <w:t>identify</w:t>
      </w:r>
      <w:r w:rsidR="00087605" w:rsidRPr="00E23CED">
        <w:t xml:space="preserve"> whether</w:t>
      </w:r>
      <w:r w:rsidR="00A73659" w:rsidRPr="00E23CED">
        <w:t xml:space="preserve"> </w:t>
      </w:r>
      <w:r w:rsidR="00E90EC5" w:rsidRPr="00E23CED">
        <w:t>any nutrient reductions</w:t>
      </w:r>
      <w:r w:rsidR="00AE20E4" w:rsidRPr="00E23CED">
        <w:t xml:space="preserve"> are</w:t>
      </w:r>
      <w:r w:rsidR="00E90EC5" w:rsidRPr="00E23CED">
        <w:t xml:space="preserve"> required to achieve TASs </w:t>
      </w:r>
      <w:r w:rsidR="00772A4E" w:rsidRPr="00E23CED">
        <w:t>throughout the FMU</w:t>
      </w:r>
      <w:r w:rsidRPr="00E23CED">
        <w:t>.</w:t>
      </w:r>
      <w:r w:rsidR="009C5117" w:rsidRPr="00E23CED">
        <w:t xml:space="preserve"> This then forms the basis for </w:t>
      </w:r>
      <w:r w:rsidR="00D76CFC" w:rsidRPr="00E23CED">
        <w:t>investigating limits and</w:t>
      </w:r>
      <w:r w:rsidR="00497474" w:rsidRPr="00E23CED">
        <w:t xml:space="preserve"> </w:t>
      </w:r>
      <w:r w:rsidR="00D76CFC" w:rsidRPr="00E23CED">
        <w:t xml:space="preserve">action plans that may be needed to achieve the </w:t>
      </w:r>
      <w:r w:rsidR="00AE20E4" w:rsidRPr="00E23CED">
        <w:t>required</w:t>
      </w:r>
      <w:r w:rsidR="00FF1256" w:rsidRPr="00E23CED">
        <w:t xml:space="preserve"> nutrient</w:t>
      </w:r>
      <w:r w:rsidR="00AE20E4" w:rsidRPr="00E23CED">
        <w:t xml:space="preserve"> red</w:t>
      </w:r>
      <w:r w:rsidR="00CD49BE" w:rsidRPr="00E23CED">
        <w:t>uctions</w:t>
      </w:r>
      <w:r w:rsidR="0033191E" w:rsidRPr="00E23CED">
        <w:t>.</w:t>
      </w:r>
      <w:r w:rsidR="005B5476" w:rsidRPr="00E23CED">
        <w:t xml:space="preserve"> </w:t>
      </w:r>
    </w:p>
    <w:p w14:paraId="2320CB4F" w14:textId="77777777" w:rsidR="00F74D10" w:rsidRPr="00E23CED" w:rsidRDefault="005B5476" w:rsidP="00C81B50">
      <w:pPr>
        <w:pStyle w:val="BodyText"/>
      </w:pPr>
      <w:r w:rsidRPr="00E23CED">
        <w:t xml:space="preserve">The </w:t>
      </w:r>
      <w:r w:rsidR="000B2A52" w:rsidRPr="00E23CED">
        <w:t xml:space="preserve">reconciliation </w:t>
      </w:r>
      <w:r w:rsidRPr="00E23CED">
        <w:t>process should</w:t>
      </w:r>
      <w:r w:rsidR="006F0A09" w:rsidRPr="00E23CED">
        <w:t xml:space="preserve"> </w:t>
      </w:r>
      <w:r w:rsidR="0044651D" w:rsidRPr="00E23CED">
        <w:t xml:space="preserve">therefore </w:t>
      </w:r>
      <w:r w:rsidRPr="00E23CED">
        <w:t xml:space="preserve">transparently </w:t>
      </w:r>
      <w:r w:rsidR="00B812EE" w:rsidRPr="00E23CED">
        <w:t>demonstrate</w:t>
      </w:r>
      <w:r w:rsidR="004B4F05" w:rsidRPr="00E23CED">
        <w:t xml:space="preserve"> linkages between </w:t>
      </w:r>
      <w:r w:rsidR="001F7D25" w:rsidRPr="00E23CED">
        <w:t>environmental outcomes</w:t>
      </w:r>
      <w:r w:rsidR="000B2A52" w:rsidRPr="00E23CED">
        <w:t>,</w:t>
      </w:r>
      <w:r w:rsidR="001F7D25" w:rsidRPr="00E23CED">
        <w:t xml:space="preserve"> TAS</w:t>
      </w:r>
      <w:r w:rsidR="004B3F8A" w:rsidRPr="00E23CED">
        <w:t>,</w:t>
      </w:r>
      <w:r w:rsidR="00522884" w:rsidRPr="00E23CED">
        <w:t xml:space="preserve"> and </w:t>
      </w:r>
      <w:r w:rsidR="004B4F05" w:rsidRPr="00E23CED">
        <w:t>the</w:t>
      </w:r>
      <w:r w:rsidR="006B448F" w:rsidRPr="00E23CED">
        <w:t xml:space="preserve"> identified</w:t>
      </w:r>
      <w:r w:rsidR="004B4F05" w:rsidRPr="00E23CED">
        <w:t xml:space="preserve"> </w:t>
      </w:r>
      <w:r w:rsidR="001F7D25" w:rsidRPr="00E23CED">
        <w:t>nutrient c</w:t>
      </w:r>
      <w:r w:rsidR="004B4F05" w:rsidRPr="00E23CED">
        <w:t xml:space="preserve">oncentrations </w:t>
      </w:r>
      <w:r w:rsidR="001F7D25" w:rsidRPr="00E23CED">
        <w:t>nee</w:t>
      </w:r>
      <w:r w:rsidR="00522884" w:rsidRPr="00E23CED">
        <w:t>ded to achieve them</w:t>
      </w:r>
      <w:r w:rsidR="006B448F" w:rsidRPr="00E23CED">
        <w:t xml:space="preserve">, any </w:t>
      </w:r>
      <w:r w:rsidR="00664BF9" w:rsidRPr="00E23CED">
        <w:t xml:space="preserve">nutrient load </w:t>
      </w:r>
      <w:r w:rsidR="006B448F" w:rsidRPr="00E23CED">
        <w:t>reductions</w:t>
      </w:r>
      <w:r w:rsidR="00664BF9" w:rsidRPr="00E23CED">
        <w:t xml:space="preserve"> required</w:t>
      </w:r>
      <w:r w:rsidR="004F05F1" w:rsidRPr="00E23CED">
        <w:t xml:space="preserve">, and </w:t>
      </w:r>
      <w:r w:rsidR="005C7CD1" w:rsidRPr="00E23CED">
        <w:t>the</w:t>
      </w:r>
      <w:r w:rsidR="003B2E1E" w:rsidRPr="00E23CED">
        <w:t xml:space="preserve"> resource use </w:t>
      </w:r>
      <w:proofErr w:type="gramStart"/>
      <w:r w:rsidR="003B2E1E" w:rsidRPr="00E23CED">
        <w:t>limits</w:t>
      </w:r>
      <w:proofErr w:type="gramEnd"/>
      <w:r w:rsidR="003B2E1E" w:rsidRPr="00E23CED">
        <w:t xml:space="preserve"> and action </w:t>
      </w:r>
      <w:r w:rsidR="008C7424" w:rsidRPr="00E23CED">
        <w:t>p</w:t>
      </w:r>
      <w:r w:rsidR="003B2E1E" w:rsidRPr="00E23CED">
        <w:t xml:space="preserve">lans </w:t>
      </w:r>
      <w:r w:rsidR="0044651D" w:rsidRPr="00E23CED">
        <w:t xml:space="preserve">needed </w:t>
      </w:r>
      <w:r w:rsidR="003B2E1E" w:rsidRPr="00E23CED">
        <w:t>to achieve those redu</w:t>
      </w:r>
      <w:r w:rsidR="008C7424" w:rsidRPr="00E23CED">
        <w:t>c</w:t>
      </w:r>
      <w:r w:rsidR="003B2E1E" w:rsidRPr="00E23CED">
        <w:t>tions.</w:t>
      </w:r>
      <w:bookmarkStart w:id="130" w:name="table11"/>
      <w:bookmarkEnd w:id="130"/>
    </w:p>
    <w:p w14:paraId="74C93EAC" w14:textId="4BCA18A8" w:rsidR="00C403D0" w:rsidRPr="00E23CED" w:rsidRDefault="00C403D0" w:rsidP="00F74D10">
      <w:pPr>
        <w:pStyle w:val="BodyText"/>
      </w:pPr>
      <w:r w:rsidRPr="00E23CED">
        <w:br w:type="page"/>
      </w:r>
    </w:p>
    <w:p w14:paraId="50487B86" w14:textId="7CF94630" w:rsidR="003D22AA" w:rsidRPr="00E23CED" w:rsidRDefault="003D22AA" w:rsidP="00B00D61">
      <w:pPr>
        <w:pStyle w:val="Heading1"/>
      </w:pPr>
      <w:bookmarkStart w:id="131" w:name="_Toc143077515"/>
      <w:r w:rsidRPr="00E23CED">
        <w:lastRenderedPageBreak/>
        <w:t>References</w:t>
      </w:r>
      <w:bookmarkEnd w:id="131"/>
    </w:p>
    <w:p w14:paraId="19308365" w14:textId="01ECA269" w:rsidR="006D23F3" w:rsidRPr="00E23CED" w:rsidRDefault="006D23F3" w:rsidP="00F74D10">
      <w:pPr>
        <w:pStyle w:val="References"/>
        <w:rPr>
          <w:szCs w:val="20"/>
        </w:rPr>
      </w:pPr>
      <w:r w:rsidRPr="00E23CED">
        <w:rPr>
          <w:szCs w:val="20"/>
        </w:rPr>
        <w:t xml:space="preserve">Biggs BJF. 2000. </w:t>
      </w:r>
      <w:r w:rsidRPr="00E23CED">
        <w:rPr>
          <w:i/>
          <w:szCs w:val="20"/>
        </w:rPr>
        <w:t xml:space="preserve">New Zealand </w:t>
      </w:r>
      <w:r w:rsidR="00215CC7" w:rsidRPr="00E23CED">
        <w:rPr>
          <w:i/>
          <w:szCs w:val="20"/>
        </w:rPr>
        <w:t>p</w:t>
      </w:r>
      <w:r w:rsidRPr="00E23CED">
        <w:rPr>
          <w:i/>
          <w:szCs w:val="20"/>
        </w:rPr>
        <w:t xml:space="preserve">eriphyton </w:t>
      </w:r>
      <w:r w:rsidR="00215CC7" w:rsidRPr="00E23CED">
        <w:rPr>
          <w:i/>
          <w:szCs w:val="20"/>
        </w:rPr>
        <w:t>g</w:t>
      </w:r>
      <w:r w:rsidRPr="00E23CED">
        <w:rPr>
          <w:i/>
          <w:szCs w:val="20"/>
        </w:rPr>
        <w:t xml:space="preserve">uideline: </w:t>
      </w:r>
      <w:r w:rsidR="00215CC7" w:rsidRPr="00E23CED">
        <w:rPr>
          <w:i/>
          <w:szCs w:val="20"/>
        </w:rPr>
        <w:t>d</w:t>
      </w:r>
      <w:r w:rsidRPr="00E23CED">
        <w:rPr>
          <w:i/>
          <w:szCs w:val="20"/>
        </w:rPr>
        <w:t xml:space="preserve">etecting, </w:t>
      </w:r>
      <w:r w:rsidR="00215CC7" w:rsidRPr="00E23CED">
        <w:rPr>
          <w:i/>
          <w:szCs w:val="20"/>
        </w:rPr>
        <w:t>m</w:t>
      </w:r>
      <w:r w:rsidRPr="00E23CED">
        <w:rPr>
          <w:i/>
          <w:szCs w:val="20"/>
        </w:rPr>
        <w:t xml:space="preserve">onitoring and </w:t>
      </w:r>
      <w:r w:rsidR="00215CC7" w:rsidRPr="00E23CED">
        <w:rPr>
          <w:i/>
          <w:szCs w:val="20"/>
        </w:rPr>
        <w:t>m</w:t>
      </w:r>
      <w:r w:rsidRPr="00E23CED">
        <w:rPr>
          <w:i/>
          <w:szCs w:val="20"/>
        </w:rPr>
        <w:t xml:space="preserve">anaging </w:t>
      </w:r>
      <w:r w:rsidR="00215CC7" w:rsidRPr="00E23CED">
        <w:rPr>
          <w:i/>
          <w:szCs w:val="20"/>
        </w:rPr>
        <w:t>e</w:t>
      </w:r>
      <w:r w:rsidRPr="00E23CED">
        <w:rPr>
          <w:i/>
          <w:szCs w:val="20"/>
        </w:rPr>
        <w:t>nrichment of</w:t>
      </w:r>
      <w:r w:rsidR="00CD1426" w:rsidRPr="00E23CED">
        <w:rPr>
          <w:i/>
          <w:szCs w:val="20"/>
        </w:rPr>
        <w:t> </w:t>
      </w:r>
      <w:r w:rsidR="00215CC7" w:rsidRPr="00E23CED">
        <w:rPr>
          <w:i/>
          <w:szCs w:val="20"/>
        </w:rPr>
        <w:t>s</w:t>
      </w:r>
      <w:r w:rsidRPr="00E23CED">
        <w:rPr>
          <w:i/>
          <w:szCs w:val="20"/>
        </w:rPr>
        <w:t>treams</w:t>
      </w:r>
      <w:r w:rsidRPr="00E23CED">
        <w:rPr>
          <w:szCs w:val="20"/>
        </w:rPr>
        <w:t>. Prepared for the Ministry for the Environment by the National Institute of Water and Atmospheric Research. Wellington: Ministry for the Environment.</w:t>
      </w:r>
    </w:p>
    <w:p w14:paraId="38E5A74D" w14:textId="4354F38C" w:rsidR="009840F3" w:rsidRPr="00E23CED" w:rsidRDefault="001B2E56" w:rsidP="00F74D10">
      <w:pPr>
        <w:pStyle w:val="References"/>
        <w:rPr>
          <w:szCs w:val="20"/>
        </w:rPr>
      </w:pPr>
      <w:r w:rsidRPr="00E23CED">
        <w:rPr>
          <w:szCs w:val="20"/>
        </w:rPr>
        <w:t xml:space="preserve">Biggs BJF, Kilroy C. 2000. </w:t>
      </w:r>
      <w:r w:rsidRPr="00E23CED">
        <w:rPr>
          <w:i/>
          <w:iCs/>
          <w:szCs w:val="20"/>
        </w:rPr>
        <w:t xml:space="preserve">Stream </w:t>
      </w:r>
      <w:r w:rsidR="005C3BA9" w:rsidRPr="00E23CED">
        <w:rPr>
          <w:i/>
          <w:iCs/>
          <w:szCs w:val="20"/>
        </w:rPr>
        <w:t>p</w:t>
      </w:r>
      <w:r w:rsidRPr="00E23CED">
        <w:rPr>
          <w:i/>
          <w:iCs/>
          <w:szCs w:val="20"/>
        </w:rPr>
        <w:t xml:space="preserve">eriphyton </w:t>
      </w:r>
      <w:r w:rsidR="005C3BA9" w:rsidRPr="00E23CED">
        <w:rPr>
          <w:i/>
          <w:iCs/>
          <w:szCs w:val="20"/>
        </w:rPr>
        <w:t>m</w:t>
      </w:r>
      <w:r w:rsidRPr="00E23CED">
        <w:rPr>
          <w:i/>
          <w:iCs/>
          <w:szCs w:val="20"/>
        </w:rPr>
        <w:t xml:space="preserve">onitoring </w:t>
      </w:r>
      <w:r w:rsidR="005C3BA9" w:rsidRPr="00E23CED">
        <w:rPr>
          <w:i/>
          <w:iCs/>
          <w:szCs w:val="20"/>
        </w:rPr>
        <w:t>m</w:t>
      </w:r>
      <w:r w:rsidRPr="00E23CED">
        <w:rPr>
          <w:i/>
          <w:iCs/>
          <w:szCs w:val="20"/>
        </w:rPr>
        <w:t>anual</w:t>
      </w:r>
      <w:r w:rsidRPr="00E23CED">
        <w:rPr>
          <w:szCs w:val="20"/>
        </w:rPr>
        <w:t xml:space="preserve">. </w:t>
      </w:r>
      <w:r w:rsidR="0011285A" w:rsidRPr="00E23CED">
        <w:rPr>
          <w:szCs w:val="20"/>
        </w:rPr>
        <w:t>Prepared for the Ministry for the Environment by the National Institute of Water and Atmospheric Research.</w:t>
      </w:r>
      <w:r w:rsidR="00A360E0" w:rsidRPr="00E23CED">
        <w:rPr>
          <w:szCs w:val="20"/>
        </w:rPr>
        <w:t xml:space="preserve"> Well</w:t>
      </w:r>
      <w:r w:rsidR="009840F3" w:rsidRPr="00E23CED">
        <w:rPr>
          <w:szCs w:val="20"/>
        </w:rPr>
        <w:t xml:space="preserve">ington: </w:t>
      </w:r>
      <w:r w:rsidRPr="00E23CED">
        <w:rPr>
          <w:szCs w:val="20"/>
        </w:rPr>
        <w:t>Ministry for the</w:t>
      </w:r>
      <w:r w:rsidR="00CD1426" w:rsidRPr="00E23CED">
        <w:rPr>
          <w:szCs w:val="20"/>
        </w:rPr>
        <w:t> </w:t>
      </w:r>
      <w:r w:rsidRPr="00E23CED">
        <w:rPr>
          <w:szCs w:val="20"/>
        </w:rPr>
        <w:t>Environment</w:t>
      </w:r>
      <w:r w:rsidR="009840F3" w:rsidRPr="00E23CED">
        <w:rPr>
          <w:szCs w:val="20"/>
        </w:rPr>
        <w:t>.</w:t>
      </w:r>
    </w:p>
    <w:p w14:paraId="095CD308" w14:textId="41423C21" w:rsidR="00883085" w:rsidRPr="00E23CED" w:rsidRDefault="00920981" w:rsidP="00F74D10">
      <w:pPr>
        <w:pStyle w:val="References"/>
        <w:rPr>
          <w:szCs w:val="20"/>
          <w:lang w:eastAsia="en-US"/>
        </w:rPr>
      </w:pPr>
      <w:r w:rsidRPr="00E23CED">
        <w:rPr>
          <w:szCs w:val="20"/>
          <w:lang w:eastAsia="en-US"/>
        </w:rPr>
        <w:t>Burge OR, Clarkson BR, Bodmin KA, Bartlam S, Robertson HA, Sukias JPS, Tanner CC. 2020</w:t>
      </w:r>
      <w:r w:rsidR="0057463A" w:rsidRPr="00E23CED">
        <w:rPr>
          <w:szCs w:val="20"/>
          <w:lang w:eastAsia="en-US"/>
        </w:rPr>
        <w:t>.</w:t>
      </w:r>
      <w:r w:rsidRPr="00E23CED">
        <w:rPr>
          <w:szCs w:val="20"/>
          <w:lang w:eastAsia="en-US"/>
        </w:rPr>
        <w:t xml:space="preserve"> Plant responses to nutrient addition and predictive ability of vegetation N:P ratio in an austral fen. </w:t>
      </w:r>
      <w:r w:rsidRPr="00E23CED">
        <w:rPr>
          <w:i/>
          <w:iCs/>
          <w:szCs w:val="20"/>
          <w:lang w:eastAsia="en-US"/>
        </w:rPr>
        <w:t>Freshwater Biology</w:t>
      </w:r>
      <w:r w:rsidRPr="00E23CED">
        <w:rPr>
          <w:szCs w:val="20"/>
          <w:lang w:eastAsia="en-US"/>
        </w:rPr>
        <w:t xml:space="preserve"> 65(4): 646</w:t>
      </w:r>
      <w:r w:rsidR="000E42B9" w:rsidRPr="00E23CED">
        <w:rPr>
          <w:szCs w:val="20"/>
        </w:rPr>
        <w:t>–</w:t>
      </w:r>
      <w:r w:rsidRPr="00E23CED">
        <w:rPr>
          <w:szCs w:val="20"/>
        </w:rPr>
        <w:t>6</w:t>
      </w:r>
      <w:r w:rsidRPr="00E23CED">
        <w:rPr>
          <w:szCs w:val="20"/>
          <w:lang w:eastAsia="en-US"/>
        </w:rPr>
        <w:t xml:space="preserve">56. </w:t>
      </w:r>
    </w:p>
    <w:p w14:paraId="45C8980A" w14:textId="222CE16A" w:rsidR="004F2873" w:rsidRPr="00E23CED" w:rsidRDefault="00885686" w:rsidP="00F74D10">
      <w:pPr>
        <w:pStyle w:val="References"/>
        <w:rPr>
          <w:szCs w:val="20"/>
        </w:rPr>
      </w:pPr>
      <w:r w:rsidRPr="00E23CED">
        <w:rPr>
          <w:szCs w:val="20"/>
        </w:rPr>
        <w:t>Burns NM, Bryers G, Bowman E.</w:t>
      </w:r>
      <w:r w:rsidR="00591864" w:rsidRPr="00E23CED">
        <w:rPr>
          <w:szCs w:val="20"/>
        </w:rPr>
        <w:t xml:space="preserve"> </w:t>
      </w:r>
      <w:r w:rsidRPr="00E23CED">
        <w:rPr>
          <w:szCs w:val="20"/>
        </w:rPr>
        <w:t>2000</w:t>
      </w:r>
      <w:r w:rsidR="00591864" w:rsidRPr="00E23CED">
        <w:rPr>
          <w:szCs w:val="20"/>
        </w:rPr>
        <w:t>.</w:t>
      </w:r>
      <w:r w:rsidRPr="00E23CED">
        <w:rPr>
          <w:szCs w:val="20"/>
        </w:rPr>
        <w:t xml:space="preserve"> </w:t>
      </w:r>
      <w:r w:rsidRPr="00E23CED">
        <w:rPr>
          <w:i/>
          <w:iCs/>
          <w:szCs w:val="20"/>
        </w:rPr>
        <w:t>Protocol for monitoring trophic levels of New Zealand lakes and reservoirs</w:t>
      </w:r>
      <w:r w:rsidRPr="00E23CED">
        <w:rPr>
          <w:szCs w:val="20"/>
        </w:rPr>
        <w:t xml:space="preserve">. </w:t>
      </w:r>
      <w:r w:rsidR="007446D5" w:rsidRPr="00E23CED">
        <w:rPr>
          <w:szCs w:val="20"/>
        </w:rPr>
        <w:t>P</w:t>
      </w:r>
      <w:r w:rsidRPr="00E23CED">
        <w:rPr>
          <w:szCs w:val="20"/>
        </w:rPr>
        <w:t>repared for the Ministry for the Environment</w:t>
      </w:r>
      <w:r w:rsidR="004F2873" w:rsidRPr="00E23CED">
        <w:rPr>
          <w:szCs w:val="20"/>
        </w:rPr>
        <w:t xml:space="preserve"> by</w:t>
      </w:r>
      <w:r w:rsidRPr="00E23CED">
        <w:rPr>
          <w:szCs w:val="20"/>
        </w:rPr>
        <w:t xml:space="preserve"> Lakes Consulting</w:t>
      </w:r>
      <w:r w:rsidR="004F2873" w:rsidRPr="00E23CED">
        <w:rPr>
          <w:szCs w:val="20"/>
        </w:rPr>
        <w:t>. Wellington: Ministry for the Environment.</w:t>
      </w:r>
    </w:p>
    <w:p w14:paraId="4828742A" w14:textId="2CFA20B8" w:rsidR="00B54E55" w:rsidRPr="00E23CED" w:rsidRDefault="00842689" w:rsidP="00F74D10">
      <w:pPr>
        <w:pStyle w:val="References"/>
        <w:rPr>
          <w:szCs w:val="20"/>
        </w:rPr>
      </w:pPr>
      <w:r w:rsidRPr="00E23CED">
        <w:rPr>
          <w:szCs w:val="20"/>
        </w:rPr>
        <w:t xml:space="preserve">Canning AD. 2020. </w:t>
      </w:r>
      <w:r w:rsidRPr="00E23CED">
        <w:rPr>
          <w:i/>
          <w:szCs w:val="20"/>
        </w:rPr>
        <w:t xml:space="preserve">Nutrients in New Zealand </w:t>
      </w:r>
      <w:r w:rsidR="0044651D" w:rsidRPr="00E23CED">
        <w:rPr>
          <w:i/>
          <w:szCs w:val="20"/>
        </w:rPr>
        <w:t>r</w:t>
      </w:r>
      <w:r w:rsidRPr="00E23CED">
        <w:rPr>
          <w:i/>
          <w:szCs w:val="20"/>
        </w:rPr>
        <w:t xml:space="preserve">ivers and </w:t>
      </w:r>
      <w:r w:rsidR="0044651D" w:rsidRPr="00E23CED">
        <w:rPr>
          <w:i/>
          <w:szCs w:val="20"/>
        </w:rPr>
        <w:t>s</w:t>
      </w:r>
      <w:r w:rsidRPr="00E23CED">
        <w:rPr>
          <w:i/>
          <w:szCs w:val="20"/>
        </w:rPr>
        <w:t>treams: An exploration and derivation of national nutrient criteria</w:t>
      </w:r>
      <w:r w:rsidRPr="00E23CED">
        <w:rPr>
          <w:szCs w:val="20"/>
        </w:rPr>
        <w:t xml:space="preserve">. </w:t>
      </w:r>
      <w:r w:rsidR="00B54E55" w:rsidRPr="00E23CED">
        <w:rPr>
          <w:szCs w:val="20"/>
        </w:rPr>
        <w:t>Report to the Minister for the Environment. Wellington: Essential Freshwater Science and Technical Advisory Group.</w:t>
      </w:r>
    </w:p>
    <w:p w14:paraId="7E345CE8" w14:textId="6222D588" w:rsidR="000543C8" w:rsidRPr="00E23CED" w:rsidRDefault="008F0068" w:rsidP="00F74D10">
      <w:pPr>
        <w:pStyle w:val="References"/>
        <w:rPr>
          <w:szCs w:val="20"/>
        </w:rPr>
      </w:pPr>
      <w:r w:rsidRPr="00E23CED">
        <w:rPr>
          <w:szCs w:val="20"/>
        </w:rPr>
        <w:t>Canning AD, Joy MK</w:t>
      </w:r>
      <w:r w:rsidR="00291F4B" w:rsidRPr="00E23CED">
        <w:rPr>
          <w:szCs w:val="20"/>
        </w:rPr>
        <w:t>,</w:t>
      </w:r>
      <w:r w:rsidRPr="00E23CED">
        <w:rPr>
          <w:szCs w:val="20"/>
        </w:rPr>
        <w:t xml:space="preserve"> Death RG. 2021. Nutrient criteria to achieve New Zealand’s riverine macroinvertebrate targets. </w:t>
      </w:r>
      <w:r w:rsidRPr="00E23CED">
        <w:rPr>
          <w:i/>
          <w:iCs/>
          <w:szCs w:val="20"/>
        </w:rPr>
        <w:t>PeerJ</w:t>
      </w:r>
      <w:r w:rsidR="00A250A1" w:rsidRPr="00E23CED">
        <w:rPr>
          <w:szCs w:val="20"/>
        </w:rPr>
        <w:t xml:space="preserve"> </w:t>
      </w:r>
      <w:r w:rsidRPr="00E23CED">
        <w:rPr>
          <w:szCs w:val="20"/>
        </w:rPr>
        <w:t>9</w:t>
      </w:r>
      <w:r w:rsidR="000543C8" w:rsidRPr="00E23CED">
        <w:rPr>
          <w:szCs w:val="20"/>
        </w:rPr>
        <w:t>:</w:t>
      </w:r>
      <w:r w:rsidR="00DA0EC3" w:rsidRPr="00E23CED">
        <w:rPr>
          <w:szCs w:val="20"/>
        </w:rPr>
        <w:t xml:space="preserve"> </w:t>
      </w:r>
      <w:r w:rsidRPr="00E23CED">
        <w:rPr>
          <w:szCs w:val="20"/>
        </w:rPr>
        <w:t xml:space="preserve">e11556. </w:t>
      </w:r>
    </w:p>
    <w:p w14:paraId="63574F99" w14:textId="77777777" w:rsidR="00731F52" w:rsidRPr="00E23CED" w:rsidRDefault="006023FB" w:rsidP="00F74D10">
      <w:pPr>
        <w:pStyle w:val="References"/>
        <w:rPr>
          <w:szCs w:val="20"/>
        </w:rPr>
      </w:pPr>
      <w:r w:rsidRPr="00E23CED">
        <w:rPr>
          <w:szCs w:val="20"/>
        </w:rPr>
        <w:t>Chapra SC, Flynn</w:t>
      </w:r>
      <w:r w:rsidR="00494769" w:rsidRPr="00E23CED">
        <w:rPr>
          <w:szCs w:val="20"/>
        </w:rPr>
        <w:t xml:space="preserve"> </w:t>
      </w:r>
      <w:r w:rsidRPr="00E23CED">
        <w:rPr>
          <w:szCs w:val="20"/>
        </w:rPr>
        <w:t xml:space="preserve">KF, Rutherford JC. 2014. Parsimonious model for assessing nutrient impacts on periphyton-dominated streams. </w:t>
      </w:r>
      <w:r w:rsidRPr="00E23CED">
        <w:rPr>
          <w:i/>
          <w:iCs/>
          <w:szCs w:val="20"/>
        </w:rPr>
        <w:t>Journal of Environment Engineering</w:t>
      </w:r>
      <w:r w:rsidRPr="00E23CED">
        <w:rPr>
          <w:szCs w:val="20"/>
        </w:rPr>
        <w:t xml:space="preserve"> 140</w:t>
      </w:r>
      <w:r w:rsidR="00935B7C" w:rsidRPr="00E23CED">
        <w:rPr>
          <w:szCs w:val="20"/>
        </w:rPr>
        <w:t>(6)</w:t>
      </w:r>
      <w:r w:rsidR="00543B05" w:rsidRPr="00E23CED">
        <w:rPr>
          <w:szCs w:val="20"/>
        </w:rPr>
        <w:t>:</w:t>
      </w:r>
      <w:r w:rsidR="00DA0EC3" w:rsidRPr="00E23CED">
        <w:rPr>
          <w:szCs w:val="20"/>
        </w:rPr>
        <w:t xml:space="preserve"> </w:t>
      </w:r>
      <w:r w:rsidR="001B3D27" w:rsidRPr="00E23CED">
        <w:rPr>
          <w:szCs w:val="20"/>
        </w:rPr>
        <w:t>04014014.</w:t>
      </w:r>
      <w:r w:rsidRPr="00E23CED">
        <w:rPr>
          <w:szCs w:val="20"/>
        </w:rPr>
        <w:t xml:space="preserve"> </w:t>
      </w:r>
    </w:p>
    <w:p w14:paraId="176BD91E" w14:textId="2E689286" w:rsidR="00871532" w:rsidRPr="00E23CED" w:rsidRDefault="00A45F82" w:rsidP="00F74D10">
      <w:pPr>
        <w:pStyle w:val="References"/>
        <w:rPr>
          <w:szCs w:val="20"/>
        </w:rPr>
      </w:pPr>
      <w:r w:rsidRPr="00E23CED">
        <w:rPr>
          <w:szCs w:val="20"/>
        </w:rPr>
        <w:t>Clapcott JE, Young RG, Harding JS, Matthaei CD, Quinn JM and Death RG. 2011</w:t>
      </w:r>
      <w:r w:rsidR="00A0310C" w:rsidRPr="00E23CED">
        <w:rPr>
          <w:szCs w:val="20"/>
        </w:rPr>
        <w:t>.</w:t>
      </w:r>
      <w:r w:rsidRPr="00E23CED">
        <w:rPr>
          <w:szCs w:val="20"/>
        </w:rPr>
        <w:t xml:space="preserve"> </w:t>
      </w:r>
      <w:r w:rsidRPr="00E23CED">
        <w:rPr>
          <w:i/>
          <w:iCs/>
          <w:szCs w:val="20"/>
        </w:rPr>
        <w:t>Sediment Assessment Methods: Protocols and guidelines for assessing the effects of deposited fine sediment on in-stream values</w:t>
      </w:r>
      <w:r w:rsidRPr="00E23CED">
        <w:rPr>
          <w:szCs w:val="20"/>
        </w:rPr>
        <w:t>.</w:t>
      </w:r>
      <w:r w:rsidR="00060D3A" w:rsidRPr="00E23CED">
        <w:rPr>
          <w:szCs w:val="20"/>
        </w:rPr>
        <w:t xml:space="preserve"> Nelson:</w:t>
      </w:r>
      <w:r w:rsidRPr="00E23CED">
        <w:rPr>
          <w:szCs w:val="20"/>
        </w:rPr>
        <w:t xml:space="preserve"> Cawthron Institute.</w:t>
      </w:r>
    </w:p>
    <w:p w14:paraId="22879116" w14:textId="4F1D5AB4" w:rsidR="002A6A39" w:rsidRPr="00E23CED" w:rsidRDefault="00B649E3" w:rsidP="00F74D10">
      <w:pPr>
        <w:pStyle w:val="References"/>
        <w:rPr>
          <w:szCs w:val="20"/>
        </w:rPr>
      </w:pPr>
      <w:r w:rsidRPr="00E23CED">
        <w:rPr>
          <w:szCs w:val="20"/>
        </w:rPr>
        <w:t>Elser JJ, Bracken MES, Cleland EE, Gruner DS, Harpole WS, Hillebrand H, Ngai JT, Seabloom EW, Shurin JB</w:t>
      </w:r>
      <w:r w:rsidR="00215CC7" w:rsidRPr="00E23CED">
        <w:rPr>
          <w:szCs w:val="20"/>
        </w:rPr>
        <w:t>,</w:t>
      </w:r>
      <w:r w:rsidR="0011320C" w:rsidRPr="00E23CED">
        <w:rPr>
          <w:szCs w:val="20"/>
        </w:rPr>
        <w:t xml:space="preserve"> </w:t>
      </w:r>
      <w:r w:rsidRPr="00E23CED">
        <w:rPr>
          <w:szCs w:val="20"/>
        </w:rPr>
        <w:t>Smith JE. 2007. Global analysis of nitrogen and phosphorus limitation of primary producers in freshwater, marine and terrestrial ecosystems</w:t>
      </w:r>
      <w:r w:rsidRPr="00E23CED">
        <w:rPr>
          <w:i/>
          <w:szCs w:val="20"/>
        </w:rPr>
        <w:t>. Ecology Letters</w:t>
      </w:r>
      <w:r w:rsidRPr="00E23CED">
        <w:rPr>
          <w:szCs w:val="20"/>
        </w:rPr>
        <w:t xml:space="preserve"> 10(12)</w:t>
      </w:r>
      <w:r w:rsidR="001F6EEA" w:rsidRPr="00E23CED">
        <w:rPr>
          <w:szCs w:val="20"/>
        </w:rPr>
        <w:t>:</w:t>
      </w:r>
      <w:r w:rsidRPr="00E23CED">
        <w:rPr>
          <w:szCs w:val="20"/>
        </w:rPr>
        <w:t xml:space="preserve"> 1135</w:t>
      </w:r>
      <w:r w:rsidR="00215CC7" w:rsidRPr="00E23CED">
        <w:rPr>
          <w:szCs w:val="20"/>
        </w:rPr>
        <w:t>–</w:t>
      </w:r>
      <w:r w:rsidRPr="00E23CED">
        <w:rPr>
          <w:szCs w:val="20"/>
        </w:rPr>
        <w:t xml:space="preserve">1142. </w:t>
      </w:r>
    </w:p>
    <w:p w14:paraId="20A6F825" w14:textId="19BC4333" w:rsidR="00825933" w:rsidRPr="00E23CED" w:rsidRDefault="009756A5" w:rsidP="00F74D10">
      <w:pPr>
        <w:pStyle w:val="References"/>
        <w:rPr>
          <w:rStyle w:val="Hyperlink"/>
          <w:rFonts w:cstheme="minorHAnsi"/>
          <w:color w:val="auto"/>
          <w:szCs w:val="20"/>
        </w:rPr>
      </w:pPr>
      <w:r w:rsidRPr="00E23CED">
        <w:rPr>
          <w:rStyle w:val="Hyperlink"/>
          <w:rFonts w:cstheme="minorHAnsi"/>
          <w:color w:val="auto"/>
          <w:szCs w:val="20"/>
        </w:rPr>
        <w:t>N</w:t>
      </w:r>
      <w:r w:rsidR="00921C30" w:rsidRPr="00E23CED">
        <w:rPr>
          <w:rStyle w:val="Hyperlink"/>
          <w:rFonts w:cstheme="minorHAnsi"/>
          <w:color w:val="auto"/>
          <w:szCs w:val="20"/>
        </w:rPr>
        <w:t xml:space="preserve">ational Institute of Water and Atmospheric Research (NIWA). </w:t>
      </w:r>
      <w:hyperlink r:id="rId75" w:history="1">
        <w:r w:rsidR="004F47D4" w:rsidRPr="00E23CED">
          <w:rPr>
            <w:rStyle w:val="Hyperlink"/>
            <w:rFonts w:cstheme="minorHAnsi"/>
            <w:i/>
            <w:iCs/>
            <w:szCs w:val="20"/>
          </w:rPr>
          <w:t>The New Zealand Estuary Trophic Index</w:t>
        </w:r>
        <w:r w:rsidR="004F47D4" w:rsidRPr="00E23CED">
          <w:rPr>
            <w:rStyle w:val="Hyperlink"/>
            <w:rFonts w:cstheme="minorHAnsi"/>
            <w:color w:val="auto"/>
            <w:szCs w:val="20"/>
          </w:rPr>
          <w:t>.</w:t>
        </w:r>
      </w:hyperlink>
      <w:r w:rsidR="004F47D4" w:rsidRPr="00E23CED">
        <w:rPr>
          <w:rStyle w:val="Hyperlink"/>
          <w:rFonts w:cstheme="minorHAnsi"/>
          <w:i/>
          <w:iCs/>
          <w:color w:val="auto"/>
          <w:szCs w:val="20"/>
        </w:rPr>
        <w:t xml:space="preserve"> </w:t>
      </w:r>
      <w:r w:rsidR="004F47D4" w:rsidRPr="00E23CED">
        <w:rPr>
          <w:rStyle w:val="Hyperlink"/>
          <w:rFonts w:cstheme="minorHAnsi"/>
          <w:color w:val="auto"/>
          <w:szCs w:val="20"/>
        </w:rPr>
        <w:t xml:space="preserve">Retrieved </w:t>
      </w:r>
      <w:r w:rsidR="00017E27" w:rsidRPr="00E23CED">
        <w:rPr>
          <w:rStyle w:val="Hyperlink"/>
          <w:rFonts w:cstheme="minorHAnsi"/>
          <w:color w:val="auto"/>
          <w:szCs w:val="20"/>
        </w:rPr>
        <w:t xml:space="preserve">31 July 2023. </w:t>
      </w:r>
    </w:p>
    <w:p w14:paraId="3CE2C4B4" w14:textId="052C00F7" w:rsidR="003E5F11" w:rsidRPr="00E23CED" w:rsidRDefault="003E5F11" w:rsidP="00F74D10">
      <w:pPr>
        <w:pStyle w:val="References"/>
        <w:rPr>
          <w:rStyle w:val="Hyperlink"/>
          <w:rFonts w:cstheme="minorHAnsi"/>
          <w:color w:val="auto"/>
          <w:szCs w:val="20"/>
        </w:rPr>
      </w:pPr>
      <w:r w:rsidRPr="00E23CED">
        <w:rPr>
          <w:rStyle w:val="Hyperlink"/>
          <w:rFonts w:cstheme="minorHAnsi"/>
          <w:color w:val="auto"/>
          <w:szCs w:val="20"/>
        </w:rPr>
        <w:t>Eppley RW, Rogers JN, McCarthy JJ</w:t>
      </w:r>
      <w:r w:rsidR="002A6A39" w:rsidRPr="00E23CED">
        <w:rPr>
          <w:rStyle w:val="Hyperlink"/>
          <w:rFonts w:cstheme="minorHAnsi"/>
          <w:color w:val="auto"/>
          <w:szCs w:val="20"/>
        </w:rPr>
        <w:t>.</w:t>
      </w:r>
      <w:r w:rsidRPr="00E23CED">
        <w:rPr>
          <w:rStyle w:val="Hyperlink"/>
          <w:rFonts w:cstheme="minorHAnsi"/>
          <w:color w:val="auto"/>
          <w:szCs w:val="20"/>
        </w:rPr>
        <w:t xml:space="preserve"> 1969. Half-saturation constants for uptake of nitrate and </w:t>
      </w:r>
      <w:r w:rsidRPr="00E23CED">
        <w:rPr>
          <w:rStyle w:val="Hyperlink"/>
          <w:color w:val="auto"/>
          <w:szCs w:val="20"/>
        </w:rPr>
        <w:t>ammonia</w:t>
      </w:r>
      <w:r w:rsidRPr="00E23CED">
        <w:rPr>
          <w:rStyle w:val="Hyperlink"/>
          <w:rFonts w:cstheme="minorHAnsi"/>
          <w:color w:val="auto"/>
          <w:szCs w:val="20"/>
        </w:rPr>
        <w:t xml:space="preserve"> by marine phytoplankton. </w:t>
      </w:r>
      <w:r w:rsidRPr="00E23CED">
        <w:rPr>
          <w:rStyle w:val="Hyperlink"/>
          <w:rFonts w:cstheme="minorHAnsi"/>
          <w:i/>
          <w:color w:val="auto"/>
          <w:szCs w:val="20"/>
        </w:rPr>
        <w:t xml:space="preserve">Limnology and </w:t>
      </w:r>
      <w:r w:rsidRPr="00E23CED">
        <w:rPr>
          <w:i/>
          <w:szCs w:val="20"/>
        </w:rPr>
        <w:t>Oceanography</w:t>
      </w:r>
      <w:r w:rsidRPr="00E23CED">
        <w:rPr>
          <w:rStyle w:val="Hyperlink"/>
          <w:rFonts w:cstheme="minorHAnsi"/>
          <w:color w:val="auto"/>
          <w:szCs w:val="20"/>
        </w:rPr>
        <w:t xml:space="preserve"> 14</w:t>
      </w:r>
      <w:r w:rsidR="00EB6FEA" w:rsidRPr="00E23CED">
        <w:rPr>
          <w:rStyle w:val="Hyperlink"/>
          <w:rFonts w:cstheme="minorHAnsi"/>
          <w:color w:val="auto"/>
          <w:szCs w:val="20"/>
        </w:rPr>
        <w:t>(6)</w:t>
      </w:r>
      <w:r w:rsidRPr="00E23CED">
        <w:rPr>
          <w:rStyle w:val="Hyperlink"/>
          <w:rFonts w:cstheme="minorHAnsi"/>
          <w:color w:val="auto"/>
          <w:szCs w:val="20"/>
        </w:rPr>
        <w:t>: 912</w:t>
      </w:r>
      <w:r w:rsidR="0044651D" w:rsidRPr="00E23CED">
        <w:rPr>
          <w:rStyle w:val="Hyperlink"/>
          <w:rFonts w:cstheme="minorHAnsi"/>
          <w:color w:val="auto"/>
          <w:szCs w:val="20"/>
        </w:rPr>
        <w:t>–</w:t>
      </w:r>
      <w:r w:rsidRPr="00E23CED">
        <w:rPr>
          <w:rStyle w:val="Hyperlink"/>
          <w:rFonts w:cstheme="minorHAnsi"/>
          <w:color w:val="auto"/>
          <w:szCs w:val="20"/>
        </w:rPr>
        <w:t>920.</w:t>
      </w:r>
    </w:p>
    <w:p w14:paraId="7D7223FC" w14:textId="2CC3F4B7" w:rsidR="00B12201" w:rsidRPr="00E23CED" w:rsidRDefault="00B2124D" w:rsidP="00F74D10">
      <w:pPr>
        <w:pStyle w:val="References"/>
        <w:rPr>
          <w:szCs w:val="20"/>
          <w:lang w:eastAsia="en-US"/>
        </w:rPr>
      </w:pPr>
      <w:r w:rsidRPr="00E23CED">
        <w:rPr>
          <w:szCs w:val="20"/>
          <w:lang w:eastAsia="en-US"/>
        </w:rPr>
        <w:t xml:space="preserve">Fenwick GD, Greenwood MJ, Hogg </w:t>
      </w:r>
      <w:r w:rsidR="00EB6FEA" w:rsidRPr="00E23CED">
        <w:rPr>
          <w:szCs w:val="20"/>
          <w:lang w:eastAsia="en-US"/>
        </w:rPr>
        <w:t>I</w:t>
      </w:r>
      <w:r w:rsidRPr="00E23CED">
        <w:rPr>
          <w:szCs w:val="20"/>
          <w:lang w:eastAsia="en-US"/>
        </w:rPr>
        <w:t>D, Meyer SJ. 2021</w:t>
      </w:r>
      <w:r w:rsidR="00EB6FEA" w:rsidRPr="00E23CED">
        <w:rPr>
          <w:szCs w:val="20"/>
          <w:lang w:eastAsia="en-US"/>
        </w:rPr>
        <w:t>.</w:t>
      </w:r>
      <w:r w:rsidRPr="00E23CED">
        <w:rPr>
          <w:szCs w:val="20"/>
          <w:lang w:eastAsia="en-US"/>
        </w:rPr>
        <w:t xml:space="preserve"> High diversity</w:t>
      </w:r>
      <w:r w:rsidR="00EB6FEA" w:rsidRPr="00E23CED">
        <w:rPr>
          <w:szCs w:val="20"/>
          <w:lang w:eastAsia="en-US"/>
        </w:rPr>
        <w:t xml:space="preserve"> </w:t>
      </w:r>
      <w:r w:rsidRPr="00E23CED">
        <w:rPr>
          <w:szCs w:val="20"/>
          <w:lang w:eastAsia="en-US"/>
        </w:rPr>
        <w:t>and local endemism in Aotearoa New Zealand</w:t>
      </w:r>
      <w:r w:rsidR="007078C3" w:rsidRPr="00E23CED">
        <w:rPr>
          <w:szCs w:val="20"/>
          <w:lang w:eastAsia="en-US"/>
        </w:rPr>
        <w:t>’</w:t>
      </w:r>
      <w:r w:rsidRPr="00E23CED">
        <w:rPr>
          <w:szCs w:val="20"/>
          <w:lang w:eastAsia="en-US"/>
        </w:rPr>
        <w:t xml:space="preserve">s groundwater crustacean fauna. </w:t>
      </w:r>
      <w:r w:rsidRPr="00E23CED">
        <w:rPr>
          <w:i/>
          <w:iCs/>
          <w:szCs w:val="20"/>
          <w:lang w:eastAsia="en-US"/>
        </w:rPr>
        <w:t>Ecology and Evolution</w:t>
      </w:r>
      <w:r w:rsidRPr="00E23CED">
        <w:rPr>
          <w:szCs w:val="20"/>
          <w:lang w:eastAsia="en-US"/>
        </w:rPr>
        <w:t xml:space="preserve"> 11(22): 15664</w:t>
      </w:r>
      <w:r w:rsidR="000E42B9" w:rsidRPr="00E23CED">
        <w:rPr>
          <w:szCs w:val="20"/>
          <w:lang w:eastAsia="en-US"/>
        </w:rPr>
        <w:t>–</w:t>
      </w:r>
      <w:r w:rsidRPr="00E23CED">
        <w:rPr>
          <w:szCs w:val="20"/>
          <w:lang w:eastAsia="en-US"/>
        </w:rPr>
        <w:t xml:space="preserve">15682. </w:t>
      </w:r>
    </w:p>
    <w:p w14:paraId="34308166" w14:textId="6813E6D9" w:rsidR="00AF42BB" w:rsidRPr="00E23CED" w:rsidRDefault="00AF42BB" w:rsidP="00F74D10">
      <w:pPr>
        <w:pStyle w:val="References"/>
        <w:rPr>
          <w:szCs w:val="20"/>
        </w:rPr>
      </w:pPr>
      <w:r w:rsidRPr="00E23CED">
        <w:rPr>
          <w:szCs w:val="20"/>
        </w:rPr>
        <w:t>Ferreira</w:t>
      </w:r>
      <w:r w:rsidR="00B12201" w:rsidRPr="00E23CED">
        <w:rPr>
          <w:szCs w:val="20"/>
        </w:rPr>
        <w:t xml:space="preserve"> </w:t>
      </w:r>
      <w:r w:rsidRPr="00E23CED">
        <w:rPr>
          <w:szCs w:val="20"/>
        </w:rPr>
        <w:t>JG, Wolff</w:t>
      </w:r>
      <w:r w:rsidR="00B12201" w:rsidRPr="00E23CED">
        <w:rPr>
          <w:szCs w:val="20"/>
        </w:rPr>
        <w:t xml:space="preserve"> WG</w:t>
      </w:r>
      <w:r w:rsidRPr="00E23CED">
        <w:rPr>
          <w:szCs w:val="20"/>
        </w:rPr>
        <w:t>, Simas</w:t>
      </w:r>
      <w:r w:rsidR="00B12201" w:rsidRPr="00E23CED">
        <w:rPr>
          <w:szCs w:val="20"/>
        </w:rPr>
        <w:t xml:space="preserve"> TC</w:t>
      </w:r>
      <w:r w:rsidRPr="00E23CED">
        <w:rPr>
          <w:szCs w:val="20"/>
        </w:rPr>
        <w:t xml:space="preserve">, Bricker SB. 2005. Does biodiversity of estuarine phytoplankton depend on hydrology? </w:t>
      </w:r>
      <w:r w:rsidRPr="00E23CED">
        <w:rPr>
          <w:i/>
          <w:szCs w:val="20"/>
        </w:rPr>
        <w:t>Ecological Modelling</w:t>
      </w:r>
      <w:r w:rsidRPr="00E23CED">
        <w:rPr>
          <w:szCs w:val="20"/>
        </w:rPr>
        <w:t xml:space="preserve"> 187</w:t>
      </w:r>
      <w:r w:rsidR="009F138B" w:rsidRPr="00E23CED">
        <w:rPr>
          <w:szCs w:val="20"/>
        </w:rPr>
        <w:t>(4)</w:t>
      </w:r>
      <w:r w:rsidRPr="00E23CED">
        <w:rPr>
          <w:szCs w:val="20"/>
        </w:rPr>
        <w:t>: 513</w:t>
      </w:r>
      <w:r w:rsidR="0044651D" w:rsidRPr="00E23CED">
        <w:rPr>
          <w:szCs w:val="20"/>
        </w:rPr>
        <w:t>–</w:t>
      </w:r>
      <w:r w:rsidRPr="00E23CED">
        <w:rPr>
          <w:szCs w:val="20"/>
        </w:rPr>
        <w:t>523.</w:t>
      </w:r>
    </w:p>
    <w:p w14:paraId="3C27DCE0" w14:textId="065FE3DC" w:rsidR="0095200B" w:rsidRPr="00E23CED" w:rsidRDefault="0095200B" w:rsidP="00F74D10">
      <w:pPr>
        <w:pStyle w:val="References"/>
        <w:rPr>
          <w:szCs w:val="20"/>
        </w:rPr>
      </w:pPr>
      <w:r w:rsidRPr="00E23CED">
        <w:rPr>
          <w:szCs w:val="20"/>
        </w:rPr>
        <w:t xml:space="preserve">Freshwater Science and Technical Advisory Group. 2019. </w:t>
      </w:r>
      <w:r w:rsidRPr="00E23CED">
        <w:rPr>
          <w:i/>
          <w:iCs/>
          <w:szCs w:val="20"/>
        </w:rPr>
        <w:t>Report to the Minister for the Environment</w:t>
      </w:r>
      <w:r w:rsidRPr="00E23CED">
        <w:rPr>
          <w:szCs w:val="20"/>
        </w:rPr>
        <w:t>. Wellington: Freshwater Science and Technical Advisory Group.</w:t>
      </w:r>
    </w:p>
    <w:p w14:paraId="18D1852B" w14:textId="103391E5" w:rsidR="00E81642" w:rsidRPr="00E23CED" w:rsidRDefault="00E81642" w:rsidP="00F74D10">
      <w:pPr>
        <w:pStyle w:val="References"/>
        <w:rPr>
          <w:szCs w:val="20"/>
        </w:rPr>
      </w:pPr>
      <w:r w:rsidRPr="00E23CED">
        <w:rPr>
          <w:szCs w:val="20"/>
        </w:rPr>
        <w:t xml:space="preserve">Freshwater Science and Technical Advisory Group. 2020. </w:t>
      </w:r>
      <w:r w:rsidRPr="00E23CED">
        <w:rPr>
          <w:i/>
          <w:iCs/>
          <w:szCs w:val="20"/>
        </w:rPr>
        <w:t>Supplementary report to the Minister for the Environment</w:t>
      </w:r>
      <w:r w:rsidRPr="00E23CED">
        <w:rPr>
          <w:szCs w:val="20"/>
        </w:rPr>
        <w:t>. Wellington: Freshwater Science and Technical Advisory Group.</w:t>
      </w:r>
    </w:p>
    <w:p w14:paraId="03610E88" w14:textId="5E8BFC08" w:rsidR="006D5ACE" w:rsidRPr="00E23CED" w:rsidRDefault="006D5ACE" w:rsidP="00F74D10">
      <w:pPr>
        <w:pStyle w:val="References"/>
        <w:rPr>
          <w:szCs w:val="20"/>
        </w:rPr>
      </w:pPr>
      <w:r w:rsidRPr="00E23CED">
        <w:rPr>
          <w:szCs w:val="20"/>
        </w:rPr>
        <w:t xml:space="preserve">Howarth RW, Marino R. 2006. Nitrogen as the limiting nutrient for eutrophication in coastal marine ecosystems: evolving views over three decades. </w:t>
      </w:r>
      <w:r w:rsidRPr="00E23CED">
        <w:rPr>
          <w:i/>
          <w:iCs/>
          <w:szCs w:val="20"/>
        </w:rPr>
        <w:t>Limnology and Oceanography</w:t>
      </w:r>
      <w:r w:rsidRPr="00E23CED">
        <w:rPr>
          <w:szCs w:val="20"/>
        </w:rPr>
        <w:t xml:space="preserve"> 51</w:t>
      </w:r>
      <w:r w:rsidR="004100E1" w:rsidRPr="00E23CED">
        <w:rPr>
          <w:szCs w:val="20"/>
        </w:rPr>
        <w:t>(1, part 2)</w:t>
      </w:r>
      <w:r w:rsidRPr="00E23CED">
        <w:rPr>
          <w:szCs w:val="20"/>
        </w:rPr>
        <w:t>: 364</w:t>
      </w:r>
      <w:r w:rsidR="00825933" w:rsidRPr="00E23CED">
        <w:rPr>
          <w:szCs w:val="20"/>
        </w:rPr>
        <w:t>–</w:t>
      </w:r>
      <w:r w:rsidRPr="00E23CED">
        <w:rPr>
          <w:szCs w:val="20"/>
        </w:rPr>
        <w:t>376.</w:t>
      </w:r>
    </w:p>
    <w:p w14:paraId="10B1CA1F" w14:textId="4039896A" w:rsidR="000A66CC" w:rsidRPr="00E23CED" w:rsidRDefault="00935E0C" w:rsidP="006B714B">
      <w:pPr>
        <w:pStyle w:val="References"/>
        <w:rPr>
          <w:szCs w:val="20"/>
        </w:rPr>
      </w:pPr>
      <w:r w:rsidRPr="00E23CED">
        <w:rPr>
          <w:spacing w:val="-2"/>
          <w:szCs w:val="20"/>
        </w:rPr>
        <w:t>Iannino A, Vosshage ATL, Weitere M</w:t>
      </w:r>
      <w:r w:rsidR="000A66CC" w:rsidRPr="00E23CED">
        <w:rPr>
          <w:spacing w:val="-2"/>
          <w:szCs w:val="20"/>
        </w:rPr>
        <w:t>,</w:t>
      </w:r>
      <w:r w:rsidRPr="00E23CED">
        <w:rPr>
          <w:spacing w:val="-2"/>
          <w:szCs w:val="20"/>
        </w:rPr>
        <w:t xml:space="preserve"> Fink P. 2020. Taxonomic </w:t>
      </w:r>
      <w:r w:rsidR="00215CC7" w:rsidRPr="00E23CED">
        <w:rPr>
          <w:spacing w:val="-2"/>
          <w:szCs w:val="20"/>
        </w:rPr>
        <w:t>s</w:t>
      </w:r>
      <w:r w:rsidRPr="00E23CED">
        <w:rPr>
          <w:spacing w:val="-2"/>
          <w:szCs w:val="20"/>
        </w:rPr>
        <w:t xml:space="preserve">hift </w:t>
      </w:r>
      <w:r w:rsidR="00215CC7" w:rsidRPr="00E23CED">
        <w:rPr>
          <w:spacing w:val="-2"/>
          <w:szCs w:val="20"/>
        </w:rPr>
        <w:t>o</w:t>
      </w:r>
      <w:r w:rsidRPr="00E23CED">
        <w:rPr>
          <w:spacing w:val="-2"/>
          <w:szCs w:val="20"/>
        </w:rPr>
        <w:t xml:space="preserve">ver a </w:t>
      </w:r>
      <w:r w:rsidR="00215CC7" w:rsidRPr="00E23CED">
        <w:rPr>
          <w:spacing w:val="-2"/>
          <w:szCs w:val="20"/>
        </w:rPr>
        <w:t>p</w:t>
      </w:r>
      <w:r w:rsidRPr="00E23CED">
        <w:rPr>
          <w:spacing w:val="-2"/>
          <w:szCs w:val="20"/>
        </w:rPr>
        <w:t xml:space="preserve">hosphorus </w:t>
      </w:r>
      <w:r w:rsidR="00215CC7" w:rsidRPr="00E23CED">
        <w:rPr>
          <w:spacing w:val="-2"/>
          <w:szCs w:val="20"/>
        </w:rPr>
        <w:t>g</w:t>
      </w:r>
      <w:r w:rsidRPr="00E23CED">
        <w:rPr>
          <w:spacing w:val="-2"/>
          <w:szCs w:val="20"/>
        </w:rPr>
        <w:t xml:space="preserve">radient </w:t>
      </w:r>
      <w:r w:rsidR="00215CC7" w:rsidRPr="00E23CED">
        <w:rPr>
          <w:spacing w:val="-2"/>
          <w:szCs w:val="20"/>
        </w:rPr>
        <w:t>a</w:t>
      </w:r>
      <w:r w:rsidRPr="00E23CED">
        <w:rPr>
          <w:spacing w:val="-2"/>
          <w:szCs w:val="20"/>
        </w:rPr>
        <w:t>ffects th</w:t>
      </w:r>
      <w:r w:rsidRPr="00E23CED">
        <w:rPr>
          <w:szCs w:val="20"/>
        </w:rPr>
        <w:t xml:space="preserve">e </w:t>
      </w:r>
      <w:r w:rsidR="00215CC7" w:rsidRPr="00E23CED">
        <w:rPr>
          <w:szCs w:val="20"/>
        </w:rPr>
        <w:t>s</w:t>
      </w:r>
      <w:r w:rsidRPr="00E23CED">
        <w:rPr>
          <w:szCs w:val="20"/>
        </w:rPr>
        <w:t xml:space="preserve">toichiometry and </w:t>
      </w:r>
      <w:r w:rsidR="00215CC7" w:rsidRPr="00E23CED">
        <w:rPr>
          <w:szCs w:val="20"/>
        </w:rPr>
        <w:t>f</w:t>
      </w:r>
      <w:r w:rsidRPr="00E23CED">
        <w:rPr>
          <w:szCs w:val="20"/>
        </w:rPr>
        <w:t xml:space="preserve">atty </w:t>
      </w:r>
      <w:r w:rsidR="00215CC7" w:rsidRPr="00E23CED">
        <w:rPr>
          <w:szCs w:val="20"/>
        </w:rPr>
        <w:t>a</w:t>
      </w:r>
      <w:r w:rsidRPr="00E23CED">
        <w:rPr>
          <w:szCs w:val="20"/>
        </w:rPr>
        <w:t xml:space="preserve">cid </w:t>
      </w:r>
      <w:r w:rsidR="00215CC7" w:rsidRPr="00E23CED">
        <w:rPr>
          <w:szCs w:val="20"/>
        </w:rPr>
        <w:t>c</w:t>
      </w:r>
      <w:r w:rsidRPr="00E23CED">
        <w:rPr>
          <w:szCs w:val="20"/>
        </w:rPr>
        <w:t xml:space="preserve">omposition of </w:t>
      </w:r>
      <w:r w:rsidR="00215CC7" w:rsidRPr="00E23CED">
        <w:rPr>
          <w:szCs w:val="20"/>
        </w:rPr>
        <w:t>s</w:t>
      </w:r>
      <w:r w:rsidRPr="00E23CED">
        <w:rPr>
          <w:szCs w:val="20"/>
        </w:rPr>
        <w:t xml:space="preserve">tream </w:t>
      </w:r>
      <w:r w:rsidR="00215CC7" w:rsidRPr="00E23CED">
        <w:rPr>
          <w:szCs w:val="20"/>
        </w:rPr>
        <w:t>p</w:t>
      </w:r>
      <w:r w:rsidRPr="00E23CED">
        <w:rPr>
          <w:szCs w:val="20"/>
        </w:rPr>
        <w:t xml:space="preserve">eriphyton. </w:t>
      </w:r>
      <w:r w:rsidRPr="00E23CED">
        <w:rPr>
          <w:i/>
          <w:iCs/>
          <w:szCs w:val="20"/>
        </w:rPr>
        <w:t>Journal of Phycology</w:t>
      </w:r>
      <w:r w:rsidRPr="00E23CED">
        <w:rPr>
          <w:szCs w:val="20"/>
        </w:rPr>
        <w:t xml:space="preserve"> 56(6)</w:t>
      </w:r>
      <w:r w:rsidR="000A66CC" w:rsidRPr="00E23CED">
        <w:rPr>
          <w:szCs w:val="20"/>
        </w:rPr>
        <w:t>:</w:t>
      </w:r>
      <w:r w:rsidRPr="00E23CED">
        <w:rPr>
          <w:szCs w:val="20"/>
        </w:rPr>
        <w:t xml:space="preserve"> 1687</w:t>
      </w:r>
      <w:r w:rsidR="00215CC7" w:rsidRPr="00E23CED">
        <w:rPr>
          <w:szCs w:val="20"/>
        </w:rPr>
        <w:t>–</w:t>
      </w:r>
      <w:r w:rsidRPr="00E23CED">
        <w:rPr>
          <w:szCs w:val="20"/>
        </w:rPr>
        <w:t xml:space="preserve">1695. </w:t>
      </w:r>
    </w:p>
    <w:p w14:paraId="72DFDC06" w14:textId="7A5970DC" w:rsidR="00E24BA4" w:rsidRPr="00E23CED" w:rsidRDefault="00E24BA4" w:rsidP="00F74D10">
      <w:pPr>
        <w:pStyle w:val="References"/>
        <w:rPr>
          <w:szCs w:val="20"/>
        </w:rPr>
      </w:pPr>
      <w:r w:rsidRPr="00E23CED">
        <w:rPr>
          <w:szCs w:val="20"/>
        </w:rPr>
        <w:t xml:space="preserve">Johnson P, Gerbeaux P. 2004. </w:t>
      </w:r>
      <w:r w:rsidRPr="00E23CED">
        <w:rPr>
          <w:i/>
          <w:iCs/>
          <w:szCs w:val="20"/>
        </w:rPr>
        <w:t>Wetland types in New Zealand</w:t>
      </w:r>
      <w:r w:rsidRPr="00E23CED">
        <w:rPr>
          <w:szCs w:val="20"/>
        </w:rPr>
        <w:t>. Wellington</w:t>
      </w:r>
      <w:r w:rsidR="00FD6C87" w:rsidRPr="00E23CED">
        <w:rPr>
          <w:szCs w:val="20"/>
        </w:rPr>
        <w:t>:</w:t>
      </w:r>
      <w:r w:rsidRPr="00E23CED">
        <w:rPr>
          <w:szCs w:val="20"/>
        </w:rPr>
        <w:t xml:space="preserve"> Department of Conservation Te Papa Atawhai.</w:t>
      </w:r>
    </w:p>
    <w:p w14:paraId="0E856833" w14:textId="37FEE8EC" w:rsidR="00DD6860" w:rsidRPr="00E23CED" w:rsidRDefault="00EC6528" w:rsidP="00F74D10">
      <w:pPr>
        <w:pStyle w:val="References"/>
        <w:rPr>
          <w:szCs w:val="20"/>
        </w:rPr>
      </w:pPr>
      <w:r w:rsidRPr="00E23CED">
        <w:rPr>
          <w:szCs w:val="20"/>
        </w:rPr>
        <w:lastRenderedPageBreak/>
        <w:t>Kowalczewska-Madura K, Dondajewska-Pielka R, Goldyn R. 2022</w:t>
      </w:r>
      <w:r w:rsidR="00DD6860" w:rsidRPr="00E23CED">
        <w:rPr>
          <w:szCs w:val="20"/>
        </w:rPr>
        <w:t>.</w:t>
      </w:r>
      <w:r w:rsidRPr="00E23CED">
        <w:rPr>
          <w:szCs w:val="20"/>
        </w:rPr>
        <w:t xml:space="preserve"> The </w:t>
      </w:r>
      <w:r w:rsidR="0044651D" w:rsidRPr="00E23CED">
        <w:rPr>
          <w:szCs w:val="20"/>
        </w:rPr>
        <w:t>a</w:t>
      </w:r>
      <w:r w:rsidRPr="00E23CED">
        <w:rPr>
          <w:szCs w:val="20"/>
        </w:rPr>
        <w:t xml:space="preserve">ssessment of </w:t>
      </w:r>
      <w:r w:rsidR="0044651D" w:rsidRPr="00E23CED">
        <w:rPr>
          <w:szCs w:val="20"/>
        </w:rPr>
        <w:t>e</w:t>
      </w:r>
      <w:r w:rsidRPr="00E23CED">
        <w:rPr>
          <w:szCs w:val="20"/>
        </w:rPr>
        <w:t xml:space="preserve">xternal and </w:t>
      </w:r>
      <w:r w:rsidR="0044651D" w:rsidRPr="00E23CED">
        <w:rPr>
          <w:szCs w:val="20"/>
        </w:rPr>
        <w:t>i</w:t>
      </w:r>
      <w:r w:rsidRPr="00E23CED">
        <w:rPr>
          <w:szCs w:val="20"/>
        </w:rPr>
        <w:t xml:space="preserve">nternal </w:t>
      </w:r>
      <w:r w:rsidR="0044651D" w:rsidRPr="00E23CED">
        <w:rPr>
          <w:szCs w:val="20"/>
        </w:rPr>
        <w:t>n</w:t>
      </w:r>
      <w:r w:rsidRPr="00E23CED">
        <w:rPr>
          <w:szCs w:val="20"/>
        </w:rPr>
        <w:t xml:space="preserve">utrient </w:t>
      </w:r>
      <w:r w:rsidR="0044651D" w:rsidRPr="00E23CED">
        <w:rPr>
          <w:szCs w:val="20"/>
        </w:rPr>
        <w:t>l</w:t>
      </w:r>
      <w:r w:rsidRPr="00E23CED">
        <w:rPr>
          <w:szCs w:val="20"/>
        </w:rPr>
        <w:t xml:space="preserve">oading as a </w:t>
      </w:r>
      <w:r w:rsidR="0044651D" w:rsidRPr="00E23CED">
        <w:rPr>
          <w:szCs w:val="20"/>
        </w:rPr>
        <w:t>b</w:t>
      </w:r>
      <w:r w:rsidRPr="00E23CED">
        <w:rPr>
          <w:szCs w:val="20"/>
        </w:rPr>
        <w:t xml:space="preserve">asis for </w:t>
      </w:r>
      <w:r w:rsidR="0044651D" w:rsidRPr="00E23CED">
        <w:rPr>
          <w:szCs w:val="20"/>
        </w:rPr>
        <w:t>l</w:t>
      </w:r>
      <w:r w:rsidRPr="00E23CED">
        <w:rPr>
          <w:szCs w:val="20"/>
        </w:rPr>
        <w:t xml:space="preserve">ake </w:t>
      </w:r>
      <w:r w:rsidR="0044651D" w:rsidRPr="00E23CED">
        <w:rPr>
          <w:szCs w:val="20"/>
        </w:rPr>
        <w:t>m</w:t>
      </w:r>
      <w:r w:rsidRPr="00E23CED">
        <w:rPr>
          <w:szCs w:val="20"/>
        </w:rPr>
        <w:t xml:space="preserve">anagement. </w:t>
      </w:r>
      <w:r w:rsidRPr="00E23CED">
        <w:rPr>
          <w:i/>
          <w:szCs w:val="20"/>
        </w:rPr>
        <w:t>Water</w:t>
      </w:r>
      <w:r w:rsidRPr="00E23CED">
        <w:rPr>
          <w:szCs w:val="20"/>
        </w:rPr>
        <w:t xml:space="preserve"> 14(18): 2</w:t>
      </w:r>
      <w:r w:rsidR="003B4D74" w:rsidRPr="00E23CED">
        <w:rPr>
          <w:szCs w:val="20"/>
        </w:rPr>
        <w:t>844</w:t>
      </w:r>
      <w:r w:rsidRPr="00E23CED">
        <w:rPr>
          <w:szCs w:val="20"/>
        </w:rPr>
        <w:t xml:space="preserve">. </w:t>
      </w:r>
    </w:p>
    <w:p w14:paraId="0C1ECCF2" w14:textId="3DEC6930" w:rsidR="0081114C" w:rsidRPr="00E23CED" w:rsidRDefault="00593EA1" w:rsidP="00F74D10">
      <w:pPr>
        <w:pStyle w:val="References"/>
        <w:rPr>
          <w:szCs w:val="20"/>
        </w:rPr>
      </w:pPr>
      <w:r w:rsidRPr="00E23CED">
        <w:rPr>
          <w:szCs w:val="20"/>
        </w:rPr>
        <w:t>Larned S, Hamilton D, Zeldis J, Howard–Williams C</w:t>
      </w:r>
      <w:r w:rsidR="00D04D1E" w:rsidRPr="00E23CED">
        <w:rPr>
          <w:szCs w:val="20"/>
        </w:rPr>
        <w:t>.</w:t>
      </w:r>
      <w:r w:rsidRPr="00E23CED">
        <w:rPr>
          <w:szCs w:val="20"/>
        </w:rPr>
        <w:t xml:space="preserve"> 2011. </w:t>
      </w:r>
      <w:r w:rsidRPr="00E23CED">
        <w:rPr>
          <w:i/>
          <w:iCs/>
          <w:szCs w:val="20"/>
        </w:rPr>
        <w:t>Nutrient–limitation in New Zealand rivers,</w:t>
      </w:r>
      <w:r w:rsidR="00ED7BD6" w:rsidRPr="00E23CED">
        <w:rPr>
          <w:i/>
          <w:iCs/>
          <w:szCs w:val="20"/>
        </w:rPr>
        <w:t xml:space="preserve"> </w:t>
      </w:r>
      <w:r w:rsidRPr="00E23CED">
        <w:rPr>
          <w:i/>
          <w:iCs/>
          <w:szCs w:val="20"/>
        </w:rPr>
        <w:t>lakes and estuaries</w:t>
      </w:r>
      <w:r w:rsidRPr="00E23CED">
        <w:rPr>
          <w:szCs w:val="20"/>
        </w:rPr>
        <w:t xml:space="preserve">. Discussion paper prepared for the Land and Water Forum, </w:t>
      </w:r>
      <w:r w:rsidR="006C1ED9" w:rsidRPr="00E23CED">
        <w:rPr>
          <w:szCs w:val="20"/>
        </w:rPr>
        <w:t xml:space="preserve">September 2011, </w:t>
      </w:r>
      <w:r w:rsidRPr="00E23CED">
        <w:rPr>
          <w:szCs w:val="20"/>
        </w:rPr>
        <w:t>Wellington, New Zealand</w:t>
      </w:r>
      <w:r w:rsidR="0081114C" w:rsidRPr="00E23CED">
        <w:rPr>
          <w:szCs w:val="20"/>
        </w:rPr>
        <w:t>.</w:t>
      </w:r>
    </w:p>
    <w:p w14:paraId="2F9101D2" w14:textId="2C2A7895" w:rsidR="00AC5506" w:rsidRPr="00E23CED" w:rsidRDefault="00AC5506" w:rsidP="00F74D10">
      <w:pPr>
        <w:pStyle w:val="References"/>
        <w:rPr>
          <w:rFonts w:asciiTheme="minorHAnsi" w:eastAsia="Times New Roman" w:hAnsiTheme="minorHAnsi"/>
          <w:szCs w:val="20"/>
          <w:lang w:eastAsia="en-US"/>
        </w:rPr>
      </w:pPr>
      <w:r w:rsidRPr="00E23CED">
        <w:rPr>
          <w:rFonts w:asciiTheme="minorHAnsi" w:eastAsia="Times New Roman" w:hAnsiTheme="minorHAnsi"/>
          <w:szCs w:val="20"/>
          <w:lang w:eastAsia="en-US"/>
        </w:rPr>
        <w:t xml:space="preserve">McDowell RW, Cox N, Daughney CJ, Wheeler D, Moreau M. 2015. A </w:t>
      </w:r>
      <w:r w:rsidR="000E42B9" w:rsidRPr="00E23CED">
        <w:rPr>
          <w:rFonts w:asciiTheme="minorHAnsi" w:eastAsia="Times New Roman" w:hAnsiTheme="minorHAnsi"/>
          <w:szCs w:val="20"/>
          <w:lang w:eastAsia="en-US"/>
        </w:rPr>
        <w:t>n</w:t>
      </w:r>
      <w:r w:rsidRPr="00E23CED">
        <w:rPr>
          <w:rFonts w:asciiTheme="minorHAnsi" w:eastAsia="Times New Roman" w:hAnsiTheme="minorHAnsi"/>
          <w:szCs w:val="20"/>
          <w:lang w:eastAsia="en-US"/>
        </w:rPr>
        <w:t xml:space="preserve">ational </w:t>
      </w:r>
      <w:r w:rsidR="000E42B9" w:rsidRPr="00E23CED">
        <w:rPr>
          <w:rFonts w:asciiTheme="minorHAnsi" w:eastAsia="Times New Roman" w:hAnsiTheme="minorHAnsi"/>
          <w:szCs w:val="20"/>
          <w:lang w:eastAsia="en-US"/>
        </w:rPr>
        <w:t>a</w:t>
      </w:r>
      <w:r w:rsidRPr="00E23CED">
        <w:rPr>
          <w:rFonts w:asciiTheme="minorHAnsi" w:eastAsia="Times New Roman" w:hAnsiTheme="minorHAnsi"/>
          <w:szCs w:val="20"/>
          <w:lang w:eastAsia="en-US"/>
        </w:rPr>
        <w:t xml:space="preserve">ssessment of the </w:t>
      </w:r>
      <w:r w:rsidR="000E42B9" w:rsidRPr="00E23CED">
        <w:rPr>
          <w:rFonts w:asciiTheme="minorHAnsi" w:eastAsia="Times New Roman" w:hAnsiTheme="minorHAnsi"/>
          <w:szCs w:val="20"/>
          <w:lang w:eastAsia="en-US"/>
        </w:rPr>
        <w:t>p</w:t>
      </w:r>
      <w:r w:rsidRPr="00E23CED">
        <w:rPr>
          <w:rFonts w:asciiTheme="minorHAnsi" w:eastAsia="Times New Roman" w:hAnsiTheme="minorHAnsi"/>
          <w:szCs w:val="20"/>
          <w:lang w:eastAsia="en-US"/>
        </w:rPr>
        <w:t xml:space="preserve">otential </w:t>
      </w:r>
      <w:r w:rsidR="000E42B9" w:rsidRPr="00E23CED">
        <w:rPr>
          <w:rFonts w:asciiTheme="minorHAnsi" w:eastAsia="Times New Roman" w:hAnsiTheme="minorHAnsi"/>
          <w:szCs w:val="20"/>
          <w:lang w:eastAsia="en-US"/>
        </w:rPr>
        <w:t>l</w:t>
      </w:r>
      <w:r w:rsidRPr="00E23CED">
        <w:rPr>
          <w:rFonts w:asciiTheme="minorHAnsi" w:eastAsia="Times New Roman" w:hAnsiTheme="minorHAnsi"/>
          <w:szCs w:val="20"/>
          <w:lang w:eastAsia="en-US"/>
        </w:rPr>
        <w:t xml:space="preserve">inkage between </w:t>
      </w:r>
      <w:r w:rsidR="000E42B9" w:rsidRPr="00E23CED">
        <w:rPr>
          <w:rFonts w:asciiTheme="minorHAnsi" w:eastAsia="Times New Roman" w:hAnsiTheme="minorHAnsi"/>
          <w:szCs w:val="20"/>
          <w:lang w:eastAsia="en-US"/>
        </w:rPr>
        <w:t>s</w:t>
      </w:r>
      <w:r w:rsidRPr="00E23CED">
        <w:rPr>
          <w:rFonts w:asciiTheme="minorHAnsi" w:eastAsia="Times New Roman" w:hAnsiTheme="minorHAnsi"/>
          <w:szCs w:val="20"/>
          <w:lang w:eastAsia="en-US"/>
        </w:rPr>
        <w:t xml:space="preserve">oil, and </w:t>
      </w:r>
      <w:r w:rsidR="000E42B9" w:rsidRPr="00E23CED">
        <w:rPr>
          <w:rFonts w:asciiTheme="minorHAnsi" w:eastAsia="Times New Roman" w:hAnsiTheme="minorHAnsi"/>
          <w:szCs w:val="20"/>
          <w:lang w:eastAsia="en-US"/>
        </w:rPr>
        <w:t>s</w:t>
      </w:r>
      <w:r w:rsidRPr="00E23CED">
        <w:rPr>
          <w:rFonts w:asciiTheme="minorHAnsi" w:eastAsia="Times New Roman" w:hAnsiTheme="minorHAnsi"/>
          <w:szCs w:val="20"/>
          <w:lang w:eastAsia="en-US"/>
        </w:rPr>
        <w:t xml:space="preserve">urface and </w:t>
      </w:r>
      <w:r w:rsidR="000E42B9" w:rsidRPr="00E23CED">
        <w:rPr>
          <w:rFonts w:asciiTheme="minorHAnsi" w:eastAsia="Times New Roman" w:hAnsiTheme="minorHAnsi"/>
          <w:szCs w:val="20"/>
          <w:lang w:eastAsia="en-US"/>
        </w:rPr>
        <w:t>g</w:t>
      </w:r>
      <w:r w:rsidRPr="00E23CED">
        <w:rPr>
          <w:rFonts w:asciiTheme="minorHAnsi" w:eastAsia="Times New Roman" w:hAnsiTheme="minorHAnsi"/>
          <w:szCs w:val="20"/>
          <w:lang w:eastAsia="en-US"/>
        </w:rPr>
        <w:t xml:space="preserve">roundwater </w:t>
      </w:r>
      <w:r w:rsidR="000E42B9" w:rsidRPr="00E23CED">
        <w:rPr>
          <w:rFonts w:asciiTheme="minorHAnsi" w:eastAsia="Times New Roman" w:hAnsiTheme="minorHAnsi"/>
          <w:szCs w:val="20"/>
          <w:lang w:eastAsia="en-US"/>
        </w:rPr>
        <w:t>c</w:t>
      </w:r>
      <w:r w:rsidRPr="00E23CED">
        <w:rPr>
          <w:rFonts w:asciiTheme="minorHAnsi" w:eastAsia="Times New Roman" w:hAnsiTheme="minorHAnsi"/>
          <w:szCs w:val="20"/>
          <w:lang w:eastAsia="en-US"/>
        </w:rPr>
        <w:t xml:space="preserve">oncentrations of </w:t>
      </w:r>
      <w:r w:rsidR="000E42B9" w:rsidRPr="00E23CED">
        <w:rPr>
          <w:rFonts w:asciiTheme="minorHAnsi" w:eastAsia="Times New Roman" w:hAnsiTheme="minorHAnsi"/>
          <w:szCs w:val="20"/>
          <w:lang w:eastAsia="en-US"/>
        </w:rPr>
        <w:t>p</w:t>
      </w:r>
      <w:r w:rsidRPr="00E23CED">
        <w:rPr>
          <w:rFonts w:asciiTheme="minorHAnsi" w:eastAsia="Times New Roman" w:hAnsiTheme="minorHAnsi"/>
          <w:szCs w:val="20"/>
          <w:lang w:eastAsia="en-US"/>
        </w:rPr>
        <w:t xml:space="preserve">hosphorus. </w:t>
      </w:r>
      <w:r w:rsidRPr="00E23CED">
        <w:rPr>
          <w:rFonts w:asciiTheme="minorHAnsi" w:eastAsia="Times New Roman" w:hAnsiTheme="minorHAnsi"/>
          <w:i/>
          <w:szCs w:val="20"/>
          <w:lang w:eastAsia="en-US"/>
        </w:rPr>
        <w:t>Journal of the American Water Resources Association</w:t>
      </w:r>
      <w:r w:rsidRPr="00E23CED">
        <w:rPr>
          <w:rFonts w:asciiTheme="minorHAnsi" w:eastAsia="Times New Roman" w:hAnsiTheme="minorHAnsi"/>
          <w:szCs w:val="20"/>
          <w:lang w:eastAsia="en-US"/>
        </w:rPr>
        <w:t xml:space="preserve"> 51(4): 992</w:t>
      </w:r>
      <w:r w:rsidR="000E42B9" w:rsidRPr="00E23CED">
        <w:rPr>
          <w:rFonts w:asciiTheme="minorHAnsi" w:eastAsia="Times New Roman" w:hAnsiTheme="minorHAnsi"/>
          <w:szCs w:val="20"/>
          <w:lang w:eastAsia="en-US"/>
        </w:rPr>
        <w:t>–</w:t>
      </w:r>
      <w:r w:rsidRPr="00E23CED">
        <w:rPr>
          <w:rFonts w:asciiTheme="minorHAnsi" w:eastAsia="Times New Roman" w:hAnsiTheme="minorHAnsi"/>
          <w:szCs w:val="20"/>
          <w:lang w:eastAsia="en-US"/>
        </w:rPr>
        <w:t xml:space="preserve">1002. </w:t>
      </w:r>
    </w:p>
    <w:p w14:paraId="1E20AAF2" w14:textId="7460A812" w:rsidR="00936D91" w:rsidRPr="00E23CED" w:rsidRDefault="00936D91" w:rsidP="00F74D10">
      <w:pPr>
        <w:pStyle w:val="References"/>
        <w:rPr>
          <w:szCs w:val="20"/>
        </w:rPr>
      </w:pPr>
      <w:r w:rsidRPr="00E23CED">
        <w:rPr>
          <w:szCs w:val="20"/>
        </w:rPr>
        <w:t>McDowell</w:t>
      </w:r>
      <w:r w:rsidR="0081114C" w:rsidRPr="00E23CED">
        <w:rPr>
          <w:szCs w:val="20"/>
        </w:rPr>
        <w:t xml:space="preserve"> </w:t>
      </w:r>
      <w:r w:rsidRPr="00E23CED">
        <w:rPr>
          <w:szCs w:val="20"/>
        </w:rPr>
        <w:t>RW, Snelder TH, Cox N, Booker DJ, Wilcock RJ. 2013</w:t>
      </w:r>
      <w:r w:rsidR="00B4454C" w:rsidRPr="00E23CED">
        <w:rPr>
          <w:szCs w:val="20"/>
        </w:rPr>
        <w:t>.</w:t>
      </w:r>
      <w:r w:rsidRPr="00E23CED">
        <w:rPr>
          <w:szCs w:val="20"/>
        </w:rPr>
        <w:t xml:space="preserve"> Establishment of reference or baseline conditions of chemical indicators in New Zealand streams and rivers relative to present conditions. </w:t>
      </w:r>
      <w:r w:rsidRPr="00E23CED">
        <w:rPr>
          <w:i/>
          <w:szCs w:val="20"/>
        </w:rPr>
        <w:t>Marine and Freshwater Research</w:t>
      </w:r>
      <w:r w:rsidRPr="00E23CED">
        <w:rPr>
          <w:szCs w:val="20"/>
        </w:rPr>
        <w:t xml:space="preserve"> 64(5): 387</w:t>
      </w:r>
      <w:r w:rsidR="0044651D" w:rsidRPr="00E23CED">
        <w:rPr>
          <w:szCs w:val="20"/>
        </w:rPr>
        <w:t>–</w:t>
      </w:r>
      <w:r w:rsidRPr="00E23CED">
        <w:rPr>
          <w:szCs w:val="20"/>
        </w:rPr>
        <w:t>400.</w:t>
      </w:r>
    </w:p>
    <w:p w14:paraId="4C088949" w14:textId="5E34B869" w:rsidR="00B16CF2" w:rsidRPr="00E23CED" w:rsidRDefault="00B16CF2" w:rsidP="00F74D10">
      <w:pPr>
        <w:pStyle w:val="References"/>
        <w:rPr>
          <w:rStyle w:val="Hyperlink"/>
          <w:rFonts w:cstheme="minorHAnsi"/>
          <w:color w:val="auto"/>
          <w:szCs w:val="20"/>
        </w:rPr>
      </w:pPr>
      <w:r w:rsidRPr="00E23CED">
        <w:rPr>
          <w:rStyle w:val="Hyperlink"/>
          <w:rFonts w:cstheme="minorHAnsi"/>
          <w:color w:val="auto"/>
          <w:szCs w:val="20"/>
        </w:rPr>
        <w:t>Ministry for the Environment</w:t>
      </w:r>
      <w:r w:rsidR="007E22B4" w:rsidRPr="00E23CED">
        <w:rPr>
          <w:rStyle w:val="Hyperlink"/>
          <w:rFonts w:cstheme="minorHAnsi"/>
          <w:color w:val="auto"/>
          <w:szCs w:val="20"/>
        </w:rPr>
        <w:t xml:space="preserve">. </w:t>
      </w:r>
      <w:r w:rsidRPr="00E23CED">
        <w:rPr>
          <w:rStyle w:val="Hyperlink"/>
          <w:rFonts w:cstheme="minorHAnsi"/>
          <w:color w:val="auto"/>
          <w:szCs w:val="20"/>
        </w:rPr>
        <w:t>2021</w:t>
      </w:r>
      <w:r w:rsidR="007E22B4" w:rsidRPr="00E23CED">
        <w:rPr>
          <w:rStyle w:val="Hyperlink"/>
          <w:rFonts w:cstheme="minorHAnsi"/>
          <w:color w:val="auto"/>
          <w:szCs w:val="20"/>
        </w:rPr>
        <w:t>.</w:t>
      </w:r>
      <w:r w:rsidRPr="00E23CED">
        <w:rPr>
          <w:rStyle w:val="Hyperlink"/>
          <w:rFonts w:cstheme="minorHAnsi"/>
          <w:color w:val="auto"/>
          <w:szCs w:val="20"/>
        </w:rPr>
        <w:t xml:space="preserve"> </w:t>
      </w:r>
      <w:r w:rsidR="00AD2F4C" w:rsidRPr="00E23CED">
        <w:rPr>
          <w:i/>
          <w:iCs/>
          <w:szCs w:val="20"/>
        </w:rPr>
        <w:t>A guide</w:t>
      </w:r>
      <w:r w:rsidRPr="00E23CED">
        <w:rPr>
          <w:i/>
          <w:szCs w:val="20"/>
        </w:rPr>
        <w:t xml:space="preserve"> to </w:t>
      </w:r>
      <w:r w:rsidR="00AD2F4C" w:rsidRPr="00E23CED">
        <w:rPr>
          <w:i/>
          <w:iCs/>
          <w:szCs w:val="20"/>
        </w:rPr>
        <w:t xml:space="preserve">setting instream nutrient concentrations under </w:t>
      </w:r>
      <w:r w:rsidR="00096648" w:rsidRPr="00E23CED">
        <w:rPr>
          <w:i/>
          <w:iCs/>
          <w:szCs w:val="20"/>
        </w:rPr>
        <w:t>Clause</w:t>
      </w:r>
      <w:r w:rsidR="00AD2F4C" w:rsidRPr="00E23CED">
        <w:rPr>
          <w:i/>
          <w:iCs/>
          <w:szCs w:val="20"/>
        </w:rPr>
        <w:t xml:space="preserve"> 3.13 of the National Policy Statement for Freshwater Management 2020</w:t>
      </w:r>
      <w:r w:rsidR="00AD2F4C" w:rsidRPr="00E23CED">
        <w:rPr>
          <w:szCs w:val="20"/>
        </w:rPr>
        <w:t>. Wellington: Ministry for the Environment.</w:t>
      </w:r>
    </w:p>
    <w:p w14:paraId="0BB561B1" w14:textId="357C8711" w:rsidR="00096F78" w:rsidRPr="00E23CED" w:rsidRDefault="00096F78" w:rsidP="00F74D10">
      <w:pPr>
        <w:pStyle w:val="References"/>
        <w:rPr>
          <w:rStyle w:val="Hyperlink"/>
          <w:rFonts w:cstheme="minorHAnsi"/>
          <w:szCs w:val="20"/>
        </w:rPr>
      </w:pPr>
      <w:r w:rsidRPr="00E23CED">
        <w:rPr>
          <w:szCs w:val="20"/>
        </w:rPr>
        <w:t xml:space="preserve">Ministry for the Environment. 2022a. </w:t>
      </w:r>
      <w:r w:rsidRPr="00E23CED">
        <w:rPr>
          <w:i/>
          <w:szCs w:val="20"/>
        </w:rPr>
        <w:t xml:space="preserve">Guidance on look-up tables for setting nutrient targets for periphyton: </w:t>
      </w:r>
      <w:r w:rsidR="003E5539" w:rsidRPr="00E23CED">
        <w:rPr>
          <w:i/>
          <w:szCs w:val="20"/>
        </w:rPr>
        <w:t>S</w:t>
      </w:r>
      <w:r w:rsidRPr="00E23CED">
        <w:rPr>
          <w:i/>
          <w:szCs w:val="20"/>
        </w:rPr>
        <w:t>econd edition</w:t>
      </w:r>
      <w:r w:rsidRPr="00E23CED">
        <w:rPr>
          <w:szCs w:val="20"/>
        </w:rPr>
        <w:t>. Wellington: Ministry for the Environment.</w:t>
      </w:r>
    </w:p>
    <w:p w14:paraId="6C4EEE8E" w14:textId="23731C37" w:rsidR="00971BC5" w:rsidRPr="00E23CED" w:rsidRDefault="00096F78" w:rsidP="00F74D10">
      <w:pPr>
        <w:pStyle w:val="References"/>
        <w:rPr>
          <w:szCs w:val="20"/>
        </w:rPr>
      </w:pPr>
      <w:r w:rsidRPr="00E23CED">
        <w:rPr>
          <w:szCs w:val="20"/>
        </w:rPr>
        <w:t xml:space="preserve">Ministry for the Environment. 2022b. </w:t>
      </w:r>
      <w:r w:rsidRPr="00E23CED">
        <w:rPr>
          <w:i/>
          <w:iCs/>
          <w:szCs w:val="20"/>
        </w:rPr>
        <w:t xml:space="preserve">Setting instream nutrient concentration thresholds for nutrient-affected attributes in rivers: Guidance on implementing </w:t>
      </w:r>
      <w:r w:rsidR="00FB03DC" w:rsidRPr="00E23CED">
        <w:rPr>
          <w:i/>
          <w:iCs/>
          <w:szCs w:val="20"/>
        </w:rPr>
        <w:t>c</w:t>
      </w:r>
      <w:r w:rsidR="00096648" w:rsidRPr="00E23CED">
        <w:rPr>
          <w:i/>
          <w:iCs/>
          <w:szCs w:val="20"/>
        </w:rPr>
        <w:t>lause</w:t>
      </w:r>
      <w:r w:rsidRPr="00E23CED">
        <w:rPr>
          <w:i/>
          <w:iCs/>
          <w:szCs w:val="20"/>
        </w:rPr>
        <w:t xml:space="preserve"> 3.13 of the NPS-FM</w:t>
      </w:r>
      <w:r w:rsidRPr="00E23CED">
        <w:rPr>
          <w:szCs w:val="20"/>
        </w:rPr>
        <w:t xml:space="preserve">. Wellington: Ministry for the Environment. </w:t>
      </w:r>
    </w:p>
    <w:p w14:paraId="4C1B0B93" w14:textId="239C362C" w:rsidR="00A94696" w:rsidRPr="00E23CED" w:rsidRDefault="00A94696" w:rsidP="00F74D10">
      <w:pPr>
        <w:pStyle w:val="References"/>
        <w:rPr>
          <w:szCs w:val="20"/>
        </w:rPr>
      </w:pPr>
      <w:r w:rsidRPr="00E23CED">
        <w:rPr>
          <w:szCs w:val="20"/>
        </w:rPr>
        <w:t xml:space="preserve">Ministry for the Environment. 2022c. </w:t>
      </w:r>
      <w:r w:rsidRPr="00E23CED">
        <w:rPr>
          <w:i/>
          <w:iCs/>
          <w:szCs w:val="20"/>
        </w:rPr>
        <w:t>Guidance for implementing the NPS-FM sediment requirements</w:t>
      </w:r>
      <w:r w:rsidRPr="00E23CED">
        <w:rPr>
          <w:szCs w:val="20"/>
        </w:rPr>
        <w:t xml:space="preserve">. Wellington: Ministry for the Environment. </w:t>
      </w:r>
    </w:p>
    <w:p w14:paraId="56DA7A61" w14:textId="055F5179" w:rsidR="009B1A0C" w:rsidRPr="00E23CED" w:rsidRDefault="00F44708" w:rsidP="00F74D10">
      <w:pPr>
        <w:pStyle w:val="References"/>
        <w:rPr>
          <w:szCs w:val="20"/>
        </w:rPr>
      </w:pPr>
      <w:r w:rsidRPr="00E23CED">
        <w:rPr>
          <w:szCs w:val="20"/>
        </w:rPr>
        <w:t xml:space="preserve">Ministry for the Environment. 2023. </w:t>
      </w:r>
      <w:r w:rsidR="00641879" w:rsidRPr="00E23CED">
        <w:rPr>
          <w:i/>
          <w:iCs/>
          <w:szCs w:val="20"/>
        </w:rPr>
        <w:t>He Ārahitanga mō Te Anga Whāinga ā-Motu o te NPS-FM:</w:t>
      </w:r>
      <w:r w:rsidR="00436759" w:rsidRPr="00E23CED">
        <w:rPr>
          <w:i/>
          <w:iCs/>
          <w:szCs w:val="20"/>
        </w:rPr>
        <w:t xml:space="preserve"> </w:t>
      </w:r>
      <w:r w:rsidRPr="00E23CED">
        <w:rPr>
          <w:i/>
          <w:iCs/>
          <w:szCs w:val="20"/>
        </w:rPr>
        <w:t>Guidance on the National Objectives Framework of the NPS-FM</w:t>
      </w:r>
      <w:r w:rsidRPr="00E23CED">
        <w:rPr>
          <w:szCs w:val="20"/>
        </w:rPr>
        <w:t>. Wellington: Ministry for the Environment.</w:t>
      </w:r>
    </w:p>
    <w:p w14:paraId="25512ECE" w14:textId="707B46BD" w:rsidR="00F44708" w:rsidRPr="00E23CED" w:rsidRDefault="009B1A0C" w:rsidP="00F74D10">
      <w:pPr>
        <w:pStyle w:val="References"/>
        <w:rPr>
          <w:szCs w:val="20"/>
        </w:rPr>
      </w:pPr>
      <w:r w:rsidRPr="00E23CED">
        <w:rPr>
          <w:szCs w:val="20"/>
        </w:rPr>
        <w:t xml:space="preserve">Ministry for the Environment. </w:t>
      </w:r>
      <w:hyperlink r:id="rId76">
        <w:r w:rsidRPr="00E23CED">
          <w:rPr>
            <w:rStyle w:val="Hyperlink"/>
            <w:i/>
            <w:iCs/>
            <w:szCs w:val="20"/>
          </w:rPr>
          <w:t xml:space="preserve">NZ Freshwater nutrient and biomass measurements for periphyton </w:t>
        </w:r>
        <w:r w:rsidR="00F74D10" w:rsidRPr="00E23CED">
          <w:rPr>
            <w:rStyle w:val="Hyperlink"/>
            <w:i/>
            <w:iCs/>
            <w:szCs w:val="20"/>
          </w:rPr>
          <w:br/>
        </w:r>
        <w:r w:rsidRPr="00E23CED">
          <w:rPr>
            <w:rStyle w:val="Hyperlink"/>
            <w:i/>
            <w:iCs/>
            <w:szCs w:val="20"/>
          </w:rPr>
          <w:t>2012–2020</w:t>
        </w:r>
      </w:hyperlink>
      <w:r w:rsidRPr="00E23CED">
        <w:rPr>
          <w:rStyle w:val="Hyperlink"/>
          <w:color w:val="auto"/>
          <w:szCs w:val="20"/>
        </w:rPr>
        <w:t xml:space="preserve">. </w:t>
      </w:r>
      <w:r w:rsidRPr="00E23CED">
        <w:rPr>
          <w:szCs w:val="20"/>
        </w:rPr>
        <w:t>Retrieved 15 July 2023.</w:t>
      </w:r>
      <w:r w:rsidR="00F44708" w:rsidRPr="00E23CED">
        <w:rPr>
          <w:szCs w:val="20"/>
        </w:rPr>
        <w:t xml:space="preserve"> </w:t>
      </w:r>
    </w:p>
    <w:p w14:paraId="6C5CB7DA" w14:textId="50BFA714" w:rsidR="00CF3470" w:rsidRPr="00E23CED" w:rsidRDefault="00871B47" w:rsidP="001C452F">
      <w:pPr>
        <w:pStyle w:val="References"/>
        <w:rPr>
          <w:szCs w:val="20"/>
          <w:lang w:eastAsia="en-US"/>
        </w:rPr>
      </w:pPr>
      <w:r w:rsidRPr="00E23CED">
        <w:rPr>
          <w:szCs w:val="20"/>
          <w:lang w:eastAsia="en-US"/>
        </w:rPr>
        <w:t>Morgenstern U, Daughney CJ. 2012</w:t>
      </w:r>
      <w:r w:rsidR="00EC6E34" w:rsidRPr="00E23CED">
        <w:rPr>
          <w:szCs w:val="20"/>
          <w:lang w:eastAsia="en-US"/>
        </w:rPr>
        <w:t>.</w:t>
      </w:r>
      <w:r w:rsidRPr="00E23CED">
        <w:rPr>
          <w:szCs w:val="20"/>
          <w:lang w:eastAsia="en-US"/>
        </w:rPr>
        <w:t xml:space="preserve"> Groundwater age for identification of baseline groundwater quality and impacts of land-use intensification </w:t>
      </w:r>
      <w:r w:rsidR="000E42B9" w:rsidRPr="00E23CED">
        <w:rPr>
          <w:szCs w:val="20"/>
          <w:lang w:eastAsia="en-US"/>
        </w:rPr>
        <w:t>–</w:t>
      </w:r>
      <w:r w:rsidRPr="00E23CED">
        <w:rPr>
          <w:szCs w:val="20"/>
          <w:lang w:eastAsia="en-US"/>
        </w:rPr>
        <w:t xml:space="preserve"> </w:t>
      </w:r>
      <w:r w:rsidR="000E42B9" w:rsidRPr="00E23CED">
        <w:rPr>
          <w:szCs w:val="20"/>
          <w:lang w:eastAsia="en-US"/>
        </w:rPr>
        <w:t>t</w:t>
      </w:r>
      <w:r w:rsidRPr="00E23CED">
        <w:rPr>
          <w:szCs w:val="20"/>
          <w:lang w:eastAsia="en-US"/>
        </w:rPr>
        <w:t xml:space="preserve">he National Groundwater Monitoring Programme of New Zealand. </w:t>
      </w:r>
      <w:r w:rsidRPr="00E23CED">
        <w:rPr>
          <w:i/>
          <w:szCs w:val="20"/>
          <w:lang w:eastAsia="en-US"/>
        </w:rPr>
        <w:t>Journal of Hydrology</w:t>
      </w:r>
      <w:r w:rsidRPr="00E23CED">
        <w:rPr>
          <w:szCs w:val="20"/>
          <w:lang w:eastAsia="en-US"/>
        </w:rPr>
        <w:t xml:space="preserve"> 456: 79</w:t>
      </w:r>
      <w:r w:rsidR="000E42B9" w:rsidRPr="00E23CED">
        <w:rPr>
          <w:szCs w:val="20"/>
          <w:lang w:eastAsia="en-US"/>
        </w:rPr>
        <w:t>–</w:t>
      </w:r>
      <w:r w:rsidRPr="00E23CED">
        <w:rPr>
          <w:szCs w:val="20"/>
          <w:lang w:eastAsia="en-US"/>
        </w:rPr>
        <w:t xml:space="preserve">93. </w:t>
      </w:r>
    </w:p>
    <w:p w14:paraId="12C44B08" w14:textId="1ECDF386" w:rsidR="009C555A" w:rsidRPr="00E23CED" w:rsidRDefault="009C555A" w:rsidP="001C452F">
      <w:pPr>
        <w:pStyle w:val="References"/>
        <w:rPr>
          <w:szCs w:val="20"/>
          <w:lang w:eastAsia="en-US"/>
        </w:rPr>
      </w:pPr>
      <w:r w:rsidRPr="00E23CED">
        <w:rPr>
          <w:szCs w:val="20"/>
          <w:lang w:eastAsia="en-US"/>
        </w:rPr>
        <w:t xml:space="preserve">Plew DR, Zeldis JR, Dudley BD, Whitehead AL, Stevens LM, Robertson BM, Robertson B. 2020. Assessing the </w:t>
      </w:r>
      <w:r w:rsidR="00825933" w:rsidRPr="00E23CED">
        <w:rPr>
          <w:szCs w:val="20"/>
          <w:lang w:eastAsia="en-US"/>
        </w:rPr>
        <w:t>e</w:t>
      </w:r>
      <w:r w:rsidRPr="00E23CED">
        <w:rPr>
          <w:szCs w:val="20"/>
          <w:lang w:eastAsia="en-US"/>
        </w:rPr>
        <w:t xml:space="preserve">utrophic </w:t>
      </w:r>
      <w:r w:rsidR="00825933" w:rsidRPr="00E23CED">
        <w:rPr>
          <w:szCs w:val="20"/>
          <w:lang w:eastAsia="en-US"/>
        </w:rPr>
        <w:t>s</w:t>
      </w:r>
      <w:r w:rsidRPr="00E23CED">
        <w:rPr>
          <w:szCs w:val="20"/>
          <w:lang w:eastAsia="en-US"/>
        </w:rPr>
        <w:t xml:space="preserve">usceptibility of New Zealand </w:t>
      </w:r>
      <w:r w:rsidR="00825933" w:rsidRPr="00E23CED">
        <w:rPr>
          <w:szCs w:val="20"/>
          <w:lang w:eastAsia="en-US"/>
        </w:rPr>
        <w:t>e</w:t>
      </w:r>
      <w:r w:rsidRPr="00E23CED">
        <w:rPr>
          <w:szCs w:val="20"/>
          <w:lang w:eastAsia="en-US"/>
        </w:rPr>
        <w:t xml:space="preserve">stuaries. </w:t>
      </w:r>
      <w:r w:rsidRPr="00E23CED">
        <w:rPr>
          <w:i/>
          <w:iCs/>
          <w:szCs w:val="20"/>
          <w:lang w:eastAsia="en-US"/>
        </w:rPr>
        <w:t>Estuaries and Coasts</w:t>
      </w:r>
      <w:r w:rsidRPr="00E23CED">
        <w:rPr>
          <w:szCs w:val="20"/>
          <w:lang w:eastAsia="en-US"/>
        </w:rPr>
        <w:t xml:space="preserve"> 43(8): 2015</w:t>
      </w:r>
      <w:r w:rsidR="00825933" w:rsidRPr="00E23CED">
        <w:rPr>
          <w:szCs w:val="20"/>
          <w:lang w:eastAsia="en-US"/>
        </w:rPr>
        <w:t>–</w:t>
      </w:r>
      <w:r w:rsidRPr="00E23CED">
        <w:rPr>
          <w:szCs w:val="20"/>
          <w:lang w:eastAsia="en-US"/>
        </w:rPr>
        <w:t xml:space="preserve">2033. </w:t>
      </w:r>
    </w:p>
    <w:p w14:paraId="1FFC628A" w14:textId="5E040EDB" w:rsidR="00A573AD" w:rsidRPr="00E23CED" w:rsidRDefault="00C65B2F" w:rsidP="001C452F">
      <w:pPr>
        <w:pStyle w:val="References"/>
        <w:rPr>
          <w:szCs w:val="20"/>
        </w:rPr>
      </w:pPr>
      <w:r w:rsidRPr="00E23CED">
        <w:rPr>
          <w:szCs w:val="20"/>
        </w:rPr>
        <w:t xml:space="preserve">Quinn J, Rutherford K, Wilcock B, Depree </w:t>
      </w:r>
      <w:r w:rsidR="000816AE" w:rsidRPr="00E23CED">
        <w:rPr>
          <w:szCs w:val="20"/>
        </w:rPr>
        <w:t>C</w:t>
      </w:r>
      <w:r w:rsidRPr="00E23CED">
        <w:rPr>
          <w:szCs w:val="20"/>
        </w:rPr>
        <w:t xml:space="preserve">, Young R, Schiff S. 2018. Nutrient-periphyton interactions along a temperate river and response to phosphorus input reduction. </w:t>
      </w:r>
      <w:r w:rsidR="00653A8B" w:rsidRPr="00E23CED">
        <w:rPr>
          <w:szCs w:val="20"/>
        </w:rPr>
        <w:t xml:space="preserve">In: </w:t>
      </w:r>
      <w:r w:rsidR="00653A8B" w:rsidRPr="00E23CED">
        <w:rPr>
          <w:i/>
          <w:iCs/>
          <w:szCs w:val="20"/>
        </w:rPr>
        <w:t>Proceedings of 4th International Conference on Water Resources and Wetlands</w:t>
      </w:r>
      <w:r w:rsidR="00B53C15" w:rsidRPr="00E23CED">
        <w:rPr>
          <w:szCs w:val="20"/>
        </w:rPr>
        <w:t>. Tulcea, Romania</w:t>
      </w:r>
      <w:r w:rsidR="00BB023B" w:rsidRPr="00E23CED">
        <w:rPr>
          <w:szCs w:val="20"/>
        </w:rPr>
        <w:t>: Romanian Limnogeographical Association</w:t>
      </w:r>
      <w:r w:rsidR="00E56DB3" w:rsidRPr="00E23CED">
        <w:rPr>
          <w:szCs w:val="20"/>
        </w:rPr>
        <w:t>. pp 10</w:t>
      </w:r>
      <w:r w:rsidR="00215CC7" w:rsidRPr="00E23CED">
        <w:rPr>
          <w:szCs w:val="20"/>
        </w:rPr>
        <w:t>–</w:t>
      </w:r>
      <w:r w:rsidR="00E56DB3" w:rsidRPr="00E23CED">
        <w:rPr>
          <w:szCs w:val="20"/>
        </w:rPr>
        <w:t>18.</w:t>
      </w:r>
    </w:p>
    <w:p w14:paraId="79B5137E" w14:textId="289836DD" w:rsidR="00D60BF2" w:rsidRPr="00E23CED" w:rsidRDefault="0078349E" w:rsidP="001C452F">
      <w:pPr>
        <w:pStyle w:val="References"/>
        <w:rPr>
          <w:szCs w:val="20"/>
        </w:rPr>
      </w:pPr>
      <w:r w:rsidRPr="00E23CED">
        <w:rPr>
          <w:szCs w:val="20"/>
        </w:rPr>
        <w:t>Robertson BM, Stevens L, Robertson B, Zeldis J, Green M, Madarasz-Smith A, Plew D, Storey R, Oliver M. 2016</w:t>
      </w:r>
      <w:r w:rsidR="00E87E69" w:rsidRPr="00E23CED">
        <w:rPr>
          <w:szCs w:val="20"/>
        </w:rPr>
        <w:t>.</w:t>
      </w:r>
      <w:r w:rsidRPr="00E23CED">
        <w:rPr>
          <w:szCs w:val="20"/>
        </w:rPr>
        <w:t xml:space="preserve"> </w:t>
      </w:r>
      <w:r w:rsidRPr="00E23CED">
        <w:rPr>
          <w:i/>
          <w:szCs w:val="20"/>
        </w:rPr>
        <w:t xml:space="preserve">NZ </w:t>
      </w:r>
      <w:r w:rsidR="0044651D" w:rsidRPr="00E23CED">
        <w:rPr>
          <w:i/>
          <w:szCs w:val="20"/>
        </w:rPr>
        <w:t>e</w:t>
      </w:r>
      <w:r w:rsidRPr="00E23CED">
        <w:rPr>
          <w:i/>
          <w:szCs w:val="20"/>
        </w:rPr>
        <w:t xml:space="preserve">stuary </w:t>
      </w:r>
      <w:r w:rsidR="0044651D" w:rsidRPr="00E23CED">
        <w:rPr>
          <w:i/>
          <w:szCs w:val="20"/>
        </w:rPr>
        <w:t>t</w:t>
      </w:r>
      <w:r w:rsidRPr="00E23CED">
        <w:rPr>
          <w:i/>
          <w:szCs w:val="20"/>
        </w:rPr>
        <w:t xml:space="preserve">rophic </w:t>
      </w:r>
      <w:r w:rsidR="0044651D" w:rsidRPr="00E23CED">
        <w:rPr>
          <w:i/>
          <w:szCs w:val="20"/>
        </w:rPr>
        <w:t>i</w:t>
      </w:r>
      <w:r w:rsidRPr="00E23CED">
        <w:rPr>
          <w:i/>
          <w:szCs w:val="20"/>
        </w:rPr>
        <w:t xml:space="preserve">ndex </w:t>
      </w:r>
      <w:r w:rsidR="0044651D" w:rsidRPr="00E23CED">
        <w:rPr>
          <w:i/>
          <w:szCs w:val="20"/>
        </w:rPr>
        <w:t>s</w:t>
      </w:r>
      <w:r w:rsidRPr="00E23CED">
        <w:rPr>
          <w:i/>
          <w:szCs w:val="20"/>
        </w:rPr>
        <w:t xml:space="preserve">creening </w:t>
      </w:r>
      <w:r w:rsidR="0044651D" w:rsidRPr="00E23CED">
        <w:rPr>
          <w:i/>
          <w:szCs w:val="20"/>
        </w:rPr>
        <w:t>t</w:t>
      </w:r>
      <w:r w:rsidRPr="00E23CED">
        <w:rPr>
          <w:i/>
          <w:szCs w:val="20"/>
        </w:rPr>
        <w:t xml:space="preserve">ool 2. Determining </w:t>
      </w:r>
      <w:r w:rsidR="0044651D" w:rsidRPr="00E23CED">
        <w:rPr>
          <w:i/>
          <w:szCs w:val="20"/>
        </w:rPr>
        <w:t>m</w:t>
      </w:r>
      <w:r w:rsidRPr="00E23CED">
        <w:rPr>
          <w:i/>
          <w:szCs w:val="20"/>
        </w:rPr>
        <w:t xml:space="preserve">onitoring </w:t>
      </w:r>
      <w:r w:rsidR="0044651D" w:rsidRPr="00E23CED">
        <w:rPr>
          <w:i/>
          <w:szCs w:val="20"/>
        </w:rPr>
        <w:t>i</w:t>
      </w:r>
      <w:r w:rsidRPr="00E23CED">
        <w:rPr>
          <w:i/>
          <w:szCs w:val="20"/>
        </w:rPr>
        <w:t xml:space="preserve">ndicators and </w:t>
      </w:r>
      <w:r w:rsidR="0044651D" w:rsidRPr="00E23CED">
        <w:rPr>
          <w:i/>
          <w:szCs w:val="20"/>
        </w:rPr>
        <w:t>a</w:t>
      </w:r>
      <w:r w:rsidRPr="00E23CED">
        <w:rPr>
          <w:i/>
          <w:szCs w:val="20"/>
        </w:rPr>
        <w:t xml:space="preserve">ssessing </w:t>
      </w:r>
      <w:r w:rsidR="0044651D" w:rsidRPr="00E23CED">
        <w:rPr>
          <w:i/>
          <w:szCs w:val="20"/>
        </w:rPr>
        <w:t>e</w:t>
      </w:r>
      <w:r w:rsidRPr="00E23CED">
        <w:rPr>
          <w:i/>
          <w:szCs w:val="20"/>
        </w:rPr>
        <w:t xml:space="preserve">stuary </w:t>
      </w:r>
      <w:r w:rsidR="0044651D" w:rsidRPr="00E23CED">
        <w:rPr>
          <w:i/>
          <w:szCs w:val="20"/>
        </w:rPr>
        <w:t>t</w:t>
      </w:r>
      <w:r w:rsidRPr="00E23CED">
        <w:rPr>
          <w:i/>
          <w:szCs w:val="20"/>
        </w:rPr>
        <w:t xml:space="preserve">rophic </w:t>
      </w:r>
      <w:r w:rsidR="0044651D" w:rsidRPr="00E23CED">
        <w:rPr>
          <w:i/>
          <w:szCs w:val="20"/>
        </w:rPr>
        <w:t>s</w:t>
      </w:r>
      <w:r w:rsidRPr="00E23CED">
        <w:rPr>
          <w:i/>
          <w:szCs w:val="20"/>
        </w:rPr>
        <w:t>tate</w:t>
      </w:r>
      <w:r w:rsidRPr="00E23CED">
        <w:rPr>
          <w:szCs w:val="20"/>
        </w:rPr>
        <w:t xml:space="preserve">. Prepared for Envirolink Tools Project: Estuarine Trophic Index, MBIE/NIWA Contract No: C01X1420. </w:t>
      </w:r>
    </w:p>
    <w:p w14:paraId="4917CA51" w14:textId="77777777" w:rsidR="00E97ADE" w:rsidRPr="00E23CED" w:rsidRDefault="000D605E" w:rsidP="001C452F">
      <w:pPr>
        <w:pStyle w:val="References"/>
        <w:rPr>
          <w:szCs w:val="20"/>
        </w:rPr>
      </w:pPr>
      <w:r w:rsidRPr="00E23CED">
        <w:rPr>
          <w:szCs w:val="20"/>
        </w:rPr>
        <w:t>Rogers KM, van der Raaij R, Phillips A, Stewart M. 2023</w:t>
      </w:r>
      <w:r w:rsidR="006C28E3" w:rsidRPr="00E23CED">
        <w:rPr>
          <w:szCs w:val="20"/>
        </w:rPr>
        <w:t>.</w:t>
      </w:r>
      <w:r w:rsidRPr="00E23CED">
        <w:rPr>
          <w:szCs w:val="20"/>
        </w:rPr>
        <w:t xml:space="preserve"> A national isotope survey to define the sources of nitrate contamination in New Zealand freshwaters. </w:t>
      </w:r>
      <w:r w:rsidRPr="00E23CED">
        <w:rPr>
          <w:i/>
          <w:iCs/>
          <w:szCs w:val="20"/>
        </w:rPr>
        <w:t>Journal of Hydrology</w:t>
      </w:r>
      <w:r w:rsidRPr="00E23CED">
        <w:rPr>
          <w:szCs w:val="20"/>
        </w:rPr>
        <w:t xml:space="preserve"> 617: 13. </w:t>
      </w:r>
    </w:p>
    <w:p w14:paraId="08FA7166" w14:textId="37341CFE" w:rsidR="00A94696" w:rsidRPr="00E23CED" w:rsidRDefault="00A94696" w:rsidP="001C452F">
      <w:pPr>
        <w:pStyle w:val="References"/>
        <w:rPr>
          <w:rFonts w:cstheme="minorHAnsi"/>
          <w:color w:val="222222"/>
          <w:szCs w:val="20"/>
          <w:shd w:val="clear" w:color="auto" w:fill="FFFFFF"/>
        </w:rPr>
      </w:pPr>
      <w:r w:rsidRPr="00E23CED">
        <w:rPr>
          <w:szCs w:val="20"/>
        </w:rPr>
        <w:t xml:space="preserve">Ruru I, Kanz W, Afoa E, Clarke C, Nutsford D, Lowe M, Jelicich A, Shivnan S. 2022. </w:t>
      </w:r>
      <w:r w:rsidRPr="00E23CED">
        <w:rPr>
          <w:i/>
          <w:iCs/>
          <w:szCs w:val="20"/>
        </w:rPr>
        <w:t xml:space="preserve">A kete for implementing mahinga kai in the </w:t>
      </w:r>
      <w:r w:rsidR="001D16C5" w:rsidRPr="00E23CED">
        <w:rPr>
          <w:i/>
          <w:iCs/>
          <w:szCs w:val="20"/>
        </w:rPr>
        <w:t xml:space="preserve">context of the </w:t>
      </w:r>
      <w:r w:rsidRPr="00E23CED">
        <w:rPr>
          <w:i/>
          <w:iCs/>
          <w:szCs w:val="20"/>
        </w:rPr>
        <w:t>National Policy Statement for Freshwater Management 2020</w:t>
      </w:r>
      <w:r w:rsidRPr="00E23CED">
        <w:rPr>
          <w:szCs w:val="20"/>
        </w:rPr>
        <w:t>. Prepared for the Ministry for the Environment by Maumahara Consultancy Services Ltd and Awamoana Ltd. Wellington: Ministry for the Environment.</w:t>
      </w:r>
    </w:p>
    <w:p w14:paraId="59036A8B" w14:textId="339E5E9D" w:rsidR="00284287" w:rsidRPr="00E23CED" w:rsidRDefault="00307049" w:rsidP="001C452F">
      <w:pPr>
        <w:pStyle w:val="References"/>
        <w:rPr>
          <w:szCs w:val="20"/>
        </w:rPr>
      </w:pPr>
      <w:r w:rsidRPr="00E23CED">
        <w:rPr>
          <w:rFonts w:cstheme="minorHAnsi"/>
          <w:color w:val="222222"/>
          <w:szCs w:val="20"/>
          <w:shd w:val="clear" w:color="auto" w:fill="FFFFFF"/>
        </w:rPr>
        <w:t>Schallenberg M</w:t>
      </w:r>
      <w:r w:rsidR="003A55B6" w:rsidRPr="00E23CED">
        <w:rPr>
          <w:rFonts w:cstheme="minorHAnsi"/>
          <w:color w:val="222222"/>
          <w:szCs w:val="20"/>
          <w:shd w:val="clear" w:color="auto" w:fill="FFFFFF"/>
        </w:rPr>
        <w:t>,</w:t>
      </w:r>
      <w:r w:rsidRPr="00E23CED">
        <w:rPr>
          <w:rFonts w:cstheme="minorHAnsi"/>
          <w:color w:val="222222"/>
          <w:szCs w:val="20"/>
          <w:shd w:val="clear" w:color="auto" w:fill="FFFFFF"/>
        </w:rPr>
        <w:t xml:space="preserve"> van der Zon KA</w:t>
      </w:r>
      <w:r w:rsidR="003A55B6" w:rsidRPr="00E23CED">
        <w:rPr>
          <w:rFonts w:cstheme="minorHAnsi"/>
          <w:color w:val="222222"/>
          <w:szCs w:val="20"/>
          <w:shd w:val="clear" w:color="auto" w:fill="FFFFFF"/>
        </w:rPr>
        <w:t>.</w:t>
      </w:r>
      <w:r w:rsidRPr="00E23CED">
        <w:rPr>
          <w:rFonts w:cstheme="minorHAnsi"/>
          <w:color w:val="222222"/>
          <w:szCs w:val="20"/>
          <w:shd w:val="clear" w:color="auto" w:fill="FFFFFF"/>
        </w:rPr>
        <w:t xml:space="preserve"> 2019. </w:t>
      </w:r>
      <w:r w:rsidRPr="00E23CED">
        <w:rPr>
          <w:rFonts w:cstheme="minorHAnsi"/>
          <w:i/>
          <w:color w:val="222222"/>
          <w:szCs w:val="20"/>
          <w:shd w:val="clear" w:color="auto" w:fill="FFFFFF"/>
        </w:rPr>
        <w:t xml:space="preserve">Review of the </w:t>
      </w:r>
      <w:r w:rsidR="000E42B9" w:rsidRPr="00E23CED">
        <w:rPr>
          <w:rFonts w:cstheme="minorHAnsi"/>
          <w:i/>
          <w:color w:val="222222"/>
          <w:szCs w:val="20"/>
          <w:shd w:val="clear" w:color="auto" w:fill="FFFFFF"/>
        </w:rPr>
        <w:t>l</w:t>
      </w:r>
      <w:r w:rsidRPr="00E23CED">
        <w:rPr>
          <w:rFonts w:cstheme="minorHAnsi"/>
          <w:i/>
          <w:color w:val="222222"/>
          <w:szCs w:val="20"/>
          <w:shd w:val="clear" w:color="auto" w:fill="FFFFFF"/>
        </w:rPr>
        <w:t xml:space="preserve">ake </w:t>
      </w:r>
      <w:r w:rsidR="000E42B9" w:rsidRPr="00E23CED">
        <w:rPr>
          <w:rFonts w:cstheme="minorHAnsi"/>
          <w:i/>
          <w:color w:val="222222"/>
          <w:szCs w:val="20"/>
          <w:shd w:val="clear" w:color="auto" w:fill="FFFFFF"/>
        </w:rPr>
        <w:t>t</w:t>
      </w:r>
      <w:r w:rsidRPr="00E23CED">
        <w:rPr>
          <w:rFonts w:cstheme="minorHAnsi"/>
          <w:i/>
          <w:color w:val="222222"/>
          <w:szCs w:val="20"/>
          <w:shd w:val="clear" w:color="auto" w:fill="FFFFFF"/>
        </w:rPr>
        <w:t xml:space="preserve">rophic </w:t>
      </w:r>
      <w:r w:rsidR="000E42B9" w:rsidRPr="00E23CED">
        <w:rPr>
          <w:rFonts w:cstheme="minorHAnsi"/>
          <w:i/>
          <w:color w:val="222222"/>
          <w:szCs w:val="20"/>
          <w:shd w:val="clear" w:color="auto" w:fill="FFFFFF"/>
        </w:rPr>
        <w:t>l</w:t>
      </w:r>
      <w:r w:rsidRPr="00E23CED">
        <w:rPr>
          <w:rFonts w:cstheme="minorHAnsi"/>
          <w:i/>
          <w:color w:val="222222"/>
          <w:szCs w:val="20"/>
          <w:shd w:val="clear" w:color="auto" w:fill="FFFFFF"/>
        </w:rPr>
        <w:t xml:space="preserve">evel </w:t>
      </w:r>
      <w:r w:rsidR="000E42B9" w:rsidRPr="00E23CED">
        <w:rPr>
          <w:rFonts w:cstheme="minorHAnsi"/>
          <w:i/>
          <w:color w:val="222222"/>
          <w:szCs w:val="20"/>
          <w:shd w:val="clear" w:color="auto" w:fill="FFFFFF"/>
        </w:rPr>
        <w:t>i</w:t>
      </w:r>
      <w:r w:rsidRPr="00E23CED">
        <w:rPr>
          <w:rFonts w:cstheme="minorHAnsi"/>
          <w:i/>
          <w:color w:val="222222"/>
          <w:szCs w:val="20"/>
          <w:shd w:val="clear" w:color="auto" w:fill="FFFFFF"/>
        </w:rPr>
        <w:t>ndex</w:t>
      </w:r>
      <w:r w:rsidRPr="00E23CED">
        <w:rPr>
          <w:rFonts w:cstheme="minorHAnsi"/>
          <w:color w:val="222222"/>
          <w:szCs w:val="20"/>
          <w:shd w:val="clear" w:color="auto" w:fill="FFFFFF"/>
        </w:rPr>
        <w:t>.</w:t>
      </w:r>
      <w:r w:rsidR="003A55B6" w:rsidRPr="00E23CED">
        <w:rPr>
          <w:szCs w:val="20"/>
        </w:rPr>
        <w:t xml:space="preserve"> Prepared for the Regional Council Lakes Focus Group.</w:t>
      </w:r>
      <w:r w:rsidR="00A1692A" w:rsidRPr="00E23CED">
        <w:rPr>
          <w:szCs w:val="20"/>
        </w:rPr>
        <w:t xml:space="preserve"> Dunedin: University of Otago</w:t>
      </w:r>
      <w:r w:rsidR="00460D8E" w:rsidRPr="00E23CED">
        <w:rPr>
          <w:szCs w:val="20"/>
        </w:rPr>
        <w:t>.</w:t>
      </w:r>
    </w:p>
    <w:p w14:paraId="0828EBA1" w14:textId="3AA3E660" w:rsidR="00905893" w:rsidRPr="00E23CED" w:rsidRDefault="00905893" w:rsidP="001C452F">
      <w:pPr>
        <w:pStyle w:val="References"/>
        <w:rPr>
          <w:szCs w:val="20"/>
        </w:rPr>
      </w:pPr>
      <w:r w:rsidRPr="00E23CED">
        <w:rPr>
          <w:szCs w:val="20"/>
        </w:rPr>
        <w:lastRenderedPageBreak/>
        <w:t xml:space="preserve">Snelder TH, Kilroy C, Booker DJ. 2022. </w:t>
      </w:r>
      <w:r w:rsidRPr="00E23CED">
        <w:rPr>
          <w:i/>
          <w:szCs w:val="20"/>
        </w:rPr>
        <w:t xml:space="preserve">Derivation of </w:t>
      </w:r>
      <w:r w:rsidR="0022255B" w:rsidRPr="00E23CED">
        <w:rPr>
          <w:i/>
          <w:szCs w:val="20"/>
        </w:rPr>
        <w:t>n</w:t>
      </w:r>
      <w:r w:rsidRPr="00E23CED">
        <w:rPr>
          <w:i/>
          <w:szCs w:val="20"/>
        </w:rPr>
        <w:t xml:space="preserve">utrient </w:t>
      </w:r>
      <w:r w:rsidR="0022255B" w:rsidRPr="00E23CED">
        <w:rPr>
          <w:i/>
          <w:szCs w:val="20"/>
        </w:rPr>
        <w:t>c</w:t>
      </w:r>
      <w:r w:rsidRPr="00E23CED">
        <w:rPr>
          <w:i/>
          <w:szCs w:val="20"/>
        </w:rPr>
        <w:t xml:space="preserve">riteria for </w:t>
      </w:r>
      <w:r w:rsidR="0022255B" w:rsidRPr="00E23CED">
        <w:rPr>
          <w:i/>
          <w:szCs w:val="20"/>
        </w:rPr>
        <w:t>p</w:t>
      </w:r>
      <w:r w:rsidRPr="00E23CED">
        <w:rPr>
          <w:i/>
          <w:szCs w:val="20"/>
        </w:rPr>
        <w:t xml:space="preserve">eriphyton </w:t>
      </w:r>
      <w:r w:rsidR="0022255B" w:rsidRPr="00E23CED">
        <w:rPr>
          <w:i/>
          <w:szCs w:val="20"/>
        </w:rPr>
        <w:t>b</w:t>
      </w:r>
      <w:r w:rsidRPr="00E23CED">
        <w:rPr>
          <w:i/>
          <w:szCs w:val="20"/>
        </w:rPr>
        <w:t xml:space="preserve">iomass </w:t>
      </w:r>
      <w:r w:rsidR="0022255B" w:rsidRPr="00E23CED">
        <w:rPr>
          <w:i/>
          <w:szCs w:val="20"/>
        </w:rPr>
        <w:t>o</w:t>
      </w:r>
      <w:r w:rsidRPr="00E23CED">
        <w:rPr>
          <w:i/>
          <w:szCs w:val="20"/>
        </w:rPr>
        <w:t xml:space="preserve">bjectives </w:t>
      </w:r>
      <w:r w:rsidR="0022255B" w:rsidRPr="00E23CED">
        <w:rPr>
          <w:i/>
          <w:szCs w:val="20"/>
        </w:rPr>
        <w:t>u</w:t>
      </w:r>
      <w:r w:rsidRPr="00E23CED">
        <w:rPr>
          <w:i/>
          <w:szCs w:val="20"/>
        </w:rPr>
        <w:t>sing regional council monitoring data</w:t>
      </w:r>
      <w:r w:rsidRPr="00E23CED">
        <w:rPr>
          <w:szCs w:val="20"/>
        </w:rPr>
        <w:t xml:space="preserve">. Prepared for the Ministry for the Environment by Land </w:t>
      </w:r>
      <w:r w:rsidR="00B6599D" w:rsidRPr="00E23CED">
        <w:rPr>
          <w:szCs w:val="20"/>
        </w:rPr>
        <w:t xml:space="preserve">and </w:t>
      </w:r>
      <w:r w:rsidRPr="00E23CED">
        <w:rPr>
          <w:szCs w:val="20"/>
        </w:rPr>
        <w:t>Water People Limited. Wellington: Ministry for the Environment.</w:t>
      </w:r>
    </w:p>
    <w:p w14:paraId="53824707" w14:textId="6842E808" w:rsidR="00284287" w:rsidRPr="00E23CED" w:rsidRDefault="006132B3" w:rsidP="001C452F">
      <w:pPr>
        <w:pStyle w:val="References"/>
        <w:rPr>
          <w:rFonts w:cstheme="minorHAnsi"/>
          <w:szCs w:val="20"/>
        </w:rPr>
      </w:pPr>
      <w:r w:rsidRPr="00E23CED">
        <w:rPr>
          <w:rFonts w:cstheme="minorHAnsi"/>
          <w:szCs w:val="20"/>
        </w:rPr>
        <w:t>Snelder TH, Larned ST, McDowell RW. 2018</w:t>
      </w:r>
      <w:r w:rsidR="00147C20" w:rsidRPr="00E23CED">
        <w:rPr>
          <w:rFonts w:cstheme="minorHAnsi"/>
          <w:szCs w:val="20"/>
        </w:rPr>
        <w:t>.</w:t>
      </w:r>
      <w:r w:rsidRPr="00E23CED">
        <w:rPr>
          <w:rFonts w:cstheme="minorHAnsi"/>
          <w:szCs w:val="20"/>
        </w:rPr>
        <w:t xml:space="preserve"> Anthropogenic increases of catchment nitrogen and phosphorus loads in New Zealand. </w:t>
      </w:r>
      <w:r w:rsidRPr="00E23CED">
        <w:rPr>
          <w:rFonts w:cstheme="minorHAnsi"/>
          <w:i/>
          <w:szCs w:val="20"/>
        </w:rPr>
        <w:t>New Zealand Journal of Marine and Freshwater Research</w:t>
      </w:r>
      <w:r w:rsidRPr="00E23CED">
        <w:rPr>
          <w:rFonts w:cstheme="minorHAnsi"/>
          <w:szCs w:val="20"/>
        </w:rPr>
        <w:t xml:space="preserve"> 52(3): </w:t>
      </w:r>
      <w:r w:rsidR="006B714B" w:rsidRPr="00E23CED">
        <w:rPr>
          <w:rFonts w:cstheme="minorHAnsi"/>
          <w:szCs w:val="20"/>
        </w:rPr>
        <w:br/>
      </w:r>
      <w:r w:rsidRPr="00E23CED">
        <w:rPr>
          <w:rFonts w:cstheme="minorHAnsi"/>
          <w:szCs w:val="20"/>
        </w:rPr>
        <w:t>336</w:t>
      </w:r>
      <w:r w:rsidR="00451D8F" w:rsidRPr="00E23CED">
        <w:rPr>
          <w:rFonts w:cstheme="minorHAnsi"/>
          <w:szCs w:val="20"/>
        </w:rPr>
        <w:t>–</w:t>
      </w:r>
      <w:r w:rsidRPr="00E23CED">
        <w:rPr>
          <w:rFonts w:cstheme="minorHAnsi"/>
          <w:szCs w:val="20"/>
        </w:rPr>
        <w:t xml:space="preserve">361. </w:t>
      </w:r>
    </w:p>
    <w:p w14:paraId="3706B987" w14:textId="261CBC14" w:rsidR="00284287" w:rsidRPr="00E23CED" w:rsidRDefault="00CC6AFA" w:rsidP="001C452F">
      <w:pPr>
        <w:pStyle w:val="References"/>
        <w:rPr>
          <w:rFonts w:cstheme="minorHAnsi"/>
          <w:szCs w:val="20"/>
        </w:rPr>
      </w:pPr>
      <w:r w:rsidRPr="00E23CED">
        <w:rPr>
          <w:rFonts w:cstheme="minorHAnsi"/>
          <w:color w:val="222222"/>
          <w:szCs w:val="20"/>
          <w:shd w:val="clear" w:color="auto" w:fill="FFFFFF"/>
        </w:rPr>
        <w:t>Snelder TH, McDowell RW</w:t>
      </w:r>
      <w:r w:rsidR="00363E29" w:rsidRPr="00E23CED">
        <w:rPr>
          <w:rFonts w:cstheme="minorHAnsi"/>
          <w:color w:val="222222"/>
          <w:szCs w:val="20"/>
          <w:shd w:val="clear" w:color="auto" w:fill="FFFFFF"/>
        </w:rPr>
        <w:t>,</w:t>
      </w:r>
      <w:r w:rsidRPr="00E23CED">
        <w:rPr>
          <w:rFonts w:cstheme="minorHAnsi"/>
          <w:color w:val="222222"/>
          <w:szCs w:val="20"/>
          <w:shd w:val="clear" w:color="auto" w:fill="FFFFFF"/>
        </w:rPr>
        <w:t xml:space="preserve"> Fraser CE</w:t>
      </w:r>
      <w:r w:rsidR="00363E29" w:rsidRPr="00E23CED">
        <w:rPr>
          <w:rFonts w:cstheme="minorHAnsi"/>
          <w:color w:val="222222"/>
          <w:szCs w:val="20"/>
          <w:shd w:val="clear" w:color="auto" w:fill="FFFFFF"/>
        </w:rPr>
        <w:t>.</w:t>
      </w:r>
      <w:r w:rsidRPr="00E23CED">
        <w:rPr>
          <w:rFonts w:cstheme="minorHAnsi"/>
          <w:color w:val="222222"/>
          <w:szCs w:val="20"/>
          <w:shd w:val="clear" w:color="auto" w:fill="FFFFFF"/>
        </w:rPr>
        <w:t xml:space="preserve"> 201</w:t>
      </w:r>
      <w:r w:rsidR="005845FE" w:rsidRPr="00E23CED">
        <w:rPr>
          <w:rFonts w:cstheme="minorHAnsi"/>
          <w:color w:val="222222"/>
          <w:szCs w:val="20"/>
          <w:shd w:val="clear" w:color="auto" w:fill="FFFFFF"/>
        </w:rPr>
        <w:t>6</w:t>
      </w:r>
      <w:r w:rsidRPr="00E23CED">
        <w:rPr>
          <w:rFonts w:cstheme="minorHAnsi"/>
          <w:color w:val="222222"/>
          <w:szCs w:val="20"/>
          <w:shd w:val="clear" w:color="auto" w:fill="FFFFFF"/>
        </w:rPr>
        <w:t>. Estimation of catchment nutrient loads in New Zealand using monthly water quality monitoring data. </w:t>
      </w:r>
      <w:r w:rsidRPr="00E23CED">
        <w:rPr>
          <w:rFonts w:cstheme="minorHAnsi"/>
          <w:i/>
          <w:iCs/>
          <w:color w:val="222222"/>
          <w:szCs w:val="20"/>
          <w:shd w:val="clear" w:color="auto" w:fill="FFFFFF"/>
        </w:rPr>
        <w:t>JAWRA Journal of the American Water Resources Association</w:t>
      </w:r>
      <w:r w:rsidRPr="00E23CED">
        <w:rPr>
          <w:rFonts w:cstheme="minorHAnsi"/>
          <w:color w:val="222222"/>
          <w:szCs w:val="20"/>
          <w:shd w:val="clear" w:color="auto" w:fill="FFFFFF"/>
        </w:rPr>
        <w:t> 53(1)</w:t>
      </w:r>
      <w:r w:rsidR="00363E29" w:rsidRPr="00E23CED">
        <w:rPr>
          <w:rFonts w:cstheme="minorHAnsi"/>
          <w:color w:val="222222"/>
          <w:szCs w:val="20"/>
          <w:shd w:val="clear" w:color="auto" w:fill="FFFFFF"/>
        </w:rPr>
        <w:t xml:space="preserve">: </w:t>
      </w:r>
      <w:r w:rsidRPr="00E23CED">
        <w:rPr>
          <w:rFonts w:cstheme="minorHAnsi"/>
          <w:color w:val="222222"/>
          <w:szCs w:val="20"/>
          <w:shd w:val="clear" w:color="auto" w:fill="FFFFFF"/>
        </w:rPr>
        <w:t>158</w:t>
      </w:r>
      <w:r w:rsidR="00600BF2" w:rsidRPr="00E23CED">
        <w:rPr>
          <w:rFonts w:cstheme="minorHAnsi"/>
          <w:color w:val="222222"/>
          <w:szCs w:val="20"/>
          <w:shd w:val="clear" w:color="auto" w:fill="FFFFFF"/>
        </w:rPr>
        <w:t>–</w:t>
      </w:r>
      <w:r w:rsidRPr="00E23CED">
        <w:rPr>
          <w:rFonts w:cstheme="minorHAnsi"/>
          <w:color w:val="222222"/>
          <w:szCs w:val="20"/>
          <w:shd w:val="clear" w:color="auto" w:fill="FFFFFF"/>
        </w:rPr>
        <w:t>178.</w:t>
      </w:r>
    </w:p>
    <w:p w14:paraId="60AE67DF" w14:textId="37680663" w:rsidR="00284287" w:rsidRPr="00E23CED" w:rsidRDefault="00E95A86" w:rsidP="001C452F">
      <w:pPr>
        <w:pStyle w:val="References"/>
        <w:rPr>
          <w:rFonts w:cstheme="minorHAnsi"/>
          <w:szCs w:val="20"/>
        </w:rPr>
      </w:pPr>
      <w:r w:rsidRPr="00E23CED">
        <w:rPr>
          <w:rFonts w:cstheme="minorHAnsi"/>
          <w:szCs w:val="20"/>
          <w:shd w:val="clear" w:color="auto" w:fill="FFFFFF"/>
        </w:rPr>
        <w:t>Snelder TH, Moore C</w:t>
      </w:r>
      <w:r w:rsidR="00A9739A" w:rsidRPr="00E23CED">
        <w:rPr>
          <w:rFonts w:cstheme="minorHAnsi"/>
          <w:szCs w:val="20"/>
          <w:shd w:val="clear" w:color="auto" w:fill="FFFFFF"/>
        </w:rPr>
        <w:t>,</w:t>
      </w:r>
      <w:r w:rsidRPr="00E23CED">
        <w:rPr>
          <w:rFonts w:cstheme="minorHAnsi"/>
          <w:szCs w:val="20"/>
          <w:shd w:val="clear" w:color="auto" w:fill="FFFFFF"/>
        </w:rPr>
        <w:t xml:space="preserve"> Kilroy C</w:t>
      </w:r>
      <w:r w:rsidR="00A9739A" w:rsidRPr="00E23CED">
        <w:rPr>
          <w:rFonts w:cstheme="minorHAnsi"/>
          <w:szCs w:val="20"/>
          <w:shd w:val="clear" w:color="auto" w:fill="FFFFFF"/>
        </w:rPr>
        <w:t>.</w:t>
      </w:r>
      <w:r w:rsidRPr="00E23CED">
        <w:rPr>
          <w:rFonts w:cstheme="minorHAnsi"/>
          <w:szCs w:val="20"/>
          <w:shd w:val="clear" w:color="auto" w:fill="FFFFFF"/>
        </w:rPr>
        <w:t xml:space="preserve"> 2019. Nutrient concentration targets to achieve periphyton biomass objectives incorporating uncertainties. </w:t>
      </w:r>
      <w:r w:rsidRPr="00E23CED">
        <w:rPr>
          <w:rFonts w:cstheme="minorHAnsi"/>
          <w:i/>
          <w:szCs w:val="20"/>
          <w:shd w:val="clear" w:color="auto" w:fill="FFFFFF"/>
        </w:rPr>
        <w:t>JAWRA Journal of the American Water Resources Association</w:t>
      </w:r>
      <w:r w:rsidRPr="00E23CED">
        <w:rPr>
          <w:rFonts w:cstheme="minorHAnsi"/>
          <w:szCs w:val="20"/>
          <w:shd w:val="clear" w:color="auto" w:fill="FFFFFF"/>
        </w:rPr>
        <w:t> 55(6)</w:t>
      </w:r>
      <w:r w:rsidR="00A9739A" w:rsidRPr="00E23CED">
        <w:rPr>
          <w:rFonts w:cstheme="minorHAnsi"/>
          <w:szCs w:val="20"/>
          <w:shd w:val="clear" w:color="auto" w:fill="FFFFFF"/>
        </w:rPr>
        <w:t xml:space="preserve">: </w:t>
      </w:r>
      <w:r w:rsidRPr="00E23CED">
        <w:rPr>
          <w:rFonts w:cstheme="minorHAnsi"/>
          <w:szCs w:val="20"/>
          <w:shd w:val="clear" w:color="auto" w:fill="FFFFFF"/>
        </w:rPr>
        <w:t>1443</w:t>
      </w:r>
      <w:r w:rsidR="00E23363" w:rsidRPr="00E23CED">
        <w:rPr>
          <w:rFonts w:cstheme="minorHAnsi"/>
          <w:szCs w:val="20"/>
          <w:shd w:val="clear" w:color="auto" w:fill="FFFFFF"/>
        </w:rPr>
        <w:t>–</w:t>
      </w:r>
      <w:r w:rsidRPr="00E23CED">
        <w:rPr>
          <w:rFonts w:cstheme="minorHAnsi"/>
          <w:szCs w:val="20"/>
          <w:shd w:val="clear" w:color="auto" w:fill="FFFFFF"/>
        </w:rPr>
        <w:t>1463.</w:t>
      </w:r>
    </w:p>
    <w:p w14:paraId="729A2D05" w14:textId="78A22003" w:rsidR="001E60BC" w:rsidRPr="00E23CED" w:rsidRDefault="0029537E" w:rsidP="001C452F">
      <w:pPr>
        <w:pStyle w:val="References"/>
        <w:rPr>
          <w:szCs w:val="20"/>
        </w:rPr>
      </w:pPr>
      <w:r w:rsidRPr="00E23CED">
        <w:rPr>
          <w:szCs w:val="20"/>
        </w:rPr>
        <w:t>Sorrell B. 2010. Nutrients</w:t>
      </w:r>
      <w:r w:rsidR="001E60BC" w:rsidRPr="00E23CED">
        <w:rPr>
          <w:szCs w:val="20"/>
        </w:rPr>
        <w:t xml:space="preserve">. </w:t>
      </w:r>
      <w:r w:rsidR="00CC3F29" w:rsidRPr="00E23CED">
        <w:rPr>
          <w:szCs w:val="20"/>
        </w:rPr>
        <w:t xml:space="preserve">In: </w:t>
      </w:r>
      <w:r w:rsidR="008D436E" w:rsidRPr="00E23CED">
        <w:rPr>
          <w:szCs w:val="20"/>
        </w:rPr>
        <w:t xml:space="preserve">M </w:t>
      </w:r>
      <w:r w:rsidR="00A24CCD" w:rsidRPr="00E23CED">
        <w:rPr>
          <w:szCs w:val="20"/>
        </w:rPr>
        <w:t>Peters</w:t>
      </w:r>
      <w:r w:rsidR="00677E40" w:rsidRPr="00E23CED">
        <w:rPr>
          <w:szCs w:val="20"/>
        </w:rPr>
        <w:t xml:space="preserve">, B Clarkson (eds) </w:t>
      </w:r>
      <w:r w:rsidR="00A32CC6" w:rsidRPr="00E23CED">
        <w:rPr>
          <w:i/>
          <w:iCs/>
          <w:szCs w:val="20"/>
        </w:rPr>
        <w:t>Wetland Restoration: A handbook for New Zealand freshwater systems</w:t>
      </w:r>
      <w:r w:rsidR="009C4785" w:rsidRPr="00E23CED">
        <w:rPr>
          <w:szCs w:val="20"/>
        </w:rPr>
        <w:t>.</w:t>
      </w:r>
      <w:r w:rsidR="001B523D" w:rsidRPr="00E23CED">
        <w:rPr>
          <w:szCs w:val="20"/>
        </w:rPr>
        <w:t xml:space="preserve"> </w:t>
      </w:r>
      <w:r w:rsidR="001F60A7" w:rsidRPr="00E23CED">
        <w:rPr>
          <w:szCs w:val="20"/>
        </w:rPr>
        <w:t>Lincoln: Manaaki Whenua Press</w:t>
      </w:r>
      <w:r w:rsidR="00A4788D" w:rsidRPr="00E23CED">
        <w:rPr>
          <w:szCs w:val="20"/>
        </w:rPr>
        <w:t xml:space="preserve">. </w:t>
      </w:r>
      <w:r w:rsidR="00EB3891" w:rsidRPr="00E23CED">
        <w:rPr>
          <w:szCs w:val="20"/>
        </w:rPr>
        <w:t>pp 100</w:t>
      </w:r>
      <w:r w:rsidR="000E42B9" w:rsidRPr="00E23CED">
        <w:rPr>
          <w:szCs w:val="20"/>
        </w:rPr>
        <w:t>–</w:t>
      </w:r>
      <w:r w:rsidR="00EB3891" w:rsidRPr="00E23CED">
        <w:rPr>
          <w:szCs w:val="20"/>
        </w:rPr>
        <w:t>121.</w:t>
      </w:r>
    </w:p>
    <w:p w14:paraId="7EDB5474" w14:textId="5E8F8973" w:rsidR="006A119C" w:rsidRPr="00E23CED" w:rsidRDefault="000C06DA" w:rsidP="001C452F">
      <w:pPr>
        <w:pStyle w:val="References"/>
        <w:rPr>
          <w:szCs w:val="20"/>
        </w:rPr>
      </w:pPr>
      <w:r w:rsidRPr="00E23CED">
        <w:rPr>
          <w:szCs w:val="20"/>
        </w:rPr>
        <w:t>Suplee MW, Watson V, Dodds WK, Shirley C. 2012</w:t>
      </w:r>
      <w:r w:rsidR="006A119C" w:rsidRPr="00E23CED">
        <w:rPr>
          <w:szCs w:val="20"/>
        </w:rPr>
        <w:t>.</w:t>
      </w:r>
      <w:r w:rsidRPr="00E23CED">
        <w:rPr>
          <w:szCs w:val="20"/>
        </w:rPr>
        <w:t xml:space="preserve"> Response of algal biomass to large-scale nutrient controls in the Clark Fork River, Montana, United States. </w:t>
      </w:r>
      <w:r w:rsidRPr="00E23CED">
        <w:rPr>
          <w:i/>
          <w:iCs/>
          <w:szCs w:val="20"/>
        </w:rPr>
        <w:t>Journal of the American Water Resources Association</w:t>
      </w:r>
      <w:r w:rsidRPr="00E23CED">
        <w:rPr>
          <w:szCs w:val="20"/>
        </w:rPr>
        <w:t xml:space="preserve"> 48(5): 1008</w:t>
      </w:r>
      <w:r w:rsidR="009B1A0C" w:rsidRPr="00E23CED">
        <w:rPr>
          <w:szCs w:val="20"/>
        </w:rPr>
        <w:t>–</w:t>
      </w:r>
      <w:r w:rsidRPr="00E23CED">
        <w:rPr>
          <w:szCs w:val="20"/>
        </w:rPr>
        <w:t xml:space="preserve">1021. </w:t>
      </w:r>
    </w:p>
    <w:p w14:paraId="2A9F84B6" w14:textId="7EB30966" w:rsidR="00E63382" w:rsidRPr="00E23CED" w:rsidRDefault="000972BE" w:rsidP="001C452F">
      <w:pPr>
        <w:pStyle w:val="References"/>
        <w:rPr>
          <w:szCs w:val="20"/>
        </w:rPr>
      </w:pPr>
      <w:r w:rsidRPr="00E23CED">
        <w:rPr>
          <w:szCs w:val="20"/>
        </w:rPr>
        <w:t>US EPA (</w:t>
      </w:r>
      <w:r w:rsidR="00DD269D" w:rsidRPr="00E23CED">
        <w:rPr>
          <w:szCs w:val="20"/>
        </w:rPr>
        <w:t>United States Environmental Protection Agency). 2008</w:t>
      </w:r>
      <w:r w:rsidR="000E66D0" w:rsidRPr="00E23CED">
        <w:rPr>
          <w:szCs w:val="20"/>
        </w:rPr>
        <w:t>.</w:t>
      </w:r>
      <w:r w:rsidR="00DD269D" w:rsidRPr="00E23CED">
        <w:rPr>
          <w:szCs w:val="20"/>
        </w:rPr>
        <w:t xml:space="preserve"> </w:t>
      </w:r>
      <w:r w:rsidR="00DD269D" w:rsidRPr="00E23CED">
        <w:rPr>
          <w:i/>
          <w:iCs/>
          <w:szCs w:val="20"/>
        </w:rPr>
        <w:t xml:space="preserve">Nutrient </w:t>
      </w:r>
      <w:r w:rsidR="009B1A0C" w:rsidRPr="00E23CED">
        <w:rPr>
          <w:i/>
          <w:iCs/>
          <w:szCs w:val="20"/>
        </w:rPr>
        <w:t>c</w:t>
      </w:r>
      <w:r w:rsidR="00DD269D" w:rsidRPr="00E23CED">
        <w:rPr>
          <w:i/>
          <w:iCs/>
          <w:szCs w:val="20"/>
        </w:rPr>
        <w:t xml:space="preserve">riteria </w:t>
      </w:r>
      <w:r w:rsidR="009B1A0C" w:rsidRPr="00E23CED">
        <w:rPr>
          <w:i/>
          <w:iCs/>
          <w:szCs w:val="20"/>
        </w:rPr>
        <w:t>t</w:t>
      </w:r>
      <w:r w:rsidR="00DD269D" w:rsidRPr="00E23CED">
        <w:rPr>
          <w:i/>
          <w:iCs/>
          <w:szCs w:val="20"/>
        </w:rPr>
        <w:t xml:space="preserve">echnical </w:t>
      </w:r>
      <w:r w:rsidR="009B1A0C" w:rsidRPr="00E23CED">
        <w:rPr>
          <w:i/>
          <w:iCs/>
          <w:szCs w:val="20"/>
        </w:rPr>
        <w:t>g</w:t>
      </w:r>
      <w:r w:rsidR="00DD269D" w:rsidRPr="00E23CED">
        <w:rPr>
          <w:i/>
          <w:iCs/>
          <w:szCs w:val="20"/>
        </w:rPr>
        <w:t xml:space="preserve">uidance </w:t>
      </w:r>
      <w:r w:rsidR="009B1A0C" w:rsidRPr="00E23CED">
        <w:rPr>
          <w:i/>
          <w:iCs/>
          <w:szCs w:val="20"/>
        </w:rPr>
        <w:t>m</w:t>
      </w:r>
      <w:r w:rsidR="00DD269D" w:rsidRPr="00E23CED">
        <w:rPr>
          <w:i/>
          <w:iCs/>
          <w:szCs w:val="20"/>
        </w:rPr>
        <w:t>anual: Wetlands</w:t>
      </w:r>
      <w:r w:rsidR="00DD269D" w:rsidRPr="00E23CED">
        <w:rPr>
          <w:szCs w:val="20"/>
        </w:rPr>
        <w:t xml:space="preserve">. </w:t>
      </w:r>
      <w:r w:rsidR="00E63382" w:rsidRPr="00E23CED">
        <w:rPr>
          <w:szCs w:val="20"/>
        </w:rPr>
        <w:t>Washington</w:t>
      </w:r>
      <w:r w:rsidR="00D51BDD" w:rsidRPr="00E23CED">
        <w:rPr>
          <w:szCs w:val="20"/>
        </w:rPr>
        <w:t>,</w:t>
      </w:r>
      <w:r w:rsidR="00E63382" w:rsidRPr="00E23CED">
        <w:rPr>
          <w:szCs w:val="20"/>
        </w:rPr>
        <w:t xml:space="preserve"> DC</w:t>
      </w:r>
      <w:r w:rsidR="0097798F" w:rsidRPr="00E23CED">
        <w:rPr>
          <w:szCs w:val="20"/>
        </w:rPr>
        <w:t>: Office of Water, United States Environmental Protection Agency</w:t>
      </w:r>
      <w:r w:rsidR="00ED08A4" w:rsidRPr="00E23CED">
        <w:rPr>
          <w:szCs w:val="20"/>
        </w:rPr>
        <w:t>, EPA-822-B-08-001.</w:t>
      </w:r>
    </w:p>
    <w:p w14:paraId="31BB73EC" w14:textId="43DD9DF4" w:rsidR="00284287" w:rsidRPr="00E23CED" w:rsidRDefault="00D02AAF" w:rsidP="001C452F">
      <w:pPr>
        <w:pStyle w:val="References"/>
        <w:rPr>
          <w:szCs w:val="20"/>
        </w:rPr>
      </w:pPr>
      <w:r w:rsidRPr="00E23CED">
        <w:rPr>
          <w:szCs w:val="20"/>
          <w:shd w:val="clear" w:color="auto" w:fill="FFFFFF"/>
        </w:rPr>
        <w:t xml:space="preserve">Zeldis J, Plew D, Whitehead A, Madarasz-Smith A, Oliver M, Stevens L, Robertson B, Burge O, Dudley B. 2017. </w:t>
      </w:r>
      <w:r w:rsidRPr="00E23CED">
        <w:rPr>
          <w:i/>
          <w:szCs w:val="20"/>
          <w:shd w:val="clear" w:color="auto" w:fill="FFFFFF"/>
        </w:rPr>
        <w:t xml:space="preserve">The New Zealand </w:t>
      </w:r>
      <w:r w:rsidR="00825933" w:rsidRPr="00E23CED">
        <w:rPr>
          <w:i/>
          <w:szCs w:val="20"/>
          <w:shd w:val="clear" w:color="auto" w:fill="FFFFFF"/>
        </w:rPr>
        <w:t>e</w:t>
      </w:r>
      <w:r w:rsidRPr="00E23CED">
        <w:rPr>
          <w:i/>
          <w:szCs w:val="20"/>
          <w:shd w:val="clear" w:color="auto" w:fill="FFFFFF"/>
        </w:rPr>
        <w:t xml:space="preserve">stuary </w:t>
      </w:r>
      <w:r w:rsidR="00825933" w:rsidRPr="00E23CED">
        <w:rPr>
          <w:i/>
          <w:szCs w:val="20"/>
          <w:shd w:val="clear" w:color="auto" w:fill="FFFFFF"/>
        </w:rPr>
        <w:t>t</w:t>
      </w:r>
      <w:r w:rsidRPr="00E23CED">
        <w:rPr>
          <w:i/>
          <w:szCs w:val="20"/>
          <w:shd w:val="clear" w:color="auto" w:fill="FFFFFF"/>
        </w:rPr>
        <w:t xml:space="preserve">rophic </w:t>
      </w:r>
      <w:r w:rsidR="00825933" w:rsidRPr="00E23CED">
        <w:rPr>
          <w:i/>
          <w:szCs w:val="20"/>
          <w:shd w:val="clear" w:color="auto" w:fill="FFFFFF"/>
        </w:rPr>
        <w:t>i</w:t>
      </w:r>
      <w:r w:rsidRPr="00E23CED">
        <w:rPr>
          <w:i/>
          <w:szCs w:val="20"/>
          <w:shd w:val="clear" w:color="auto" w:fill="FFFFFF"/>
        </w:rPr>
        <w:t xml:space="preserve">ndex (ETI) </w:t>
      </w:r>
      <w:r w:rsidR="00825933" w:rsidRPr="00E23CED">
        <w:rPr>
          <w:i/>
          <w:szCs w:val="20"/>
          <w:shd w:val="clear" w:color="auto" w:fill="FFFFFF"/>
        </w:rPr>
        <w:t>t</w:t>
      </w:r>
      <w:r w:rsidRPr="00E23CED">
        <w:rPr>
          <w:i/>
          <w:szCs w:val="20"/>
          <w:shd w:val="clear" w:color="auto" w:fill="FFFFFF"/>
        </w:rPr>
        <w:t xml:space="preserve">ools: Web </w:t>
      </w:r>
      <w:r w:rsidR="00825933" w:rsidRPr="00E23CED">
        <w:rPr>
          <w:i/>
          <w:szCs w:val="20"/>
          <w:shd w:val="clear" w:color="auto" w:fill="FFFFFF"/>
        </w:rPr>
        <w:t>t</w:t>
      </w:r>
      <w:r w:rsidRPr="00E23CED">
        <w:rPr>
          <w:i/>
          <w:szCs w:val="20"/>
          <w:shd w:val="clear" w:color="auto" w:fill="FFFFFF"/>
        </w:rPr>
        <w:t xml:space="preserve">ool 1 </w:t>
      </w:r>
      <w:r w:rsidR="00E81642" w:rsidRPr="00E23CED">
        <w:rPr>
          <w:i/>
          <w:szCs w:val="20"/>
          <w:shd w:val="clear" w:color="auto" w:fill="FFFFFF"/>
        </w:rPr>
        <w:t>–</w:t>
      </w:r>
      <w:r w:rsidRPr="00E23CED">
        <w:rPr>
          <w:i/>
          <w:szCs w:val="20"/>
          <w:shd w:val="clear" w:color="auto" w:fill="FFFFFF"/>
        </w:rPr>
        <w:t xml:space="preserve"> </w:t>
      </w:r>
      <w:r w:rsidR="00825933" w:rsidRPr="00E23CED">
        <w:rPr>
          <w:i/>
          <w:szCs w:val="20"/>
          <w:shd w:val="clear" w:color="auto" w:fill="FFFFFF"/>
        </w:rPr>
        <w:t>d</w:t>
      </w:r>
      <w:r w:rsidRPr="00E23CED">
        <w:rPr>
          <w:i/>
          <w:szCs w:val="20"/>
          <w:shd w:val="clear" w:color="auto" w:fill="FFFFFF"/>
        </w:rPr>
        <w:t xml:space="preserve">etermining </w:t>
      </w:r>
      <w:r w:rsidR="00825933" w:rsidRPr="00E23CED">
        <w:rPr>
          <w:i/>
          <w:szCs w:val="20"/>
          <w:shd w:val="clear" w:color="auto" w:fill="FFFFFF"/>
        </w:rPr>
        <w:t>e</w:t>
      </w:r>
      <w:r w:rsidRPr="00E23CED">
        <w:rPr>
          <w:i/>
          <w:szCs w:val="20"/>
          <w:shd w:val="clear" w:color="auto" w:fill="FFFFFF"/>
        </w:rPr>
        <w:t xml:space="preserve">utrophication </w:t>
      </w:r>
      <w:r w:rsidR="00825933" w:rsidRPr="00E23CED">
        <w:rPr>
          <w:i/>
          <w:szCs w:val="20"/>
          <w:shd w:val="clear" w:color="auto" w:fill="FFFFFF"/>
        </w:rPr>
        <w:t>s</w:t>
      </w:r>
      <w:r w:rsidRPr="00E23CED">
        <w:rPr>
          <w:i/>
          <w:szCs w:val="20"/>
          <w:shd w:val="clear" w:color="auto" w:fill="FFFFFF"/>
        </w:rPr>
        <w:t xml:space="preserve">usceptibility using </w:t>
      </w:r>
      <w:r w:rsidR="00825933" w:rsidRPr="00E23CED">
        <w:rPr>
          <w:i/>
          <w:szCs w:val="20"/>
          <w:shd w:val="clear" w:color="auto" w:fill="FFFFFF"/>
        </w:rPr>
        <w:t>p</w:t>
      </w:r>
      <w:r w:rsidRPr="00E23CED">
        <w:rPr>
          <w:i/>
          <w:szCs w:val="20"/>
          <w:shd w:val="clear" w:color="auto" w:fill="FFFFFF"/>
        </w:rPr>
        <w:t xml:space="preserve">hysical and </w:t>
      </w:r>
      <w:r w:rsidR="00825933" w:rsidRPr="00E23CED">
        <w:rPr>
          <w:i/>
          <w:szCs w:val="20"/>
          <w:shd w:val="clear" w:color="auto" w:fill="FFFFFF"/>
        </w:rPr>
        <w:t>n</w:t>
      </w:r>
      <w:r w:rsidRPr="00E23CED">
        <w:rPr>
          <w:i/>
          <w:szCs w:val="20"/>
          <w:shd w:val="clear" w:color="auto" w:fill="FFFFFF"/>
        </w:rPr>
        <w:t xml:space="preserve">utrient </w:t>
      </w:r>
      <w:r w:rsidR="00825933" w:rsidRPr="00E23CED">
        <w:rPr>
          <w:i/>
          <w:szCs w:val="20"/>
          <w:shd w:val="clear" w:color="auto" w:fill="FFFFFF"/>
        </w:rPr>
        <w:t>l</w:t>
      </w:r>
      <w:r w:rsidRPr="00E23CED">
        <w:rPr>
          <w:i/>
          <w:szCs w:val="20"/>
          <w:shd w:val="clear" w:color="auto" w:fill="FFFFFF"/>
        </w:rPr>
        <w:t xml:space="preserve">oad </w:t>
      </w:r>
      <w:r w:rsidR="00825933" w:rsidRPr="00E23CED">
        <w:rPr>
          <w:i/>
          <w:szCs w:val="20"/>
          <w:shd w:val="clear" w:color="auto" w:fill="FFFFFF"/>
        </w:rPr>
        <w:t>d</w:t>
      </w:r>
      <w:r w:rsidRPr="00E23CED">
        <w:rPr>
          <w:i/>
          <w:szCs w:val="20"/>
          <w:shd w:val="clear" w:color="auto" w:fill="FFFFFF"/>
        </w:rPr>
        <w:t>ata</w:t>
      </w:r>
      <w:r w:rsidRPr="00E23CED">
        <w:rPr>
          <w:szCs w:val="20"/>
          <w:shd w:val="clear" w:color="auto" w:fill="FFFFFF"/>
        </w:rPr>
        <w:t>.</w:t>
      </w:r>
      <w:r w:rsidRPr="00E23CED">
        <w:rPr>
          <w:i/>
          <w:szCs w:val="20"/>
          <w:shd w:val="clear" w:color="auto" w:fill="FFFFFF"/>
        </w:rPr>
        <w:t> </w:t>
      </w:r>
      <w:r w:rsidR="00E81642" w:rsidRPr="00E23CED">
        <w:rPr>
          <w:iCs/>
          <w:szCs w:val="20"/>
          <w:shd w:val="clear" w:color="auto" w:fill="FFFFFF"/>
        </w:rPr>
        <w:t xml:space="preserve">Wellington: </w:t>
      </w:r>
      <w:r w:rsidRPr="00E23CED">
        <w:rPr>
          <w:szCs w:val="20"/>
          <w:shd w:val="clear" w:color="auto" w:fill="FFFFFF"/>
        </w:rPr>
        <w:t>Ministry of Business, Innovation and Employment Envirolink Tools: C01X1420.</w:t>
      </w:r>
    </w:p>
    <w:p w14:paraId="0C9E0286" w14:textId="77777777" w:rsidR="00BF6B50" w:rsidRPr="00E23CED" w:rsidRDefault="00BF6B50" w:rsidP="001C452F">
      <w:pPr>
        <w:pStyle w:val="References"/>
        <w:rPr>
          <w:szCs w:val="20"/>
        </w:rPr>
      </w:pPr>
      <w:bookmarkStart w:id="132" w:name="_Appendix_1:_Previous"/>
      <w:bookmarkStart w:id="133" w:name="_Appendix_2:_Other"/>
      <w:bookmarkStart w:id="134" w:name="_Appendix_3:_Developing"/>
      <w:bookmarkStart w:id="135" w:name="figure24"/>
      <w:bookmarkEnd w:id="132"/>
      <w:bookmarkEnd w:id="133"/>
      <w:bookmarkEnd w:id="134"/>
      <w:bookmarkEnd w:id="135"/>
    </w:p>
    <w:sectPr w:rsidR="00BF6B50" w:rsidRPr="00E23CED" w:rsidSect="00767CE2">
      <w:headerReference w:type="even" r:id="rId77"/>
      <w:footerReference w:type="even" r:id="rId78"/>
      <w:footerReference w:type="default" r:id="rId7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A07D2" w14:textId="77777777" w:rsidR="001F4F45" w:rsidRDefault="001F4F45" w:rsidP="0080531E">
      <w:r>
        <w:separator/>
      </w:r>
    </w:p>
    <w:p w14:paraId="6AFAF866" w14:textId="77777777" w:rsidR="001F4F45" w:rsidRDefault="001F4F45"/>
  </w:endnote>
  <w:endnote w:type="continuationSeparator" w:id="0">
    <w:p w14:paraId="76CB1922" w14:textId="77777777" w:rsidR="001F4F45" w:rsidRDefault="001F4F45" w:rsidP="0080531E">
      <w:r>
        <w:continuationSeparator/>
      </w:r>
    </w:p>
    <w:p w14:paraId="68901ECA" w14:textId="77777777" w:rsidR="001F4F45" w:rsidRDefault="001F4F45"/>
  </w:endnote>
  <w:endnote w:type="continuationNotice" w:id="1">
    <w:p w14:paraId="47726AA6" w14:textId="77777777" w:rsidR="001F4F45" w:rsidRDefault="001F4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r>
      <w:rPr>
        <w:b/>
        <w:bCs/>
        <w:noProof/>
      </w:rPr>
      <w:drawing>
        <wp:inline distT="0" distB="0" distL="0" distR="0" wp14:anchorId="78E210DE" wp14:editId="13AE1C6C">
          <wp:extent cx="2239911" cy="538480"/>
          <wp:effectExtent l="0" t="0" r="0" b="0"/>
          <wp:docPr id="1815070484" name="Picture 181507048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612B4C9A" w:rsidR="00E453AB" w:rsidRPr="0068454E" w:rsidRDefault="00E453AB" w:rsidP="00684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096311F1" w:rsidR="00E453AB" w:rsidRDefault="00E5210B" w:rsidP="00CD25E1">
    <w:pPr>
      <w:pStyle w:val="Footerodd"/>
    </w:pPr>
    <w:r>
      <w:tab/>
    </w:r>
    <w:r w:rsidR="00D90174">
      <w:t xml:space="preserve">DRAFT FOR REVIEW </w:t>
    </w:r>
    <w:r w:rsidR="009F4068" w:rsidRPr="009F4068">
      <w:t xml:space="preserve">A guide to </w:t>
    </w:r>
    <w:r w:rsidR="000B415D" w:rsidRPr="000B415D">
      <w:t xml:space="preserve">implementing </w:t>
    </w:r>
    <w:r w:rsidR="00096648">
      <w:t>Clause</w:t>
    </w:r>
    <w:r w:rsidR="000B415D" w:rsidRPr="000B415D">
      <w:t xml:space="preserve"> 3.13 of the NPS-FM 2020</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B22D" w14:textId="7A61733C" w:rsidR="0068454E" w:rsidRDefault="0068454E"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0B415D">
      <w:t xml:space="preserve">A guide to implementing </w:t>
    </w:r>
    <w:r w:rsidR="00421654">
      <w:t>c</w:t>
    </w:r>
    <w:r>
      <w:t>lause</w:t>
    </w:r>
    <w:r w:rsidRPr="000B415D">
      <w:t xml:space="preserve"> 3.13 of the NPS-FM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ABAB" w14:textId="3C2CC4F0" w:rsidR="0068454E" w:rsidRDefault="0068454E" w:rsidP="00CD25E1">
    <w:pPr>
      <w:pStyle w:val="Footerodd"/>
    </w:pPr>
    <w:r>
      <w:tab/>
    </w:r>
    <w:r w:rsidRPr="009F4068">
      <w:t xml:space="preserve">A guide to </w:t>
    </w:r>
    <w:r w:rsidRPr="000B415D">
      <w:t xml:space="preserve">implementing </w:t>
    </w:r>
    <w:r w:rsidR="00421654">
      <w:t>c</w:t>
    </w:r>
    <w:r>
      <w:t>lause</w:t>
    </w:r>
    <w:r w:rsidRPr="000B415D">
      <w:t xml:space="preserve"> 3.13 of the NPS-FM 2020</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EF03" w14:textId="77777777" w:rsidR="001F4F45" w:rsidRDefault="001F4F45" w:rsidP="00CB5C5F">
      <w:pPr>
        <w:spacing w:after="80"/>
      </w:pPr>
      <w:r>
        <w:separator/>
      </w:r>
    </w:p>
  </w:footnote>
  <w:footnote w:type="continuationSeparator" w:id="0">
    <w:p w14:paraId="26F4A86E" w14:textId="77777777" w:rsidR="001F4F45" w:rsidRDefault="001F4F45" w:rsidP="0080531E">
      <w:r>
        <w:continuationSeparator/>
      </w:r>
    </w:p>
    <w:p w14:paraId="12EE4C7F" w14:textId="77777777" w:rsidR="001F4F45" w:rsidRDefault="001F4F45"/>
  </w:footnote>
  <w:footnote w:type="continuationNotice" w:id="1">
    <w:p w14:paraId="29A5FF17" w14:textId="77777777" w:rsidR="001F4F45" w:rsidRDefault="001F4F45"/>
  </w:footnote>
  <w:footnote w:id="2">
    <w:p w14:paraId="28C82C97" w14:textId="31A18989" w:rsidR="006C1908" w:rsidRDefault="006C1908" w:rsidP="00F44AE8">
      <w:pPr>
        <w:pStyle w:val="FootnoteText"/>
      </w:pPr>
      <w:r>
        <w:rPr>
          <w:rStyle w:val="FootnoteReference"/>
        </w:rPr>
        <w:footnoteRef/>
      </w:r>
      <w:r>
        <w:t xml:space="preserve"> </w:t>
      </w:r>
      <w:r w:rsidR="00F44AE8">
        <w:tab/>
      </w:r>
      <w:r w:rsidRPr="004F53DE">
        <w:t>Council</w:t>
      </w:r>
      <w:r w:rsidR="002C3DF2">
        <w:t>s</w:t>
      </w:r>
      <w:r w:rsidRPr="004F53DE">
        <w:t xml:space="preserve"> must engage with </w:t>
      </w:r>
      <w:r w:rsidR="00BF3E25">
        <w:t>their</w:t>
      </w:r>
      <w:r w:rsidR="009B25B0">
        <w:t xml:space="preserve"> wider</w:t>
      </w:r>
      <w:r w:rsidR="00BF3E25">
        <w:t xml:space="preserve"> communities</w:t>
      </w:r>
      <w:r w:rsidRPr="004F53DE">
        <w:t xml:space="preserve"> to identify values and</w:t>
      </w:r>
      <w:r w:rsidR="009B25B0">
        <w:t xml:space="preserve"> </w:t>
      </w:r>
      <w:r w:rsidR="00A36581">
        <w:t>actively involve</w:t>
      </w:r>
      <w:r w:rsidRPr="004F53DE">
        <w:t xml:space="preserve"> tangata whenua to identify Māori values.</w:t>
      </w:r>
      <w:r>
        <w:t xml:space="preserve"> For more information, see th</w:t>
      </w:r>
      <w:r w:rsidR="00B9683C">
        <w:t>e guidance on clause 3.9:</w:t>
      </w:r>
      <w:r w:rsidR="009C148F" w:rsidRPr="009C148F">
        <w:t xml:space="preserve"> </w:t>
      </w:r>
      <w:hyperlink r:id="rId1" w:anchor="policy-intent-10" w:history="1">
        <w:r w:rsidR="009C148F" w:rsidRPr="009C148F">
          <w:rPr>
            <w:rStyle w:val="Hyperlink"/>
          </w:rPr>
          <w:t>Identifying values and setting environmental outcomes as objectives</w:t>
        </w:r>
      </w:hyperlink>
      <w:r w:rsidR="00264532" w:rsidRPr="00237CE1">
        <w:rPr>
          <w:rStyle w:val="Hyperlink"/>
          <w:color w:val="auto"/>
        </w:rPr>
        <w:t>.</w:t>
      </w:r>
    </w:p>
  </w:footnote>
  <w:footnote w:id="3">
    <w:p w14:paraId="43FF6233" w14:textId="77777777" w:rsidR="00531186" w:rsidRDefault="00531186" w:rsidP="00531186">
      <w:pPr>
        <w:pStyle w:val="FootnoteText"/>
      </w:pPr>
      <w:r>
        <w:rPr>
          <w:rStyle w:val="FootnoteReference"/>
        </w:rPr>
        <w:footnoteRef/>
      </w:r>
      <w:r>
        <w:t xml:space="preserve"> </w:t>
      </w:r>
      <w:r>
        <w:tab/>
        <w:t>Noting certified copies of technical documents ‘incorporated by reference’ in the NPS-FM 2020 have the same legal effect as the NPS-FM.</w:t>
      </w:r>
    </w:p>
  </w:footnote>
  <w:footnote w:id="4">
    <w:p w14:paraId="0A812CCD" w14:textId="30F7D9C1" w:rsidR="007D0228" w:rsidRDefault="007D0228" w:rsidP="00094508">
      <w:pPr>
        <w:pStyle w:val="FootnoteText"/>
        <w:spacing w:after="40"/>
      </w:pPr>
      <w:r>
        <w:rPr>
          <w:rStyle w:val="FootnoteReference"/>
        </w:rPr>
        <w:footnoteRef/>
      </w:r>
      <w:r>
        <w:t xml:space="preserve"> </w:t>
      </w:r>
      <w:r w:rsidR="00C8342E">
        <w:tab/>
      </w:r>
      <w:r>
        <w:t>For example</w:t>
      </w:r>
      <w:r w:rsidR="001B7F72">
        <w:t>,</w:t>
      </w:r>
      <w:r>
        <w:t xml:space="preserve"> </w:t>
      </w:r>
      <w:proofErr w:type="spellStart"/>
      <w:r>
        <w:t>wadeable</w:t>
      </w:r>
      <w:proofErr w:type="spellEnd"/>
      <w:r w:rsidR="003865A6">
        <w:t xml:space="preserve"> and</w:t>
      </w:r>
      <w:r>
        <w:t>/</w:t>
      </w:r>
      <w:r w:rsidR="003865A6">
        <w:t xml:space="preserve">or </w:t>
      </w:r>
      <w:r>
        <w:t>non-</w:t>
      </w:r>
      <w:proofErr w:type="spellStart"/>
      <w:r>
        <w:t>wadeable</w:t>
      </w:r>
      <w:proofErr w:type="spellEnd"/>
      <w:r>
        <w:t>; hard-bottomed</w:t>
      </w:r>
      <w:r w:rsidR="003865A6">
        <w:t xml:space="preserve"> and</w:t>
      </w:r>
      <w:r>
        <w:t>/</w:t>
      </w:r>
      <w:r w:rsidR="003865A6">
        <w:t xml:space="preserve">or </w:t>
      </w:r>
      <w:r>
        <w:t xml:space="preserve">soft-bottomed; </w:t>
      </w:r>
      <w:r w:rsidR="00DA20EF">
        <w:t>upland</w:t>
      </w:r>
      <w:r w:rsidR="003865A6">
        <w:t xml:space="preserve"> and</w:t>
      </w:r>
      <w:r w:rsidR="00DA20EF">
        <w:t>/</w:t>
      </w:r>
      <w:r w:rsidR="003865A6">
        <w:t xml:space="preserve">or </w:t>
      </w:r>
      <w:r w:rsidR="00DA20EF">
        <w:t>lowland.</w:t>
      </w:r>
    </w:p>
  </w:footnote>
  <w:footnote w:id="5">
    <w:p w14:paraId="5D7B9B2A" w14:textId="5DE83341" w:rsidR="004E78CF" w:rsidRDefault="004E78CF" w:rsidP="00094508">
      <w:pPr>
        <w:pStyle w:val="FootnoteText"/>
        <w:spacing w:after="40"/>
      </w:pPr>
      <w:r>
        <w:rPr>
          <w:rStyle w:val="FootnoteReference"/>
        </w:rPr>
        <w:footnoteRef/>
      </w:r>
      <w:r>
        <w:t xml:space="preserve"> </w:t>
      </w:r>
      <w:r w:rsidR="00C8342E">
        <w:tab/>
      </w:r>
      <w:r>
        <w:t xml:space="preserve">See </w:t>
      </w:r>
      <w:r w:rsidR="001B7F72">
        <w:t>f</w:t>
      </w:r>
      <w:r>
        <w:t>igure 2.</w:t>
      </w:r>
    </w:p>
  </w:footnote>
  <w:footnote w:id="6">
    <w:p w14:paraId="22C03C8A" w14:textId="3BFA33F6" w:rsidR="0008557C" w:rsidRDefault="0008557C">
      <w:pPr>
        <w:pStyle w:val="FootnoteText"/>
      </w:pPr>
      <w:r>
        <w:rPr>
          <w:rStyle w:val="FootnoteReference"/>
        </w:rPr>
        <w:footnoteRef/>
      </w:r>
      <w:r>
        <w:t xml:space="preserve"> </w:t>
      </w:r>
      <w:r w:rsidR="004D4A10">
        <w:tab/>
      </w:r>
      <w:r>
        <w:t>As d</w:t>
      </w:r>
      <w:r w:rsidRPr="007F6C69">
        <w:t xml:space="preserve">escribed in </w:t>
      </w:r>
      <w:hyperlink r:id="rId2" w:history="1">
        <w:r w:rsidRPr="00664CAB">
          <w:rPr>
            <w:rStyle w:val="Hyperlink"/>
            <w:i/>
            <w:iCs/>
          </w:rPr>
          <w:t>He Ārahitanga mō Te Anga Whāinga ā-Motu o te NPS-FM: Guidance on the National Objectives Framework of the NPS-FM</w:t>
        </w:r>
      </w:hyperlink>
      <w:r w:rsidRPr="00664CAB">
        <w:rPr>
          <w:rStyle w:val="Hyperlink"/>
          <w:i/>
          <w:iCs/>
        </w:rPr>
        <w:t xml:space="preserve"> </w:t>
      </w:r>
      <w:r w:rsidRPr="007F6C69">
        <w:rPr>
          <w:rStyle w:val="Hyperlink"/>
          <w:color w:val="auto"/>
        </w:rPr>
        <w:t>(Ministry for the Environment, 2023)</w:t>
      </w:r>
      <w:r w:rsidR="004D4A10">
        <w:rPr>
          <w:rStyle w:val="Hyperlink"/>
          <w:color w:val="auto"/>
        </w:rPr>
        <w:t>.</w:t>
      </w:r>
      <w:r w:rsidRPr="007F6C69">
        <w:rPr>
          <w:rStyle w:val="Hyperlink"/>
          <w:color w:val="auto"/>
        </w:rPr>
        <w:t xml:space="preserve"> </w:t>
      </w:r>
    </w:p>
  </w:footnote>
  <w:footnote w:id="7">
    <w:p w14:paraId="614498D0" w14:textId="451031EF" w:rsidR="0065524E" w:rsidRDefault="0065524E" w:rsidP="00D72ECF">
      <w:pPr>
        <w:pStyle w:val="FootnoteText"/>
      </w:pPr>
      <w:r>
        <w:rPr>
          <w:rStyle w:val="FootnoteReference"/>
        </w:rPr>
        <w:footnoteRef/>
      </w:r>
      <w:r>
        <w:t xml:space="preserve"> </w:t>
      </w:r>
      <w:r w:rsidR="00D72ECF">
        <w:tab/>
      </w:r>
      <w:r>
        <w:t>Strategy 1</w:t>
      </w:r>
      <w:r w:rsidR="00F57BB3">
        <w:t xml:space="preserve">: Use </w:t>
      </w:r>
      <w:r w:rsidR="00502070">
        <w:t xml:space="preserve">ICTs that have already been developed for a nutrient-affected attribute. Strategy 2: Model ICTs for the most sensitive </w:t>
      </w:r>
      <w:r w:rsidR="002C5609">
        <w:t xml:space="preserve">attribute. </w:t>
      </w:r>
      <w:r w:rsidR="0099063A">
        <w:t xml:space="preserve">Strategy 3: Model ICTs of a subset of attributes for which we have sufficient data. Strategy 4: </w:t>
      </w:r>
      <w:r w:rsidR="00710A42" w:rsidRPr="00D72ECF">
        <w:t>Implement</w:t>
      </w:r>
      <w:r w:rsidR="00710A42">
        <w:t xml:space="preserve"> monitoring to obtain data to refine ICTs for a subset of attributes.</w:t>
      </w:r>
    </w:p>
  </w:footnote>
  <w:footnote w:id="8">
    <w:p w14:paraId="365AAF88" w14:textId="19586D8D" w:rsidR="00662A13" w:rsidRDefault="00662A13" w:rsidP="00D72ECF">
      <w:pPr>
        <w:pStyle w:val="FootnoteText"/>
      </w:pPr>
      <w:r>
        <w:rPr>
          <w:rStyle w:val="FootnoteReference"/>
        </w:rPr>
        <w:footnoteRef/>
      </w:r>
      <w:r>
        <w:t xml:space="preserve"> </w:t>
      </w:r>
      <w:bookmarkStart w:id="64" w:name="_Hlk131576785"/>
      <w:r w:rsidR="00D72ECF">
        <w:tab/>
      </w:r>
      <w:r w:rsidR="00DC5FF6">
        <w:t>Ministry for the Environment</w:t>
      </w:r>
      <w:r w:rsidRPr="0029239E">
        <w:t xml:space="preserve"> (2022</w:t>
      </w:r>
      <w:r w:rsidR="00A9441B" w:rsidRPr="0029239E">
        <w:t>b</w:t>
      </w:r>
      <w:r w:rsidRPr="0029239E">
        <w:t>)</w:t>
      </w:r>
      <w:r>
        <w:t xml:space="preserve"> was written in relation to the version of </w:t>
      </w:r>
      <w:r w:rsidR="00DC5FF6">
        <w:t>c</w:t>
      </w:r>
      <w:r w:rsidR="00096648">
        <w:t>lause</w:t>
      </w:r>
      <w:r>
        <w:t xml:space="preserve"> 3.13 in the NPS-FM (2020</w:t>
      </w:r>
      <w:r w:rsidR="00B9002C">
        <w:t xml:space="preserve"> initial policy release version</w:t>
      </w:r>
      <w:r w:rsidRPr="00B9002C">
        <w:t>)</w:t>
      </w:r>
      <w:r w:rsidR="00DC5FF6">
        <w:t xml:space="preserve"> that</w:t>
      </w:r>
      <w:r>
        <w:t xml:space="preserve"> specified DIN and DRP. </w:t>
      </w:r>
      <w:r w:rsidR="00A9441B">
        <w:t>T</w:t>
      </w:r>
      <w:r>
        <w:t xml:space="preserve">he general principles also apply to </w:t>
      </w:r>
      <w:r w:rsidR="00DC5FF6">
        <w:t>total nitrogen (</w:t>
      </w:r>
      <w:r>
        <w:t>TN</w:t>
      </w:r>
      <w:r w:rsidR="00DC5FF6">
        <w:t>)</w:t>
      </w:r>
      <w:r>
        <w:t xml:space="preserve"> and </w:t>
      </w:r>
      <w:r w:rsidR="00DC5FF6">
        <w:t>total phosphorus (</w:t>
      </w:r>
      <w:r>
        <w:t>TP</w:t>
      </w:r>
      <w:r w:rsidR="00DC5FF6">
        <w:t>)</w:t>
      </w:r>
      <w:r>
        <w:t>.</w:t>
      </w:r>
      <w:bookmarkEnd w:id="64"/>
    </w:p>
  </w:footnote>
  <w:footnote w:id="9">
    <w:p w14:paraId="553D15E9" w14:textId="3005FD73" w:rsidR="00AD07DF" w:rsidRDefault="00AD07DF">
      <w:pPr>
        <w:pStyle w:val="FootnoteText"/>
      </w:pPr>
      <w:r>
        <w:rPr>
          <w:rStyle w:val="FootnoteReference"/>
        </w:rPr>
        <w:footnoteRef/>
      </w:r>
      <w:r>
        <w:t xml:space="preserve"> </w:t>
      </w:r>
      <w:r w:rsidR="00A95A36">
        <w:tab/>
      </w:r>
      <w:r>
        <w:t>The DRP table was adopted into the NPS-FM</w:t>
      </w:r>
      <w:r w:rsidR="00517C2C">
        <w:t>.</w:t>
      </w:r>
    </w:p>
  </w:footnote>
  <w:footnote w:id="10">
    <w:p w14:paraId="3CA0F2FD" w14:textId="7E7B7970" w:rsidR="002967E7" w:rsidRDefault="002967E7">
      <w:pPr>
        <w:pStyle w:val="FootnoteText"/>
      </w:pPr>
      <w:r>
        <w:rPr>
          <w:rStyle w:val="FootnoteReference"/>
        </w:rPr>
        <w:footnoteRef/>
      </w:r>
      <w:r>
        <w:t xml:space="preserve"> </w:t>
      </w:r>
      <w:r w:rsidR="00F93ECE">
        <w:tab/>
      </w:r>
      <w:r>
        <w:t>This is a</w:t>
      </w:r>
      <w:r w:rsidRPr="007F6C69">
        <w:t xml:space="preserve"> pattern noted in a recent modelling study (Snelder et al, 2022), and also observed in numerous experiments and data analyses in Aotearoa and overseas (Ministry for the Environment, 2022b)</w:t>
      </w:r>
      <w:r w:rsidR="0029702A">
        <w:t>.</w:t>
      </w:r>
    </w:p>
  </w:footnote>
  <w:footnote w:id="11">
    <w:p w14:paraId="0BCC409C" w14:textId="304BDB26" w:rsidR="00F5525C" w:rsidRDefault="00F5525C">
      <w:pPr>
        <w:pStyle w:val="FootnoteText"/>
      </w:pPr>
      <w:r>
        <w:rPr>
          <w:rStyle w:val="FootnoteReference"/>
        </w:rPr>
        <w:footnoteRef/>
      </w:r>
      <w:r>
        <w:t xml:space="preserve"> </w:t>
      </w:r>
      <w:r w:rsidR="00C83C6C">
        <w:tab/>
      </w:r>
      <w:r>
        <w:t>N</w:t>
      </w:r>
      <w:r w:rsidR="003C2EF8">
        <w:t xml:space="preserve">umbers </w:t>
      </w:r>
      <w:r w:rsidR="00E87CF4">
        <w:t xml:space="preserve">provided in </w:t>
      </w:r>
      <w:r w:rsidR="003C2EF8">
        <w:t>the periphyton look-up table</w:t>
      </w:r>
      <w:r w:rsidR="0075545E">
        <w:t>, or nutrient management approaches in general,</w:t>
      </w:r>
      <w:r w:rsidR="003C2EF8">
        <w:t xml:space="preserve"> </w:t>
      </w:r>
      <w:r w:rsidR="00E87CF4">
        <w:t>may not be appropriate for</w:t>
      </w:r>
      <w:r w:rsidR="0075545E">
        <w:t xml:space="preserve"> managing</w:t>
      </w:r>
      <w:r w:rsidR="00E87CF4">
        <w:t xml:space="preserve"> </w:t>
      </w:r>
      <w:r w:rsidR="0058732C">
        <w:t>atypical situations</w:t>
      </w:r>
      <w:r w:rsidR="00231EA2">
        <w:t xml:space="preserve"> </w:t>
      </w:r>
      <w:r w:rsidR="0075545E">
        <w:t>like</w:t>
      </w:r>
      <w:r w:rsidR="005E2644">
        <w:t xml:space="preserve"> </w:t>
      </w:r>
      <w:r w:rsidR="00325A06">
        <w:t>d</w:t>
      </w:r>
      <w:r w:rsidR="005E2644">
        <w:t>idymo</w:t>
      </w:r>
      <w:r w:rsidR="0058732C">
        <w:t xml:space="preserve"> infestations.</w:t>
      </w:r>
    </w:p>
  </w:footnote>
  <w:footnote w:id="12">
    <w:p w14:paraId="0309A2C0" w14:textId="477578E5" w:rsidR="00500C4E" w:rsidRDefault="00500C4E">
      <w:pPr>
        <w:pStyle w:val="FootnoteText"/>
      </w:pPr>
      <w:r>
        <w:rPr>
          <w:rStyle w:val="FootnoteReference"/>
        </w:rPr>
        <w:footnoteRef/>
      </w:r>
      <w:r>
        <w:t xml:space="preserve"> </w:t>
      </w:r>
      <w:r w:rsidR="00823A9D">
        <w:tab/>
      </w:r>
      <w:r w:rsidRPr="007F6C69">
        <w:t xml:space="preserve">Steps for model verification can be found on page 34 of </w:t>
      </w:r>
      <w:hyperlink r:id="rId3" w:history="1">
        <w:r w:rsidRPr="007F6C69">
          <w:rPr>
            <w:rStyle w:val="Hyperlink"/>
            <w:rFonts w:eastAsiaTheme="majorEastAsia"/>
            <w:i/>
            <w:iCs/>
          </w:rPr>
          <w:t>Guidance on look up tables for setting nutrient targets for periphyton</w:t>
        </w:r>
      </w:hyperlink>
      <w:r w:rsidRPr="007F6C69">
        <w:rPr>
          <w:rStyle w:val="Hyperlink"/>
          <w:rFonts w:eastAsiaTheme="majorEastAsia"/>
        </w:rPr>
        <w:t xml:space="preserve"> </w:t>
      </w:r>
      <w:r w:rsidRPr="007F6C69">
        <w:rPr>
          <w:rFonts w:eastAsia="Calibri"/>
        </w:rPr>
        <w:t>(Ministry for the Environment, 2022a)</w:t>
      </w:r>
      <w:r w:rsidRPr="007F6C69">
        <w:t xml:space="preserve">. </w:t>
      </w:r>
    </w:p>
  </w:footnote>
  <w:footnote w:id="13">
    <w:p w14:paraId="372D1689" w14:textId="5B2920DE" w:rsidR="00BE372F" w:rsidRDefault="00BE372F">
      <w:pPr>
        <w:pStyle w:val="FootnoteText"/>
      </w:pPr>
      <w:r>
        <w:rPr>
          <w:rStyle w:val="FootnoteReference"/>
        </w:rPr>
        <w:footnoteRef/>
      </w:r>
      <w:r>
        <w:t xml:space="preserve"> </w:t>
      </w:r>
      <w:r w:rsidR="00A22BD4">
        <w:tab/>
      </w:r>
      <w:r w:rsidR="0007752A">
        <w:t>Outlines t</w:t>
      </w:r>
      <w:r w:rsidRPr="007F6C69">
        <w:t>he existence of a biomass ceiling and a saturating nutrient concentration beyond which no further response to nutrients is observed; see Ministry for the Environment, 2022a)</w:t>
      </w:r>
      <w:r w:rsidR="00A22BD4">
        <w:t>.</w:t>
      </w:r>
      <w:r w:rsidRPr="007F6C69">
        <w:t xml:space="preserve"> </w:t>
      </w:r>
    </w:p>
  </w:footnote>
  <w:footnote w:id="14">
    <w:p w14:paraId="4FC1234F" w14:textId="4593E109" w:rsidR="00F675FF" w:rsidRDefault="00F675FF" w:rsidP="00B02FD5">
      <w:pPr>
        <w:pStyle w:val="FootnoteText"/>
        <w:spacing w:after="40"/>
      </w:pPr>
      <w:r>
        <w:rPr>
          <w:rStyle w:val="FootnoteReference"/>
        </w:rPr>
        <w:footnoteRef/>
      </w:r>
      <w:r w:rsidR="00294A71">
        <w:t xml:space="preserve"> </w:t>
      </w:r>
      <w:r w:rsidR="00294A71">
        <w:tab/>
      </w:r>
      <w:r w:rsidR="00294A71" w:rsidRPr="00294A71">
        <w:t xml:space="preserve">Alternative in-lake concentrations would only be for reconciling FMU </w:t>
      </w:r>
      <w:r w:rsidR="00A239D4">
        <w:t>instream</w:t>
      </w:r>
      <w:r w:rsidR="00294A71" w:rsidRPr="00294A71">
        <w:t xml:space="preserve"> nutrient criteria against criteria that better relate to the lake </w:t>
      </w:r>
      <w:r w:rsidR="000F6427">
        <w:t>trophic state</w:t>
      </w:r>
      <w:r w:rsidR="00294A71" w:rsidRPr="00294A71">
        <w:t xml:space="preserve"> objective</w:t>
      </w:r>
      <w:r w:rsidR="00BD296E">
        <w:t>(</w:t>
      </w:r>
      <w:r w:rsidR="00294A71" w:rsidRPr="00294A71">
        <w:t>s</w:t>
      </w:r>
      <w:r w:rsidR="00BD296E">
        <w:t>)</w:t>
      </w:r>
      <w:r w:rsidR="00294A71" w:rsidRPr="00294A71">
        <w:t xml:space="preserve"> sought for particular lakes. NPS-FM lake trophic state for State of Environment reporting would still need to be assessed using the thresholds specified in the lake nutrient attribute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5C465795"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880E7" w14:textId="77777777" w:rsidR="0068454E" w:rsidRDefault="00684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E0EA8E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5102AB6"/>
    <w:lvl w:ilvl="0">
      <w:start w:val="1"/>
      <w:numFmt w:val="decimal"/>
      <w:pStyle w:val="ListNumber3"/>
      <w:lvlText w:val="%1."/>
      <w:lvlJc w:val="left"/>
      <w:pPr>
        <w:tabs>
          <w:tab w:val="num" w:pos="926"/>
        </w:tabs>
        <w:ind w:left="926" w:hanging="360"/>
      </w:pPr>
    </w:lvl>
  </w:abstractNum>
  <w:abstractNum w:abstractNumId="2" w15:restartNumberingAfterBreak="0">
    <w:nsid w:val="FFFFFF82"/>
    <w:multiLevelType w:val="singleLevel"/>
    <w:tmpl w:val="F990C7A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9DD2540"/>
    <w:multiLevelType w:val="multilevel"/>
    <w:tmpl w:val="85EC3E0C"/>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DBF0FA8"/>
    <w:multiLevelType w:val="multilevel"/>
    <w:tmpl w:val="08F61D4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Subclauselisti"/>
      <w:lvlText w:val="(%6)"/>
      <w:lvlJc w:val="left"/>
      <w:pPr>
        <w:ind w:left="1701" w:hanging="567"/>
      </w:pPr>
      <w:rPr>
        <w:rFonts w:hint="default"/>
      </w:rPr>
    </w:lvl>
    <w:lvl w:ilvl="6">
      <w:start w:val="1"/>
      <w:numFmt w:val="upp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757409"/>
    <w:multiLevelType w:val="hybridMultilevel"/>
    <w:tmpl w:val="9296EFD4"/>
    <w:styleLink w:val="Styl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C77454"/>
    <w:multiLevelType w:val="hybridMultilevel"/>
    <w:tmpl w:val="E9E0DEDA"/>
    <w:lvl w:ilvl="0" w:tplc="D1F8B5AA">
      <w:start w:val="1"/>
      <w:numFmt w:val="decimal"/>
      <w:pStyle w:val="Note1"/>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5B07FF1"/>
    <w:multiLevelType w:val="hybridMultilevel"/>
    <w:tmpl w:val="29CCE8B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26DA454E"/>
    <w:multiLevelType w:val="hybridMultilevel"/>
    <w:tmpl w:val="D58A9286"/>
    <w:styleLink w:val="Style3"/>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72A3434"/>
    <w:multiLevelType w:val="hybridMultilevel"/>
    <w:tmpl w:val="34785178"/>
    <w:styleLink w:val="1ai"/>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97C3E32"/>
    <w:multiLevelType w:val="hybridMultilevel"/>
    <w:tmpl w:val="5A723E16"/>
    <w:lvl w:ilvl="0" w:tplc="46C20F7A">
      <w:start w:val="1"/>
      <w:numFmt w:val="bullet"/>
      <w:pStyle w:val="Note2"/>
      <w:lvlText w:val="*"/>
      <w:lvlJc w:val="left"/>
      <w:pPr>
        <w:ind w:left="397" w:hanging="39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0B2132"/>
    <w:multiLevelType w:val="hybridMultilevel"/>
    <w:tmpl w:val="4D4261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1320D80"/>
    <w:multiLevelType w:val="multilevel"/>
    <w:tmpl w:val="6CD23AAC"/>
    <w:lvl w:ilvl="0">
      <w:start w:val="1"/>
      <w:numFmt w:val="decimal"/>
      <w:pStyle w:val="Subclause1"/>
      <w:lvlText w:val="(%1)"/>
      <w:lvlJc w:val="left"/>
      <w:pPr>
        <w:ind w:left="567" w:hanging="567"/>
      </w:pPr>
      <w:rPr>
        <w:rFonts w:ascii="Calibri" w:hAnsi="Calibri" w:cs="Times New Roman" w:hint="default"/>
        <w:b w:val="0"/>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2FC21B2"/>
    <w:multiLevelType w:val="multilevel"/>
    <w:tmpl w:val="6AF48C94"/>
    <w:lvl w:ilvl="0">
      <w:start w:val="1"/>
      <w:numFmt w:val="decimal"/>
      <w:lvlText w:val="%1."/>
      <w:lvlJc w:val="left"/>
      <w:pPr>
        <w:ind w:left="720" w:hanging="360"/>
      </w:pPr>
      <w:rPr>
        <w:rFonts w:hint="default"/>
      </w:rPr>
    </w:lvl>
    <w:lvl w:ilvl="1">
      <w:start w:val="4"/>
      <w:numFmt w:val="decimal"/>
      <w:isLgl/>
      <w:lvlText w:val="%1.%2."/>
      <w:lvlJc w:val="left"/>
      <w:pPr>
        <w:ind w:left="1245" w:hanging="885"/>
      </w:pPr>
      <w:rPr>
        <w:rFonts w:hint="default"/>
      </w:rPr>
    </w:lvl>
    <w:lvl w:ilvl="2">
      <w:start w:val="3"/>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D23C1D"/>
    <w:multiLevelType w:val="hybridMultilevel"/>
    <w:tmpl w:val="B05E9EDA"/>
    <w:lvl w:ilvl="0" w:tplc="A2983620">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8C0C1E"/>
    <w:multiLevelType w:val="multilevel"/>
    <w:tmpl w:val="5436221E"/>
    <w:lvl w:ilvl="0">
      <w:start w:val="1"/>
      <w:numFmt w:val="bullet"/>
      <w:pStyle w:val="ListBullet"/>
      <w:lvlText w:val="•"/>
      <w:lvlJc w:val="left"/>
      <w:pPr>
        <w:ind w:left="397" w:hanging="397"/>
      </w:pPr>
      <w:rPr>
        <w:rFonts w:ascii="Calibri" w:hAnsi="Calibri" w:hint="default"/>
        <w:sz w:val="20"/>
      </w:rPr>
    </w:lvl>
    <w:lvl w:ilvl="1">
      <w:start w:val="1"/>
      <w:numFmt w:val="bullet"/>
      <w:pStyle w:val="ListBullet2"/>
      <w:lvlText w:val="–"/>
      <w:lvlJc w:val="left"/>
      <w:pPr>
        <w:ind w:left="794" w:hanging="397"/>
      </w:pPr>
      <w:rPr>
        <w:rFonts w:ascii="Calibri" w:hAnsi="Calibri" w:hint="default"/>
      </w:rPr>
    </w:lvl>
    <w:lvl w:ilvl="2">
      <w:start w:val="1"/>
      <w:numFmt w:val="lowerLetter"/>
      <w:lvlText w:val="%3."/>
      <w:lvlJc w:val="left"/>
      <w:pPr>
        <w:ind w:left="1191" w:hanging="397"/>
      </w:pPr>
      <w:rPr>
        <w:rFonts w:hint="default"/>
      </w:rPr>
    </w:lvl>
    <w:lvl w:ilvl="3">
      <w:start w:val="1"/>
      <w:numFmt w:val="lowerRoman"/>
      <w:pStyle w:val="ListBullet4"/>
      <w:lvlText w:val="%4."/>
      <w:lvlJc w:val="left"/>
      <w:pPr>
        <w:ind w:left="1588" w:hanging="397"/>
      </w:pPr>
      <w:rPr>
        <w:rFonts w:hint="default"/>
      </w:rPr>
    </w:lvl>
    <w:lvl w:ilvl="4">
      <w:start w:val="1"/>
      <w:numFmt w:val="bullet"/>
      <w:pStyle w:val="ListBullet5"/>
      <w:lvlText w:val="•"/>
      <w:lvlJc w:val="left"/>
      <w:pPr>
        <w:ind w:left="1985" w:hanging="397"/>
      </w:pPr>
      <w:rPr>
        <w:rFonts w:ascii="Calibri" w:hAnsi="Calibri" w:hint="default"/>
        <w:sz w:val="20"/>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24"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6B4A4784"/>
    <w:multiLevelType w:val="multilevel"/>
    <w:tmpl w:val="CFD6E192"/>
    <w:lvl w:ilvl="0">
      <w:start w:val="1"/>
      <w:numFmt w:val="decimal"/>
      <w:lvlText w:val="%1"/>
      <w:lvlJc w:val="left"/>
      <w:pPr>
        <w:ind w:left="720" w:hanging="720"/>
      </w:pPr>
      <w:rPr>
        <w:rFonts w:hint="default"/>
        <w:b/>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0" w15:restartNumberingAfterBreak="0">
    <w:nsid w:val="717E2C8C"/>
    <w:multiLevelType w:val="hybridMultilevel"/>
    <w:tmpl w:val="67E8B99A"/>
    <w:styleLink w:val="111111"/>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5768E7"/>
    <w:multiLevelType w:val="multilevel"/>
    <w:tmpl w:val="2D3A613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bullet"/>
      <w:lvlText w:val="–"/>
      <w:lvlJc w:val="left"/>
      <w:pPr>
        <w:ind w:left="1588" w:hanging="397"/>
      </w:pPr>
      <w:rPr>
        <w:rFonts w:ascii="Calibri" w:hAnsi="Calibri" w:hint="default"/>
      </w:rPr>
    </w:lvl>
    <w:lvl w:ilvl="4">
      <w:start w:val="1"/>
      <w:numFmt w:val="bullet"/>
      <w:pStyle w:val="ListNumber5"/>
      <w:lvlText w:val="•"/>
      <w:lvlJc w:val="left"/>
      <w:pPr>
        <w:ind w:left="1985" w:hanging="397"/>
      </w:pPr>
      <w:rPr>
        <w:rFonts w:ascii="Calibri" w:hAnsi="Calibri" w:hint="default"/>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Calibri" w:hAnsi="Calibri" w:hint="default"/>
      </w:rPr>
    </w:lvl>
    <w:lvl w:ilvl="7">
      <w:start w:val="1"/>
      <w:numFmt w:val="bullet"/>
      <w:lvlText w:val="–"/>
      <w:lvlJc w:val="left"/>
      <w:pPr>
        <w:ind w:left="3176" w:hanging="397"/>
      </w:pPr>
      <w:rPr>
        <w:rFonts w:ascii="Calibri" w:hAnsi="Calibri" w:hint="default"/>
      </w:rPr>
    </w:lvl>
    <w:lvl w:ilvl="8">
      <w:start w:val="1"/>
      <w:numFmt w:val="bullet"/>
      <w:lvlText w:val="•"/>
      <w:lvlJc w:val="left"/>
      <w:pPr>
        <w:ind w:left="3573" w:hanging="397"/>
      </w:pPr>
      <w:rPr>
        <w:rFonts w:ascii="Calibri" w:hAnsi="Calibri" w:hint="default"/>
      </w:rPr>
    </w:lvl>
  </w:abstractNum>
  <w:abstractNum w:abstractNumId="33" w15:restartNumberingAfterBreak="0">
    <w:nsid w:val="79EB0B27"/>
    <w:multiLevelType w:val="multilevel"/>
    <w:tmpl w:val="A84C0A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Subclauselista"/>
      <w:lvlText w:val="(%5)"/>
      <w:lvlJc w:val="left"/>
      <w:pPr>
        <w:tabs>
          <w:tab w:val="num" w:pos="1134"/>
        </w:tabs>
        <w:ind w:left="1134" w:hanging="567"/>
      </w:pPr>
      <w:rPr>
        <w:rFonts w:ascii="Calibri" w:hAnsi="Calibri" w:cs="Times New Roman" w:hint="default"/>
        <w:b w:val="0"/>
        <w:i w:val="0"/>
        <w:sz w:val="20"/>
        <w:szCs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F2159FE"/>
    <w:multiLevelType w:val="hybridMultilevel"/>
    <w:tmpl w:val="291687FE"/>
    <w:lvl w:ilvl="0" w:tplc="0764018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FBB6A67"/>
    <w:multiLevelType w:val="hybridMultilevel"/>
    <w:tmpl w:val="FB14C876"/>
    <w:styleLink w:val="ArticleSection"/>
    <w:lvl w:ilvl="0" w:tplc="E43A20B4">
      <w:start w:val="1"/>
      <w:numFmt w:val="bullet"/>
      <w:lvlText w:val="·"/>
      <w:lvlJc w:val="left"/>
      <w:pPr>
        <w:ind w:left="720" w:hanging="360"/>
      </w:pPr>
      <w:rPr>
        <w:rFonts w:ascii="Symbol" w:hAnsi="Symbol" w:hint="default"/>
      </w:rPr>
    </w:lvl>
    <w:lvl w:ilvl="1" w:tplc="0436C30C">
      <w:start w:val="1"/>
      <w:numFmt w:val="bullet"/>
      <w:lvlText w:val="o"/>
      <w:lvlJc w:val="left"/>
      <w:pPr>
        <w:ind w:left="1440" w:hanging="360"/>
      </w:pPr>
      <w:rPr>
        <w:rFonts w:ascii="Courier New" w:hAnsi="Courier New" w:hint="default"/>
      </w:rPr>
    </w:lvl>
    <w:lvl w:ilvl="2" w:tplc="2B48C3EE">
      <w:start w:val="1"/>
      <w:numFmt w:val="bullet"/>
      <w:lvlText w:val=""/>
      <w:lvlJc w:val="left"/>
      <w:pPr>
        <w:ind w:left="2160" w:hanging="360"/>
      </w:pPr>
      <w:rPr>
        <w:rFonts w:ascii="Wingdings" w:hAnsi="Wingdings" w:hint="default"/>
      </w:rPr>
    </w:lvl>
    <w:lvl w:ilvl="3" w:tplc="F34C7612">
      <w:start w:val="1"/>
      <w:numFmt w:val="bullet"/>
      <w:lvlText w:val=""/>
      <w:lvlJc w:val="left"/>
      <w:pPr>
        <w:ind w:left="2880" w:hanging="360"/>
      </w:pPr>
      <w:rPr>
        <w:rFonts w:ascii="Symbol" w:hAnsi="Symbol" w:hint="default"/>
      </w:rPr>
    </w:lvl>
    <w:lvl w:ilvl="4" w:tplc="33664674">
      <w:start w:val="1"/>
      <w:numFmt w:val="bullet"/>
      <w:lvlText w:val="o"/>
      <w:lvlJc w:val="left"/>
      <w:pPr>
        <w:ind w:left="3600" w:hanging="360"/>
      </w:pPr>
      <w:rPr>
        <w:rFonts w:ascii="Courier New" w:hAnsi="Courier New" w:hint="default"/>
      </w:rPr>
    </w:lvl>
    <w:lvl w:ilvl="5" w:tplc="1FFEAD34">
      <w:start w:val="1"/>
      <w:numFmt w:val="bullet"/>
      <w:lvlText w:val=""/>
      <w:lvlJc w:val="left"/>
      <w:pPr>
        <w:ind w:left="4320" w:hanging="360"/>
      </w:pPr>
      <w:rPr>
        <w:rFonts w:ascii="Wingdings" w:hAnsi="Wingdings" w:hint="default"/>
      </w:rPr>
    </w:lvl>
    <w:lvl w:ilvl="6" w:tplc="4768D900">
      <w:start w:val="1"/>
      <w:numFmt w:val="bullet"/>
      <w:lvlText w:val=""/>
      <w:lvlJc w:val="left"/>
      <w:pPr>
        <w:ind w:left="5040" w:hanging="360"/>
      </w:pPr>
      <w:rPr>
        <w:rFonts w:ascii="Symbol" w:hAnsi="Symbol" w:hint="default"/>
      </w:rPr>
    </w:lvl>
    <w:lvl w:ilvl="7" w:tplc="960847FC">
      <w:start w:val="1"/>
      <w:numFmt w:val="bullet"/>
      <w:lvlText w:val="o"/>
      <w:lvlJc w:val="left"/>
      <w:pPr>
        <w:ind w:left="5760" w:hanging="360"/>
      </w:pPr>
      <w:rPr>
        <w:rFonts w:ascii="Courier New" w:hAnsi="Courier New" w:hint="default"/>
      </w:rPr>
    </w:lvl>
    <w:lvl w:ilvl="8" w:tplc="15BADDB8">
      <w:start w:val="1"/>
      <w:numFmt w:val="bullet"/>
      <w:lvlText w:val=""/>
      <w:lvlJc w:val="left"/>
      <w:pPr>
        <w:ind w:left="6480" w:hanging="360"/>
      </w:pPr>
      <w:rPr>
        <w:rFonts w:ascii="Wingdings" w:hAnsi="Wingdings" w:hint="default"/>
      </w:rPr>
    </w:lvl>
  </w:abstractNum>
  <w:num w:numId="1" w16cid:durableId="1606233274">
    <w:abstractNumId w:val="19"/>
  </w:num>
  <w:num w:numId="2" w16cid:durableId="577907027">
    <w:abstractNumId w:val="4"/>
  </w:num>
  <w:num w:numId="3" w16cid:durableId="1673874330">
    <w:abstractNumId w:val="16"/>
  </w:num>
  <w:num w:numId="4" w16cid:durableId="303395726">
    <w:abstractNumId w:val="7"/>
  </w:num>
  <w:num w:numId="5" w16cid:durableId="1164663979">
    <w:abstractNumId w:val="5"/>
  </w:num>
  <w:num w:numId="6" w16cid:durableId="1391729283">
    <w:abstractNumId w:val="12"/>
  </w:num>
  <w:num w:numId="7" w16cid:durableId="2016834079">
    <w:abstractNumId w:val="29"/>
  </w:num>
  <w:num w:numId="8" w16cid:durableId="266814126">
    <w:abstractNumId w:val="23"/>
  </w:num>
  <w:num w:numId="9" w16cid:durableId="1066881056">
    <w:abstractNumId w:val="30"/>
  </w:num>
  <w:num w:numId="10" w16cid:durableId="294793772">
    <w:abstractNumId w:val="13"/>
  </w:num>
  <w:num w:numId="11" w16cid:durableId="202641532">
    <w:abstractNumId w:val="35"/>
  </w:num>
  <w:num w:numId="12" w16cid:durableId="338780831">
    <w:abstractNumId w:val="32"/>
  </w:num>
  <w:num w:numId="13" w16cid:durableId="870991628">
    <w:abstractNumId w:val="8"/>
  </w:num>
  <w:num w:numId="14" w16cid:durableId="1380596394">
    <w:abstractNumId w:val="14"/>
  </w:num>
  <w:num w:numId="15" w16cid:durableId="8094000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591393">
    <w:abstractNumId w:val="6"/>
  </w:num>
  <w:num w:numId="17" w16cid:durableId="6524917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1534347">
    <w:abstractNumId w:val="28"/>
  </w:num>
  <w:num w:numId="19" w16cid:durableId="1567914969">
    <w:abstractNumId w:val="2"/>
  </w:num>
  <w:num w:numId="20" w16cid:durableId="1628777174">
    <w:abstractNumId w:val="1"/>
  </w:num>
  <w:num w:numId="21" w16cid:durableId="2071810167">
    <w:abstractNumId w:val="0"/>
  </w:num>
  <w:num w:numId="22" w16cid:durableId="1782719143">
    <w:abstractNumId w:val="15"/>
  </w:num>
  <w:num w:numId="23" w16cid:durableId="79299614">
    <w:abstractNumId w:val="20"/>
  </w:num>
  <w:num w:numId="24" w16cid:durableId="1989942317">
    <w:abstractNumId w:val="3"/>
  </w:num>
  <w:num w:numId="25" w16cid:durableId="1237282382">
    <w:abstractNumId w:val="34"/>
  </w:num>
  <w:num w:numId="26" w16cid:durableId="221865517">
    <w:abstractNumId w:val="11"/>
  </w:num>
  <w:num w:numId="27" w16cid:durableId="16968079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8587601">
    <w:abstractNumId w:val="27"/>
  </w:num>
  <w:num w:numId="29" w16cid:durableId="847670033">
    <w:abstractNumId w:val="9"/>
  </w:num>
  <w:num w:numId="30" w16cid:durableId="1244215435">
    <w:abstractNumId w:val="22"/>
  </w:num>
  <w:num w:numId="31" w16cid:durableId="2125153355">
    <w:abstractNumId w:val="17"/>
  </w:num>
  <w:num w:numId="32" w16cid:durableId="977300314">
    <w:abstractNumId w:val="24"/>
  </w:num>
  <w:num w:numId="33" w16cid:durableId="486360022">
    <w:abstractNumId w:val="10"/>
  </w:num>
  <w:num w:numId="34" w16cid:durableId="559049827">
    <w:abstractNumId w:val="26"/>
  </w:num>
  <w:num w:numId="35" w16cid:durableId="1376008308">
    <w:abstractNumId w:val="25"/>
  </w:num>
  <w:num w:numId="36" w16cid:durableId="1913812930">
    <w:abstractNumId w:val="31"/>
  </w:num>
  <w:num w:numId="37" w16cid:durableId="12232563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0413791">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80E"/>
    <w:rsid w:val="00000E60"/>
    <w:rsid w:val="00000F04"/>
    <w:rsid w:val="00000F30"/>
    <w:rsid w:val="000010B0"/>
    <w:rsid w:val="00001221"/>
    <w:rsid w:val="0000123F"/>
    <w:rsid w:val="00001920"/>
    <w:rsid w:val="000025B5"/>
    <w:rsid w:val="0000297A"/>
    <w:rsid w:val="00002AAF"/>
    <w:rsid w:val="00003745"/>
    <w:rsid w:val="00003A97"/>
    <w:rsid w:val="00003C3E"/>
    <w:rsid w:val="00003C4F"/>
    <w:rsid w:val="0000402F"/>
    <w:rsid w:val="0000410A"/>
    <w:rsid w:val="0000462B"/>
    <w:rsid w:val="000046CC"/>
    <w:rsid w:val="00004978"/>
    <w:rsid w:val="00004AA1"/>
    <w:rsid w:val="00004C38"/>
    <w:rsid w:val="00004D75"/>
    <w:rsid w:val="00004DF3"/>
    <w:rsid w:val="00004E0A"/>
    <w:rsid w:val="00004FD3"/>
    <w:rsid w:val="000051C3"/>
    <w:rsid w:val="0000596F"/>
    <w:rsid w:val="0000604A"/>
    <w:rsid w:val="00006338"/>
    <w:rsid w:val="000066F8"/>
    <w:rsid w:val="000069A2"/>
    <w:rsid w:val="00006DF5"/>
    <w:rsid w:val="00006F95"/>
    <w:rsid w:val="00007023"/>
    <w:rsid w:val="0000709F"/>
    <w:rsid w:val="000070FB"/>
    <w:rsid w:val="000071D6"/>
    <w:rsid w:val="00007418"/>
    <w:rsid w:val="0000741C"/>
    <w:rsid w:val="000076C2"/>
    <w:rsid w:val="000076FA"/>
    <w:rsid w:val="00007C60"/>
    <w:rsid w:val="00007F2D"/>
    <w:rsid w:val="00007FAC"/>
    <w:rsid w:val="0001034B"/>
    <w:rsid w:val="00010438"/>
    <w:rsid w:val="00010454"/>
    <w:rsid w:val="00010A9C"/>
    <w:rsid w:val="00010ABA"/>
    <w:rsid w:val="00010B23"/>
    <w:rsid w:val="00010E15"/>
    <w:rsid w:val="00010E9D"/>
    <w:rsid w:val="00010F57"/>
    <w:rsid w:val="0001100C"/>
    <w:rsid w:val="00011104"/>
    <w:rsid w:val="00011188"/>
    <w:rsid w:val="00011663"/>
    <w:rsid w:val="00011C0E"/>
    <w:rsid w:val="00011DDD"/>
    <w:rsid w:val="000121B4"/>
    <w:rsid w:val="000124DB"/>
    <w:rsid w:val="00012555"/>
    <w:rsid w:val="00012E48"/>
    <w:rsid w:val="00013098"/>
    <w:rsid w:val="0001358A"/>
    <w:rsid w:val="0001359E"/>
    <w:rsid w:val="000139E1"/>
    <w:rsid w:val="00013B14"/>
    <w:rsid w:val="00014236"/>
    <w:rsid w:val="00014289"/>
    <w:rsid w:val="00014326"/>
    <w:rsid w:val="00014722"/>
    <w:rsid w:val="000148F6"/>
    <w:rsid w:val="00014DAF"/>
    <w:rsid w:val="00014F8B"/>
    <w:rsid w:val="00015217"/>
    <w:rsid w:val="00015418"/>
    <w:rsid w:val="0001573B"/>
    <w:rsid w:val="00015793"/>
    <w:rsid w:val="000159D2"/>
    <w:rsid w:val="00015BD8"/>
    <w:rsid w:val="00016264"/>
    <w:rsid w:val="00016993"/>
    <w:rsid w:val="00016CAB"/>
    <w:rsid w:val="00016E5B"/>
    <w:rsid w:val="00016FD6"/>
    <w:rsid w:val="000171DD"/>
    <w:rsid w:val="0001749B"/>
    <w:rsid w:val="00017526"/>
    <w:rsid w:val="00017B37"/>
    <w:rsid w:val="00017CB1"/>
    <w:rsid w:val="00017D75"/>
    <w:rsid w:val="00017E27"/>
    <w:rsid w:val="00017FE5"/>
    <w:rsid w:val="000200FA"/>
    <w:rsid w:val="00020224"/>
    <w:rsid w:val="00020342"/>
    <w:rsid w:val="00020593"/>
    <w:rsid w:val="0002063C"/>
    <w:rsid w:val="00020F3F"/>
    <w:rsid w:val="00021198"/>
    <w:rsid w:val="0002122C"/>
    <w:rsid w:val="000216B7"/>
    <w:rsid w:val="00021910"/>
    <w:rsid w:val="00021A18"/>
    <w:rsid w:val="00021B83"/>
    <w:rsid w:val="00021DC5"/>
    <w:rsid w:val="00021F64"/>
    <w:rsid w:val="00022258"/>
    <w:rsid w:val="000223FE"/>
    <w:rsid w:val="0002259A"/>
    <w:rsid w:val="00022E8D"/>
    <w:rsid w:val="00022F87"/>
    <w:rsid w:val="0002300B"/>
    <w:rsid w:val="00023089"/>
    <w:rsid w:val="00023408"/>
    <w:rsid w:val="0002348A"/>
    <w:rsid w:val="000235B5"/>
    <w:rsid w:val="00023A30"/>
    <w:rsid w:val="00023BA5"/>
    <w:rsid w:val="00023BDA"/>
    <w:rsid w:val="000244C2"/>
    <w:rsid w:val="00024708"/>
    <w:rsid w:val="00024803"/>
    <w:rsid w:val="000249E1"/>
    <w:rsid w:val="00024AC6"/>
    <w:rsid w:val="00024AD5"/>
    <w:rsid w:val="00024B06"/>
    <w:rsid w:val="00024BE3"/>
    <w:rsid w:val="00024EE7"/>
    <w:rsid w:val="000252BD"/>
    <w:rsid w:val="000259E7"/>
    <w:rsid w:val="00025C1B"/>
    <w:rsid w:val="00025F96"/>
    <w:rsid w:val="00025FAB"/>
    <w:rsid w:val="00026180"/>
    <w:rsid w:val="00026522"/>
    <w:rsid w:val="000267B5"/>
    <w:rsid w:val="0002685E"/>
    <w:rsid w:val="00026E89"/>
    <w:rsid w:val="000272B9"/>
    <w:rsid w:val="00027380"/>
    <w:rsid w:val="00027459"/>
    <w:rsid w:val="000275A3"/>
    <w:rsid w:val="00027696"/>
    <w:rsid w:val="000277F7"/>
    <w:rsid w:val="00027B67"/>
    <w:rsid w:val="00030182"/>
    <w:rsid w:val="00030558"/>
    <w:rsid w:val="00030573"/>
    <w:rsid w:val="00030579"/>
    <w:rsid w:val="00030699"/>
    <w:rsid w:val="000306DD"/>
    <w:rsid w:val="00030725"/>
    <w:rsid w:val="00030DB8"/>
    <w:rsid w:val="000310A6"/>
    <w:rsid w:val="00031349"/>
    <w:rsid w:val="0003169C"/>
    <w:rsid w:val="0003196B"/>
    <w:rsid w:val="00031A08"/>
    <w:rsid w:val="00031A83"/>
    <w:rsid w:val="00031B1E"/>
    <w:rsid w:val="0003213A"/>
    <w:rsid w:val="000324C7"/>
    <w:rsid w:val="000325A8"/>
    <w:rsid w:val="0003294E"/>
    <w:rsid w:val="00032977"/>
    <w:rsid w:val="000329ED"/>
    <w:rsid w:val="00032A0E"/>
    <w:rsid w:val="00032A81"/>
    <w:rsid w:val="00032C45"/>
    <w:rsid w:val="00032D54"/>
    <w:rsid w:val="00032D96"/>
    <w:rsid w:val="00032FDE"/>
    <w:rsid w:val="000332D1"/>
    <w:rsid w:val="000340D8"/>
    <w:rsid w:val="0003427D"/>
    <w:rsid w:val="00034364"/>
    <w:rsid w:val="000345AB"/>
    <w:rsid w:val="000345DF"/>
    <w:rsid w:val="000348E8"/>
    <w:rsid w:val="00034C5D"/>
    <w:rsid w:val="00034DFA"/>
    <w:rsid w:val="000351B7"/>
    <w:rsid w:val="000353AB"/>
    <w:rsid w:val="000357ED"/>
    <w:rsid w:val="00035E15"/>
    <w:rsid w:val="00036320"/>
    <w:rsid w:val="0003633F"/>
    <w:rsid w:val="0003640E"/>
    <w:rsid w:val="00036734"/>
    <w:rsid w:val="0003688A"/>
    <w:rsid w:val="000368C7"/>
    <w:rsid w:val="000368FC"/>
    <w:rsid w:val="00036A0D"/>
    <w:rsid w:val="00036DA3"/>
    <w:rsid w:val="0003740E"/>
    <w:rsid w:val="00037487"/>
    <w:rsid w:val="000379AA"/>
    <w:rsid w:val="000379BF"/>
    <w:rsid w:val="00037B15"/>
    <w:rsid w:val="00037BEC"/>
    <w:rsid w:val="00037D19"/>
    <w:rsid w:val="000400D9"/>
    <w:rsid w:val="0004035C"/>
    <w:rsid w:val="00040392"/>
    <w:rsid w:val="00040860"/>
    <w:rsid w:val="00040A3D"/>
    <w:rsid w:val="00040CED"/>
    <w:rsid w:val="00040EA1"/>
    <w:rsid w:val="00040F4C"/>
    <w:rsid w:val="00041566"/>
    <w:rsid w:val="000416E5"/>
    <w:rsid w:val="00041A9F"/>
    <w:rsid w:val="00041DCD"/>
    <w:rsid w:val="00041EE3"/>
    <w:rsid w:val="00041F71"/>
    <w:rsid w:val="00042025"/>
    <w:rsid w:val="0004205F"/>
    <w:rsid w:val="00042083"/>
    <w:rsid w:val="000422CD"/>
    <w:rsid w:val="000423C6"/>
    <w:rsid w:val="00042EDB"/>
    <w:rsid w:val="00043547"/>
    <w:rsid w:val="000438B7"/>
    <w:rsid w:val="000439BB"/>
    <w:rsid w:val="00043AB7"/>
    <w:rsid w:val="00044407"/>
    <w:rsid w:val="00044869"/>
    <w:rsid w:val="00044A50"/>
    <w:rsid w:val="00044A7F"/>
    <w:rsid w:val="00044C65"/>
    <w:rsid w:val="00044F94"/>
    <w:rsid w:val="00044FD6"/>
    <w:rsid w:val="0004562F"/>
    <w:rsid w:val="000458C7"/>
    <w:rsid w:val="00045955"/>
    <w:rsid w:val="00045991"/>
    <w:rsid w:val="00045BCB"/>
    <w:rsid w:val="00045E5C"/>
    <w:rsid w:val="00045F80"/>
    <w:rsid w:val="000460A2"/>
    <w:rsid w:val="0004627F"/>
    <w:rsid w:val="00046288"/>
    <w:rsid w:val="000462AD"/>
    <w:rsid w:val="000464FF"/>
    <w:rsid w:val="000474DC"/>
    <w:rsid w:val="00047941"/>
    <w:rsid w:val="00047BB3"/>
    <w:rsid w:val="00047DB5"/>
    <w:rsid w:val="00050082"/>
    <w:rsid w:val="0005063D"/>
    <w:rsid w:val="00050A22"/>
    <w:rsid w:val="00050A6A"/>
    <w:rsid w:val="00050A78"/>
    <w:rsid w:val="00050E27"/>
    <w:rsid w:val="00051046"/>
    <w:rsid w:val="0005144F"/>
    <w:rsid w:val="000515B7"/>
    <w:rsid w:val="00051628"/>
    <w:rsid w:val="00051747"/>
    <w:rsid w:val="00051AF1"/>
    <w:rsid w:val="00051D42"/>
    <w:rsid w:val="00052214"/>
    <w:rsid w:val="000523DC"/>
    <w:rsid w:val="00052583"/>
    <w:rsid w:val="00053237"/>
    <w:rsid w:val="000537F9"/>
    <w:rsid w:val="000538A1"/>
    <w:rsid w:val="00053CF2"/>
    <w:rsid w:val="0005408D"/>
    <w:rsid w:val="00054359"/>
    <w:rsid w:val="000543C8"/>
    <w:rsid w:val="000546DD"/>
    <w:rsid w:val="00055142"/>
    <w:rsid w:val="00055375"/>
    <w:rsid w:val="00055493"/>
    <w:rsid w:val="00055CD7"/>
    <w:rsid w:val="00055E1A"/>
    <w:rsid w:val="00055F97"/>
    <w:rsid w:val="000561C2"/>
    <w:rsid w:val="000562F5"/>
    <w:rsid w:val="00056319"/>
    <w:rsid w:val="000564E7"/>
    <w:rsid w:val="0005661B"/>
    <w:rsid w:val="00056770"/>
    <w:rsid w:val="00056A55"/>
    <w:rsid w:val="00056C7C"/>
    <w:rsid w:val="00056CE4"/>
    <w:rsid w:val="000570E9"/>
    <w:rsid w:val="00057386"/>
    <w:rsid w:val="0005741F"/>
    <w:rsid w:val="00057766"/>
    <w:rsid w:val="00057EEF"/>
    <w:rsid w:val="0006009D"/>
    <w:rsid w:val="0006087E"/>
    <w:rsid w:val="00060D3A"/>
    <w:rsid w:val="00060EFE"/>
    <w:rsid w:val="00060F8F"/>
    <w:rsid w:val="000614A9"/>
    <w:rsid w:val="0006160F"/>
    <w:rsid w:val="000617A3"/>
    <w:rsid w:val="00061846"/>
    <w:rsid w:val="000619CB"/>
    <w:rsid w:val="00061B26"/>
    <w:rsid w:val="00061F49"/>
    <w:rsid w:val="0006211B"/>
    <w:rsid w:val="00062387"/>
    <w:rsid w:val="000627DA"/>
    <w:rsid w:val="00062ECF"/>
    <w:rsid w:val="00062FBE"/>
    <w:rsid w:val="0006339A"/>
    <w:rsid w:val="000634E2"/>
    <w:rsid w:val="00063833"/>
    <w:rsid w:val="00063C34"/>
    <w:rsid w:val="00063C5A"/>
    <w:rsid w:val="00063D75"/>
    <w:rsid w:val="00063F5E"/>
    <w:rsid w:val="00063F97"/>
    <w:rsid w:val="000640F0"/>
    <w:rsid w:val="0006412A"/>
    <w:rsid w:val="0006434D"/>
    <w:rsid w:val="000643A1"/>
    <w:rsid w:val="00064667"/>
    <w:rsid w:val="00064679"/>
    <w:rsid w:val="0006484B"/>
    <w:rsid w:val="00064A13"/>
    <w:rsid w:val="00064AF4"/>
    <w:rsid w:val="00064C68"/>
    <w:rsid w:val="00064DB1"/>
    <w:rsid w:val="00065105"/>
    <w:rsid w:val="00065BA3"/>
    <w:rsid w:val="00065CAD"/>
    <w:rsid w:val="00065D3B"/>
    <w:rsid w:val="00065E3B"/>
    <w:rsid w:val="00065F2E"/>
    <w:rsid w:val="00066413"/>
    <w:rsid w:val="000667E9"/>
    <w:rsid w:val="00066A9B"/>
    <w:rsid w:val="00066C54"/>
    <w:rsid w:val="00066CC9"/>
    <w:rsid w:val="00066DAE"/>
    <w:rsid w:val="00066E2F"/>
    <w:rsid w:val="00066EF5"/>
    <w:rsid w:val="00067128"/>
    <w:rsid w:val="000674A1"/>
    <w:rsid w:val="000675CD"/>
    <w:rsid w:val="00067782"/>
    <w:rsid w:val="00067872"/>
    <w:rsid w:val="000678AC"/>
    <w:rsid w:val="000678AD"/>
    <w:rsid w:val="000678E4"/>
    <w:rsid w:val="00067F38"/>
    <w:rsid w:val="00070035"/>
    <w:rsid w:val="00070065"/>
    <w:rsid w:val="000703B2"/>
    <w:rsid w:val="0007075F"/>
    <w:rsid w:val="000708D3"/>
    <w:rsid w:val="00070B3B"/>
    <w:rsid w:val="00070D2D"/>
    <w:rsid w:val="00070E64"/>
    <w:rsid w:val="00070EFC"/>
    <w:rsid w:val="00070FAD"/>
    <w:rsid w:val="00070FBF"/>
    <w:rsid w:val="000711EE"/>
    <w:rsid w:val="0007156D"/>
    <w:rsid w:val="0007172B"/>
    <w:rsid w:val="0007180E"/>
    <w:rsid w:val="00071A69"/>
    <w:rsid w:val="00071AE4"/>
    <w:rsid w:val="00071C86"/>
    <w:rsid w:val="00071CB5"/>
    <w:rsid w:val="00071CCB"/>
    <w:rsid w:val="00071D03"/>
    <w:rsid w:val="00071D7D"/>
    <w:rsid w:val="000722CC"/>
    <w:rsid w:val="0007232B"/>
    <w:rsid w:val="00072351"/>
    <w:rsid w:val="0007238C"/>
    <w:rsid w:val="0007264B"/>
    <w:rsid w:val="00072E9B"/>
    <w:rsid w:val="00073422"/>
    <w:rsid w:val="000735A2"/>
    <w:rsid w:val="0007365D"/>
    <w:rsid w:val="00073BF7"/>
    <w:rsid w:val="000747A9"/>
    <w:rsid w:val="00074EF3"/>
    <w:rsid w:val="0007517E"/>
    <w:rsid w:val="00075835"/>
    <w:rsid w:val="00075C5F"/>
    <w:rsid w:val="00075FE1"/>
    <w:rsid w:val="00076201"/>
    <w:rsid w:val="00076603"/>
    <w:rsid w:val="00076667"/>
    <w:rsid w:val="00076ED3"/>
    <w:rsid w:val="00076EED"/>
    <w:rsid w:val="000770D3"/>
    <w:rsid w:val="00077108"/>
    <w:rsid w:val="00077473"/>
    <w:rsid w:val="00077481"/>
    <w:rsid w:val="0007752A"/>
    <w:rsid w:val="000776F9"/>
    <w:rsid w:val="0007784A"/>
    <w:rsid w:val="00077A01"/>
    <w:rsid w:val="00077D40"/>
    <w:rsid w:val="00077DD6"/>
    <w:rsid w:val="00077EE0"/>
    <w:rsid w:val="000802F9"/>
    <w:rsid w:val="0008057B"/>
    <w:rsid w:val="00080634"/>
    <w:rsid w:val="00080874"/>
    <w:rsid w:val="0008098D"/>
    <w:rsid w:val="0008145A"/>
    <w:rsid w:val="0008162D"/>
    <w:rsid w:val="000816AE"/>
    <w:rsid w:val="00081A96"/>
    <w:rsid w:val="00081C3F"/>
    <w:rsid w:val="00081DF5"/>
    <w:rsid w:val="00082004"/>
    <w:rsid w:val="00082100"/>
    <w:rsid w:val="0008299D"/>
    <w:rsid w:val="00082CD9"/>
    <w:rsid w:val="00082F73"/>
    <w:rsid w:val="00082F88"/>
    <w:rsid w:val="000831C8"/>
    <w:rsid w:val="000835A8"/>
    <w:rsid w:val="00083AA4"/>
    <w:rsid w:val="00083CCC"/>
    <w:rsid w:val="00083F5E"/>
    <w:rsid w:val="0008455E"/>
    <w:rsid w:val="0008484B"/>
    <w:rsid w:val="00084D6B"/>
    <w:rsid w:val="00084FDB"/>
    <w:rsid w:val="0008505C"/>
    <w:rsid w:val="0008510E"/>
    <w:rsid w:val="00085254"/>
    <w:rsid w:val="00085492"/>
    <w:rsid w:val="0008557C"/>
    <w:rsid w:val="00085A07"/>
    <w:rsid w:val="00085C46"/>
    <w:rsid w:val="00085D72"/>
    <w:rsid w:val="00086143"/>
    <w:rsid w:val="00086191"/>
    <w:rsid w:val="00086284"/>
    <w:rsid w:val="00086412"/>
    <w:rsid w:val="00086842"/>
    <w:rsid w:val="0008686A"/>
    <w:rsid w:val="000868F5"/>
    <w:rsid w:val="00086BE6"/>
    <w:rsid w:val="00086E12"/>
    <w:rsid w:val="00086E19"/>
    <w:rsid w:val="00087175"/>
    <w:rsid w:val="00087187"/>
    <w:rsid w:val="0008730C"/>
    <w:rsid w:val="000874CF"/>
    <w:rsid w:val="00087605"/>
    <w:rsid w:val="0008789A"/>
    <w:rsid w:val="00087A72"/>
    <w:rsid w:val="00087D35"/>
    <w:rsid w:val="00090167"/>
    <w:rsid w:val="00090205"/>
    <w:rsid w:val="0009057D"/>
    <w:rsid w:val="000908E4"/>
    <w:rsid w:val="00090912"/>
    <w:rsid w:val="00090D75"/>
    <w:rsid w:val="00090E22"/>
    <w:rsid w:val="00091796"/>
    <w:rsid w:val="00091BA2"/>
    <w:rsid w:val="00091CB0"/>
    <w:rsid w:val="00091CC7"/>
    <w:rsid w:val="00091D16"/>
    <w:rsid w:val="00091DBF"/>
    <w:rsid w:val="00091FAD"/>
    <w:rsid w:val="000921E8"/>
    <w:rsid w:val="00092209"/>
    <w:rsid w:val="0009245B"/>
    <w:rsid w:val="00092D7A"/>
    <w:rsid w:val="00092F8B"/>
    <w:rsid w:val="00093AA8"/>
    <w:rsid w:val="00093C20"/>
    <w:rsid w:val="0009406A"/>
    <w:rsid w:val="00094344"/>
    <w:rsid w:val="00094508"/>
    <w:rsid w:val="0009473A"/>
    <w:rsid w:val="0009488F"/>
    <w:rsid w:val="00094904"/>
    <w:rsid w:val="00094D1B"/>
    <w:rsid w:val="000953C6"/>
    <w:rsid w:val="000953F4"/>
    <w:rsid w:val="000958B2"/>
    <w:rsid w:val="0009590C"/>
    <w:rsid w:val="0009594B"/>
    <w:rsid w:val="000959E7"/>
    <w:rsid w:val="00095A62"/>
    <w:rsid w:val="00095C45"/>
    <w:rsid w:val="00095CEE"/>
    <w:rsid w:val="00095CF0"/>
    <w:rsid w:val="00095E7D"/>
    <w:rsid w:val="0009612D"/>
    <w:rsid w:val="0009618D"/>
    <w:rsid w:val="00096216"/>
    <w:rsid w:val="000964DE"/>
    <w:rsid w:val="00096648"/>
    <w:rsid w:val="00096F0F"/>
    <w:rsid w:val="00096F78"/>
    <w:rsid w:val="0009701B"/>
    <w:rsid w:val="00097275"/>
    <w:rsid w:val="000972AB"/>
    <w:rsid w:val="000972BE"/>
    <w:rsid w:val="000973CF"/>
    <w:rsid w:val="00097B40"/>
    <w:rsid w:val="00097D0E"/>
    <w:rsid w:val="000A0000"/>
    <w:rsid w:val="000A02DD"/>
    <w:rsid w:val="000A0524"/>
    <w:rsid w:val="000A109B"/>
    <w:rsid w:val="000A17EA"/>
    <w:rsid w:val="000A1A37"/>
    <w:rsid w:val="000A1B51"/>
    <w:rsid w:val="000A1C7A"/>
    <w:rsid w:val="000A2219"/>
    <w:rsid w:val="000A2345"/>
    <w:rsid w:val="000A2394"/>
    <w:rsid w:val="000A2C44"/>
    <w:rsid w:val="000A300D"/>
    <w:rsid w:val="000A31C1"/>
    <w:rsid w:val="000A32BD"/>
    <w:rsid w:val="000A32C5"/>
    <w:rsid w:val="000A3411"/>
    <w:rsid w:val="000A34CA"/>
    <w:rsid w:val="000A363D"/>
    <w:rsid w:val="000A36E0"/>
    <w:rsid w:val="000A3B02"/>
    <w:rsid w:val="000A3D83"/>
    <w:rsid w:val="000A426F"/>
    <w:rsid w:val="000A4559"/>
    <w:rsid w:val="000A45FD"/>
    <w:rsid w:val="000A4723"/>
    <w:rsid w:val="000A477B"/>
    <w:rsid w:val="000A4CF4"/>
    <w:rsid w:val="000A558D"/>
    <w:rsid w:val="000A5611"/>
    <w:rsid w:val="000A563C"/>
    <w:rsid w:val="000A59C5"/>
    <w:rsid w:val="000A5B6C"/>
    <w:rsid w:val="000A5DEA"/>
    <w:rsid w:val="000A5EBD"/>
    <w:rsid w:val="000A5FFE"/>
    <w:rsid w:val="000A61C1"/>
    <w:rsid w:val="000A62EF"/>
    <w:rsid w:val="000A66CC"/>
    <w:rsid w:val="000A6F3E"/>
    <w:rsid w:val="000A7658"/>
    <w:rsid w:val="000A7F0B"/>
    <w:rsid w:val="000A7F0F"/>
    <w:rsid w:val="000A7F4C"/>
    <w:rsid w:val="000A7FFB"/>
    <w:rsid w:val="000B0084"/>
    <w:rsid w:val="000B02BC"/>
    <w:rsid w:val="000B0498"/>
    <w:rsid w:val="000B0BCB"/>
    <w:rsid w:val="000B0F36"/>
    <w:rsid w:val="000B11F9"/>
    <w:rsid w:val="000B141D"/>
    <w:rsid w:val="000B1617"/>
    <w:rsid w:val="000B18A7"/>
    <w:rsid w:val="000B1942"/>
    <w:rsid w:val="000B1AC9"/>
    <w:rsid w:val="000B1BED"/>
    <w:rsid w:val="000B1F63"/>
    <w:rsid w:val="000B2191"/>
    <w:rsid w:val="000B2240"/>
    <w:rsid w:val="000B2375"/>
    <w:rsid w:val="000B2477"/>
    <w:rsid w:val="000B2600"/>
    <w:rsid w:val="000B2965"/>
    <w:rsid w:val="000B2A52"/>
    <w:rsid w:val="000B2DAB"/>
    <w:rsid w:val="000B30F2"/>
    <w:rsid w:val="000B3173"/>
    <w:rsid w:val="000B31BA"/>
    <w:rsid w:val="000B325B"/>
    <w:rsid w:val="000B36F9"/>
    <w:rsid w:val="000B3735"/>
    <w:rsid w:val="000B4055"/>
    <w:rsid w:val="000B4074"/>
    <w:rsid w:val="000B415D"/>
    <w:rsid w:val="000B42AC"/>
    <w:rsid w:val="000B4732"/>
    <w:rsid w:val="000B4A0C"/>
    <w:rsid w:val="000B4BCD"/>
    <w:rsid w:val="000B5C33"/>
    <w:rsid w:val="000B5E6F"/>
    <w:rsid w:val="000B6414"/>
    <w:rsid w:val="000B66DC"/>
    <w:rsid w:val="000B6809"/>
    <w:rsid w:val="000B6A23"/>
    <w:rsid w:val="000B6C80"/>
    <w:rsid w:val="000B6D1F"/>
    <w:rsid w:val="000B7097"/>
    <w:rsid w:val="000B76F4"/>
    <w:rsid w:val="000B7830"/>
    <w:rsid w:val="000C000F"/>
    <w:rsid w:val="000C005C"/>
    <w:rsid w:val="000C0224"/>
    <w:rsid w:val="000C03CB"/>
    <w:rsid w:val="000C0492"/>
    <w:rsid w:val="000C062F"/>
    <w:rsid w:val="000C06DA"/>
    <w:rsid w:val="000C0906"/>
    <w:rsid w:val="000C1030"/>
    <w:rsid w:val="000C11E6"/>
    <w:rsid w:val="000C17E7"/>
    <w:rsid w:val="000C1904"/>
    <w:rsid w:val="000C217C"/>
    <w:rsid w:val="000C2364"/>
    <w:rsid w:val="000C2B0A"/>
    <w:rsid w:val="000C2CF9"/>
    <w:rsid w:val="000C2F93"/>
    <w:rsid w:val="000C3270"/>
    <w:rsid w:val="000C355E"/>
    <w:rsid w:val="000C37CB"/>
    <w:rsid w:val="000C3F38"/>
    <w:rsid w:val="000C3F68"/>
    <w:rsid w:val="000C43E0"/>
    <w:rsid w:val="000C444A"/>
    <w:rsid w:val="000C4C7B"/>
    <w:rsid w:val="000C4DAB"/>
    <w:rsid w:val="000C577E"/>
    <w:rsid w:val="000C58E1"/>
    <w:rsid w:val="000C5CCD"/>
    <w:rsid w:val="000C63BC"/>
    <w:rsid w:val="000C65AC"/>
    <w:rsid w:val="000C7117"/>
    <w:rsid w:val="000C7AFA"/>
    <w:rsid w:val="000C7B44"/>
    <w:rsid w:val="000D04BA"/>
    <w:rsid w:val="000D0610"/>
    <w:rsid w:val="000D0B6E"/>
    <w:rsid w:val="000D0D65"/>
    <w:rsid w:val="000D12E0"/>
    <w:rsid w:val="000D16DD"/>
    <w:rsid w:val="000D1944"/>
    <w:rsid w:val="000D1CA8"/>
    <w:rsid w:val="000D1DD9"/>
    <w:rsid w:val="000D1E6F"/>
    <w:rsid w:val="000D2172"/>
    <w:rsid w:val="000D2879"/>
    <w:rsid w:val="000D293C"/>
    <w:rsid w:val="000D29C7"/>
    <w:rsid w:val="000D2A8A"/>
    <w:rsid w:val="000D2BC1"/>
    <w:rsid w:val="000D2D4A"/>
    <w:rsid w:val="000D2E61"/>
    <w:rsid w:val="000D337B"/>
    <w:rsid w:val="000D36F4"/>
    <w:rsid w:val="000D385A"/>
    <w:rsid w:val="000D38C2"/>
    <w:rsid w:val="000D3A41"/>
    <w:rsid w:val="000D3B77"/>
    <w:rsid w:val="000D3BE9"/>
    <w:rsid w:val="000D3CA7"/>
    <w:rsid w:val="000D428B"/>
    <w:rsid w:val="000D435C"/>
    <w:rsid w:val="000D45B9"/>
    <w:rsid w:val="000D5241"/>
    <w:rsid w:val="000D5476"/>
    <w:rsid w:val="000D562E"/>
    <w:rsid w:val="000D5B16"/>
    <w:rsid w:val="000D5FD6"/>
    <w:rsid w:val="000D605E"/>
    <w:rsid w:val="000D6201"/>
    <w:rsid w:val="000D6379"/>
    <w:rsid w:val="000D6488"/>
    <w:rsid w:val="000D65EA"/>
    <w:rsid w:val="000D68FB"/>
    <w:rsid w:val="000D6C8A"/>
    <w:rsid w:val="000D6D74"/>
    <w:rsid w:val="000D7088"/>
    <w:rsid w:val="000D770B"/>
    <w:rsid w:val="000D77B1"/>
    <w:rsid w:val="000D788E"/>
    <w:rsid w:val="000D7B93"/>
    <w:rsid w:val="000D7D8D"/>
    <w:rsid w:val="000E0A2E"/>
    <w:rsid w:val="000E0B80"/>
    <w:rsid w:val="000E12B0"/>
    <w:rsid w:val="000E1473"/>
    <w:rsid w:val="000E1BC8"/>
    <w:rsid w:val="000E1BC9"/>
    <w:rsid w:val="000E1CD4"/>
    <w:rsid w:val="000E1D2E"/>
    <w:rsid w:val="000E1D32"/>
    <w:rsid w:val="000E2055"/>
    <w:rsid w:val="000E26D8"/>
    <w:rsid w:val="000E2B94"/>
    <w:rsid w:val="000E2CF5"/>
    <w:rsid w:val="000E3156"/>
    <w:rsid w:val="000E324D"/>
    <w:rsid w:val="000E3548"/>
    <w:rsid w:val="000E35B6"/>
    <w:rsid w:val="000E35D1"/>
    <w:rsid w:val="000E37E7"/>
    <w:rsid w:val="000E3869"/>
    <w:rsid w:val="000E39E3"/>
    <w:rsid w:val="000E3AFD"/>
    <w:rsid w:val="000E3BB8"/>
    <w:rsid w:val="000E3D9B"/>
    <w:rsid w:val="000E3DFD"/>
    <w:rsid w:val="000E4261"/>
    <w:rsid w:val="000E42B9"/>
    <w:rsid w:val="000E442D"/>
    <w:rsid w:val="000E44A3"/>
    <w:rsid w:val="000E4697"/>
    <w:rsid w:val="000E46D4"/>
    <w:rsid w:val="000E4B9F"/>
    <w:rsid w:val="000E5029"/>
    <w:rsid w:val="000E58C5"/>
    <w:rsid w:val="000E58C8"/>
    <w:rsid w:val="000E6203"/>
    <w:rsid w:val="000E64CB"/>
    <w:rsid w:val="000E65C1"/>
    <w:rsid w:val="000E66D0"/>
    <w:rsid w:val="000E6D5C"/>
    <w:rsid w:val="000E713C"/>
    <w:rsid w:val="000E722C"/>
    <w:rsid w:val="000E73CC"/>
    <w:rsid w:val="000E755B"/>
    <w:rsid w:val="000E785A"/>
    <w:rsid w:val="000E786F"/>
    <w:rsid w:val="000E7873"/>
    <w:rsid w:val="000E78F2"/>
    <w:rsid w:val="000E7DA7"/>
    <w:rsid w:val="000E7F0A"/>
    <w:rsid w:val="000E7FA0"/>
    <w:rsid w:val="000F00BA"/>
    <w:rsid w:val="000F02F8"/>
    <w:rsid w:val="000F0409"/>
    <w:rsid w:val="000F049F"/>
    <w:rsid w:val="000F04EB"/>
    <w:rsid w:val="000F0642"/>
    <w:rsid w:val="000F07FA"/>
    <w:rsid w:val="000F0B5E"/>
    <w:rsid w:val="000F0C11"/>
    <w:rsid w:val="000F0C26"/>
    <w:rsid w:val="000F1083"/>
    <w:rsid w:val="000F1865"/>
    <w:rsid w:val="000F1D43"/>
    <w:rsid w:val="000F1FFC"/>
    <w:rsid w:val="000F1FFF"/>
    <w:rsid w:val="000F20AA"/>
    <w:rsid w:val="000F223E"/>
    <w:rsid w:val="000F2331"/>
    <w:rsid w:val="000F2580"/>
    <w:rsid w:val="000F2651"/>
    <w:rsid w:val="000F2BDA"/>
    <w:rsid w:val="000F2C7F"/>
    <w:rsid w:val="000F2D32"/>
    <w:rsid w:val="000F2FC2"/>
    <w:rsid w:val="000F348D"/>
    <w:rsid w:val="000F369A"/>
    <w:rsid w:val="000F36E6"/>
    <w:rsid w:val="000F3755"/>
    <w:rsid w:val="000F39B1"/>
    <w:rsid w:val="000F3A95"/>
    <w:rsid w:val="000F3E9D"/>
    <w:rsid w:val="000F3F13"/>
    <w:rsid w:val="000F40AB"/>
    <w:rsid w:val="000F4108"/>
    <w:rsid w:val="000F4463"/>
    <w:rsid w:val="000F4A16"/>
    <w:rsid w:val="000F5285"/>
    <w:rsid w:val="000F52E0"/>
    <w:rsid w:val="000F53A9"/>
    <w:rsid w:val="000F5721"/>
    <w:rsid w:val="000F5A8E"/>
    <w:rsid w:val="000F5B80"/>
    <w:rsid w:val="000F6427"/>
    <w:rsid w:val="000F6464"/>
    <w:rsid w:val="000F654E"/>
    <w:rsid w:val="000F6628"/>
    <w:rsid w:val="000F6926"/>
    <w:rsid w:val="000F6C25"/>
    <w:rsid w:val="000F6EB5"/>
    <w:rsid w:val="000F70BE"/>
    <w:rsid w:val="000F721C"/>
    <w:rsid w:val="000F76EB"/>
    <w:rsid w:val="000F779F"/>
    <w:rsid w:val="000F7816"/>
    <w:rsid w:val="000F78AE"/>
    <w:rsid w:val="000F7CAB"/>
    <w:rsid w:val="000F7E25"/>
    <w:rsid w:val="001000CE"/>
    <w:rsid w:val="0010027A"/>
    <w:rsid w:val="001007EE"/>
    <w:rsid w:val="00100D42"/>
    <w:rsid w:val="00100F76"/>
    <w:rsid w:val="0010148E"/>
    <w:rsid w:val="001018D3"/>
    <w:rsid w:val="0010199F"/>
    <w:rsid w:val="00101BF1"/>
    <w:rsid w:val="00102076"/>
    <w:rsid w:val="00102281"/>
    <w:rsid w:val="0010253C"/>
    <w:rsid w:val="00102587"/>
    <w:rsid w:val="00102BD1"/>
    <w:rsid w:val="00102F5F"/>
    <w:rsid w:val="0010305A"/>
    <w:rsid w:val="001032E0"/>
    <w:rsid w:val="00103FC5"/>
    <w:rsid w:val="001041F2"/>
    <w:rsid w:val="0010422F"/>
    <w:rsid w:val="0010483C"/>
    <w:rsid w:val="0010486A"/>
    <w:rsid w:val="00104FCA"/>
    <w:rsid w:val="00105501"/>
    <w:rsid w:val="0010561C"/>
    <w:rsid w:val="001057AB"/>
    <w:rsid w:val="00105B18"/>
    <w:rsid w:val="00105C0F"/>
    <w:rsid w:val="00105E39"/>
    <w:rsid w:val="00105FAC"/>
    <w:rsid w:val="001062BB"/>
    <w:rsid w:val="00106561"/>
    <w:rsid w:val="001065E0"/>
    <w:rsid w:val="0010693D"/>
    <w:rsid w:val="00106D63"/>
    <w:rsid w:val="00106D84"/>
    <w:rsid w:val="0010758E"/>
    <w:rsid w:val="001075F3"/>
    <w:rsid w:val="0010769B"/>
    <w:rsid w:val="00107857"/>
    <w:rsid w:val="001079FD"/>
    <w:rsid w:val="00107A01"/>
    <w:rsid w:val="00107C23"/>
    <w:rsid w:val="00107D05"/>
    <w:rsid w:val="00107DA0"/>
    <w:rsid w:val="00110307"/>
    <w:rsid w:val="00110731"/>
    <w:rsid w:val="0011092B"/>
    <w:rsid w:val="00110B17"/>
    <w:rsid w:val="00110C7F"/>
    <w:rsid w:val="00110CA3"/>
    <w:rsid w:val="00110EE2"/>
    <w:rsid w:val="00110F9C"/>
    <w:rsid w:val="00111392"/>
    <w:rsid w:val="001116A0"/>
    <w:rsid w:val="00111A88"/>
    <w:rsid w:val="00111DB7"/>
    <w:rsid w:val="00111F2A"/>
    <w:rsid w:val="00112103"/>
    <w:rsid w:val="0011221A"/>
    <w:rsid w:val="0011285A"/>
    <w:rsid w:val="00112978"/>
    <w:rsid w:val="0011308E"/>
    <w:rsid w:val="00113145"/>
    <w:rsid w:val="0011320C"/>
    <w:rsid w:val="00113273"/>
    <w:rsid w:val="00113283"/>
    <w:rsid w:val="00113284"/>
    <w:rsid w:val="00113400"/>
    <w:rsid w:val="001137AE"/>
    <w:rsid w:val="001138F0"/>
    <w:rsid w:val="00113923"/>
    <w:rsid w:val="00113B20"/>
    <w:rsid w:val="00113B4E"/>
    <w:rsid w:val="00113B6D"/>
    <w:rsid w:val="00113D86"/>
    <w:rsid w:val="0011414C"/>
    <w:rsid w:val="001147B3"/>
    <w:rsid w:val="001148F7"/>
    <w:rsid w:val="001149B2"/>
    <w:rsid w:val="001149D4"/>
    <w:rsid w:val="00114C2D"/>
    <w:rsid w:val="00115125"/>
    <w:rsid w:val="0011515E"/>
    <w:rsid w:val="001152F2"/>
    <w:rsid w:val="0011564A"/>
    <w:rsid w:val="001157D7"/>
    <w:rsid w:val="0011582F"/>
    <w:rsid w:val="00115D3D"/>
    <w:rsid w:val="00115DA6"/>
    <w:rsid w:val="00115DFF"/>
    <w:rsid w:val="00116207"/>
    <w:rsid w:val="00116382"/>
    <w:rsid w:val="00116484"/>
    <w:rsid w:val="0011694D"/>
    <w:rsid w:val="00116ACF"/>
    <w:rsid w:val="00116CFD"/>
    <w:rsid w:val="00116D5C"/>
    <w:rsid w:val="001172B2"/>
    <w:rsid w:val="00117583"/>
    <w:rsid w:val="00117A4B"/>
    <w:rsid w:val="00117F9B"/>
    <w:rsid w:val="00120026"/>
    <w:rsid w:val="0012022F"/>
    <w:rsid w:val="00120315"/>
    <w:rsid w:val="00120316"/>
    <w:rsid w:val="00120F41"/>
    <w:rsid w:val="00121211"/>
    <w:rsid w:val="001212B6"/>
    <w:rsid w:val="00121628"/>
    <w:rsid w:val="0012167D"/>
    <w:rsid w:val="00121961"/>
    <w:rsid w:val="00121FED"/>
    <w:rsid w:val="00122189"/>
    <w:rsid w:val="00122280"/>
    <w:rsid w:val="00122D42"/>
    <w:rsid w:val="00123237"/>
    <w:rsid w:val="00123345"/>
    <w:rsid w:val="00123B36"/>
    <w:rsid w:val="00123B73"/>
    <w:rsid w:val="00123C46"/>
    <w:rsid w:val="00124274"/>
    <w:rsid w:val="001242E1"/>
    <w:rsid w:val="00124475"/>
    <w:rsid w:val="0012470B"/>
    <w:rsid w:val="001248AE"/>
    <w:rsid w:val="00124BB7"/>
    <w:rsid w:val="00124F0A"/>
    <w:rsid w:val="001253D6"/>
    <w:rsid w:val="00125571"/>
    <w:rsid w:val="00125940"/>
    <w:rsid w:val="0012596A"/>
    <w:rsid w:val="00125A05"/>
    <w:rsid w:val="00125BD9"/>
    <w:rsid w:val="00125C75"/>
    <w:rsid w:val="00125C7E"/>
    <w:rsid w:val="00125F6D"/>
    <w:rsid w:val="00125F6E"/>
    <w:rsid w:val="0012617D"/>
    <w:rsid w:val="001264C9"/>
    <w:rsid w:val="00126C37"/>
    <w:rsid w:val="00127200"/>
    <w:rsid w:val="0012754E"/>
    <w:rsid w:val="00127945"/>
    <w:rsid w:val="00127D40"/>
    <w:rsid w:val="00127D94"/>
    <w:rsid w:val="00127E84"/>
    <w:rsid w:val="00127E90"/>
    <w:rsid w:val="00130227"/>
    <w:rsid w:val="001302C1"/>
    <w:rsid w:val="00130591"/>
    <w:rsid w:val="001306D3"/>
    <w:rsid w:val="001308B0"/>
    <w:rsid w:val="00130C4D"/>
    <w:rsid w:val="001310BF"/>
    <w:rsid w:val="001311F6"/>
    <w:rsid w:val="001313E4"/>
    <w:rsid w:val="0013169E"/>
    <w:rsid w:val="0013198B"/>
    <w:rsid w:val="0013242F"/>
    <w:rsid w:val="00132E45"/>
    <w:rsid w:val="00132E58"/>
    <w:rsid w:val="001336F2"/>
    <w:rsid w:val="00133A3F"/>
    <w:rsid w:val="00133E1C"/>
    <w:rsid w:val="00133E73"/>
    <w:rsid w:val="00133FDB"/>
    <w:rsid w:val="00134010"/>
    <w:rsid w:val="001340F7"/>
    <w:rsid w:val="00134187"/>
    <w:rsid w:val="001341FC"/>
    <w:rsid w:val="001343AE"/>
    <w:rsid w:val="00134752"/>
    <w:rsid w:val="00134DAE"/>
    <w:rsid w:val="00134F1D"/>
    <w:rsid w:val="00134F4A"/>
    <w:rsid w:val="00134F74"/>
    <w:rsid w:val="0013572E"/>
    <w:rsid w:val="001358F5"/>
    <w:rsid w:val="001359A5"/>
    <w:rsid w:val="00135C99"/>
    <w:rsid w:val="00135E4E"/>
    <w:rsid w:val="00135EDE"/>
    <w:rsid w:val="00136246"/>
    <w:rsid w:val="00136408"/>
    <w:rsid w:val="0013640F"/>
    <w:rsid w:val="0013643E"/>
    <w:rsid w:val="001364D4"/>
    <w:rsid w:val="00136CB0"/>
    <w:rsid w:val="00136FD4"/>
    <w:rsid w:val="001371C8"/>
    <w:rsid w:val="001372ED"/>
    <w:rsid w:val="001377EA"/>
    <w:rsid w:val="001378D9"/>
    <w:rsid w:val="00140945"/>
    <w:rsid w:val="00140D1C"/>
    <w:rsid w:val="00140E22"/>
    <w:rsid w:val="00140FEF"/>
    <w:rsid w:val="001415C1"/>
    <w:rsid w:val="00141F20"/>
    <w:rsid w:val="00142111"/>
    <w:rsid w:val="001423D9"/>
    <w:rsid w:val="00142A79"/>
    <w:rsid w:val="00142B50"/>
    <w:rsid w:val="00143472"/>
    <w:rsid w:val="00143873"/>
    <w:rsid w:val="001439E9"/>
    <w:rsid w:val="00143C35"/>
    <w:rsid w:val="00143C55"/>
    <w:rsid w:val="00143CAC"/>
    <w:rsid w:val="00143FD9"/>
    <w:rsid w:val="00144180"/>
    <w:rsid w:val="00144BA8"/>
    <w:rsid w:val="00144C20"/>
    <w:rsid w:val="00144C6F"/>
    <w:rsid w:val="00144C78"/>
    <w:rsid w:val="00144D2B"/>
    <w:rsid w:val="00144FDF"/>
    <w:rsid w:val="00145089"/>
    <w:rsid w:val="001451E7"/>
    <w:rsid w:val="00145328"/>
    <w:rsid w:val="001462E3"/>
    <w:rsid w:val="00146308"/>
    <w:rsid w:val="0014672F"/>
    <w:rsid w:val="00146B54"/>
    <w:rsid w:val="00146EFB"/>
    <w:rsid w:val="00146F5D"/>
    <w:rsid w:val="00147056"/>
    <w:rsid w:val="001471EF"/>
    <w:rsid w:val="0014720C"/>
    <w:rsid w:val="001472C2"/>
    <w:rsid w:val="00147313"/>
    <w:rsid w:val="00147458"/>
    <w:rsid w:val="001475F8"/>
    <w:rsid w:val="00147C20"/>
    <w:rsid w:val="00147E21"/>
    <w:rsid w:val="001502A9"/>
    <w:rsid w:val="001504B8"/>
    <w:rsid w:val="00150510"/>
    <w:rsid w:val="00150BA8"/>
    <w:rsid w:val="00150C5A"/>
    <w:rsid w:val="00150D19"/>
    <w:rsid w:val="00151227"/>
    <w:rsid w:val="001515F0"/>
    <w:rsid w:val="001516ED"/>
    <w:rsid w:val="0015181B"/>
    <w:rsid w:val="001518A1"/>
    <w:rsid w:val="00151A9F"/>
    <w:rsid w:val="0015205B"/>
    <w:rsid w:val="00152229"/>
    <w:rsid w:val="00152231"/>
    <w:rsid w:val="00152287"/>
    <w:rsid w:val="00152B87"/>
    <w:rsid w:val="00152D5E"/>
    <w:rsid w:val="00152FA1"/>
    <w:rsid w:val="00153176"/>
    <w:rsid w:val="001532CD"/>
    <w:rsid w:val="00153846"/>
    <w:rsid w:val="00153A96"/>
    <w:rsid w:val="00153D1C"/>
    <w:rsid w:val="001543A3"/>
    <w:rsid w:val="001543E2"/>
    <w:rsid w:val="00154689"/>
    <w:rsid w:val="001546CB"/>
    <w:rsid w:val="001546F8"/>
    <w:rsid w:val="00154C86"/>
    <w:rsid w:val="00154D72"/>
    <w:rsid w:val="001553B5"/>
    <w:rsid w:val="00155608"/>
    <w:rsid w:val="00155B43"/>
    <w:rsid w:val="00155DC1"/>
    <w:rsid w:val="00156043"/>
    <w:rsid w:val="001564F7"/>
    <w:rsid w:val="001565A2"/>
    <w:rsid w:val="00156699"/>
    <w:rsid w:val="001567C3"/>
    <w:rsid w:val="00156A12"/>
    <w:rsid w:val="00156C39"/>
    <w:rsid w:val="00156D5B"/>
    <w:rsid w:val="00156F26"/>
    <w:rsid w:val="001571BC"/>
    <w:rsid w:val="001575A0"/>
    <w:rsid w:val="001579ED"/>
    <w:rsid w:val="00157B3F"/>
    <w:rsid w:val="00157F8A"/>
    <w:rsid w:val="0016046F"/>
    <w:rsid w:val="00160C3D"/>
    <w:rsid w:val="00160DD5"/>
    <w:rsid w:val="00160E73"/>
    <w:rsid w:val="00160E7F"/>
    <w:rsid w:val="001610E4"/>
    <w:rsid w:val="001614D4"/>
    <w:rsid w:val="00161B24"/>
    <w:rsid w:val="00161C41"/>
    <w:rsid w:val="00161C95"/>
    <w:rsid w:val="00161DD5"/>
    <w:rsid w:val="00161E14"/>
    <w:rsid w:val="001620BD"/>
    <w:rsid w:val="001625CA"/>
    <w:rsid w:val="00162944"/>
    <w:rsid w:val="00162AB1"/>
    <w:rsid w:val="00162B6D"/>
    <w:rsid w:val="001630D3"/>
    <w:rsid w:val="001633A4"/>
    <w:rsid w:val="001634D6"/>
    <w:rsid w:val="00163B98"/>
    <w:rsid w:val="00163C2F"/>
    <w:rsid w:val="00163DAB"/>
    <w:rsid w:val="00163EE5"/>
    <w:rsid w:val="00164392"/>
    <w:rsid w:val="001648DD"/>
    <w:rsid w:val="001649A0"/>
    <w:rsid w:val="001649D5"/>
    <w:rsid w:val="00164AB6"/>
    <w:rsid w:val="00164B8F"/>
    <w:rsid w:val="00164C80"/>
    <w:rsid w:val="00165705"/>
    <w:rsid w:val="00165849"/>
    <w:rsid w:val="001659F6"/>
    <w:rsid w:val="00165B3B"/>
    <w:rsid w:val="00165DF2"/>
    <w:rsid w:val="00165F66"/>
    <w:rsid w:val="00165FC9"/>
    <w:rsid w:val="00166389"/>
    <w:rsid w:val="00166B6A"/>
    <w:rsid w:val="00166E03"/>
    <w:rsid w:val="00166F89"/>
    <w:rsid w:val="00167010"/>
    <w:rsid w:val="0016724D"/>
    <w:rsid w:val="00167624"/>
    <w:rsid w:val="00167E4C"/>
    <w:rsid w:val="001703F1"/>
    <w:rsid w:val="0017043E"/>
    <w:rsid w:val="00170678"/>
    <w:rsid w:val="00170976"/>
    <w:rsid w:val="001710A3"/>
    <w:rsid w:val="00171265"/>
    <w:rsid w:val="00171418"/>
    <w:rsid w:val="00171449"/>
    <w:rsid w:val="0017199C"/>
    <w:rsid w:val="00171C7E"/>
    <w:rsid w:val="00171EA7"/>
    <w:rsid w:val="00171F35"/>
    <w:rsid w:val="00171FFF"/>
    <w:rsid w:val="001721E2"/>
    <w:rsid w:val="00172271"/>
    <w:rsid w:val="001723D2"/>
    <w:rsid w:val="00172552"/>
    <w:rsid w:val="00172757"/>
    <w:rsid w:val="00172873"/>
    <w:rsid w:val="00172CF7"/>
    <w:rsid w:val="00172F57"/>
    <w:rsid w:val="0017319E"/>
    <w:rsid w:val="0017344A"/>
    <w:rsid w:val="001734C5"/>
    <w:rsid w:val="00173513"/>
    <w:rsid w:val="001739BF"/>
    <w:rsid w:val="00173A1F"/>
    <w:rsid w:val="00173BC3"/>
    <w:rsid w:val="00173E69"/>
    <w:rsid w:val="001740F7"/>
    <w:rsid w:val="00174128"/>
    <w:rsid w:val="001741C5"/>
    <w:rsid w:val="00174204"/>
    <w:rsid w:val="00175035"/>
    <w:rsid w:val="0017517E"/>
    <w:rsid w:val="00175282"/>
    <w:rsid w:val="00175383"/>
    <w:rsid w:val="0017541E"/>
    <w:rsid w:val="0017550B"/>
    <w:rsid w:val="00175863"/>
    <w:rsid w:val="00175A0C"/>
    <w:rsid w:val="00175BEC"/>
    <w:rsid w:val="00175C34"/>
    <w:rsid w:val="00175D9E"/>
    <w:rsid w:val="00175F78"/>
    <w:rsid w:val="00175F9A"/>
    <w:rsid w:val="00175FD1"/>
    <w:rsid w:val="0017634C"/>
    <w:rsid w:val="0017657F"/>
    <w:rsid w:val="00176D08"/>
    <w:rsid w:val="00176E98"/>
    <w:rsid w:val="00177097"/>
    <w:rsid w:val="00177152"/>
    <w:rsid w:val="00177480"/>
    <w:rsid w:val="001775BE"/>
    <w:rsid w:val="00177609"/>
    <w:rsid w:val="00177846"/>
    <w:rsid w:val="00177996"/>
    <w:rsid w:val="00177C27"/>
    <w:rsid w:val="00177D97"/>
    <w:rsid w:val="00177DCD"/>
    <w:rsid w:val="00177E1F"/>
    <w:rsid w:val="00177F5F"/>
    <w:rsid w:val="00177FE6"/>
    <w:rsid w:val="0018038F"/>
    <w:rsid w:val="00180525"/>
    <w:rsid w:val="00180629"/>
    <w:rsid w:val="00180B3F"/>
    <w:rsid w:val="00180C83"/>
    <w:rsid w:val="00180CE5"/>
    <w:rsid w:val="00180D80"/>
    <w:rsid w:val="0018175B"/>
    <w:rsid w:val="001819F9"/>
    <w:rsid w:val="00181EE9"/>
    <w:rsid w:val="00182054"/>
    <w:rsid w:val="001820A3"/>
    <w:rsid w:val="00182185"/>
    <w:rsid w:val="0018223E"/>
    <w:rsid w:val="00182365"/>
    <w:rsid w:val="0018254E"/>
    <w:rsid w:val="001831DE"/>
    <w:rsid w:val="0018322B"/>
    <w:rsid w:val="0018332A"/>
    <w:rsid w:val="001834C2"/>
    <w:rsid w:val="00183759"/>
    <w:rsid w:val="0018383F"/>
    <w:rsid w:val="00183D80"/>
    <w:rsid w:val="001842C8"/>
    <w:rsid w:val="0018458B"/>
    <w:rsid w:val="00184CF8"/>
    <w:rsid w:val="00185044"/>
    <w:rsid w:val="001850DB"/>
    <w:rsid w:val="001853E3"/>
    <w:rsid w:val="001858B9"/>
    <w:rsid w:val="0018599C"/>
    <w:rsid w:val="00185C17"/>
    <w:rsid w:val="001860F9"/>
    <w:rsid w:val="001861F5"/>
    <w:rsid w:val="001862BA"/>
    <w:rsid w:val="001863F9"/>
    <w:rsid w:val="001869EE"/>
    <w:rsid w:val="00186A96"/>
    <w:rsid w:val="00186D00"/>
    <w:rsid w:val="0018743A"/>
    <w:rsid w:val="001874F2"/>
    <w:rsid w:val="001875A2"/>
    <w:rsid w:val="0018779D"/>
    <w:rsid w:val="00187AEF"/>
    <w:rsid w:val="00190277"/>
    <w:rsid w:val="001905FA"/>
    <w:rsid w:val="0019073C"/>
    <w:rsid w:val="00190750"/>
    <w:rsid w:val="0019096C"/>
    <w:rsid w:val="00190A31"/>
    <w:rsid w:val="00190A57"/>
    <w:rsid w:val="00190B3F"/>
    <w:rsid w:val="0019122C"/>
    <w:rsid w:val="0019147F"/>
    <w:rsid w:val="00191908"/>
    <w:rsid w:val="00191C0B"/>
    <w:rsid w:val="00191CD7"/>
    <w:rsid w:val="00191EDA"/>
    <w:rsid w:val="0019214C"/>
    <w:rsid w:val="00192359"/>
    <w:rsid w:val="001926A8"/>
    <w:rsid w:val="00192895"/>
    <w:rsid w:val="00192DF3"/>
    <w:rsid w:val="0019301F"/>
    <w:rsid w:val="00193229"/>
    <w:rsid w:val="00193286"/>
    <w:rsid w:val="001937B8"/>
    <w:rsid w:val="00193D59"/>
    <w:rsid w:val="001941E5"/>
    <w:rsid w:val="0019431C"/>
    <w:rsid w:val="00194432"/>
    <w:rsid w:val="00194559"/>
    <w:rsid w:val="0019458C"/>
    <w:rsid w:val="001946E0"/>
    <w:rsid w:val="00194873"/>
    <w:rsid w:val="00194BB7"/>
    <w:rsid w:val="00194CC5"/>
    <w:rsid w:val="001951B2"/>
    <w:rsid w:val="0019565D"/>
    <w:rsid w:val="0019570E"/>
    <w:rsid w:val="00195AC3"/>
    <w:rsid w:val="00195DD6"/>
    <w:rsid w:val="00196411"/>
    <w:rsid w:val="00196417"/>
    <w:rsid w:val="00196DA0"/>
    <w:rsid w:val="00196DD0"/>
    <w:rsid w:val="00196FCB"/>
    <w:rsid w:val="00197177"/>
    <w:rsid w:val="00197564"/>
    <w:rsid w:val="00197717"/>
    <w:rsid w:val="00197861"/>
    <w:rsid w:val="00197D0A"/>
    <w:rsid w:val="00197EC2"/>
    <w:rsid w:val="00197ECE"/>
    <w:rsid w:val="001A058C"/>
    <w:rsid w:val="001A0641"/>
    <w:rsid w:val="001A0DD8"/>
    <w:rsid w:val="001A1B68"/>
    <w:rsid w:val="001A1CED"/>
    <w:rsid w:val="001A1DFA"/>
    <w:rsid w:val="001A2069"/>
    <w:rsid w:val="001A21EF"/>
    <w:rsid w:val="001A279B"/>
    <w:rsid w:val="001A2DC3"/>
    <w:rsid w:val="001A2E87"/>
    <w:rsid w:val="001A2F9C"/>
    <w:rsid w:val="001A30BD"/>
    <w:rsid w:val="001A3869"/>
    <w:rsid w:val="001A38C2"/>
    <w:rsid w:val="001A3B57"/>
    <w:rsid w:val="001A42C1"/>
    <w:rsid w:val="001A447F"/>
    <w:rsid w:val="001A46B7"/>
    <w:rsid w:val="001A46EB"/>
    <w:rsid w:val="001A537D"/>
    <w:rsid w:val="001A5560"/>
    <w:rsid w:val="001A55C4"/>
    <w:rsid w:val="001A58E7"/>
    <w:rsid w:val="001A61C5"/>
    <w:rsid w:val="001A63B1"/>
    <w:rsid w:val="001A64EA"/>
    <w:rsid w:val="001A65C8"/>
    <w:rsid w:val="001A680D"/>
    <w:rsid w:val="001A6C8B"/>
    <w:rsid w:val="001A7252"/>
    <w:rsid w:val="001A732E"/>
    <w:rsid w:val="001A7AB3"/>
    <w:rsid w:val="001A7D28"/>
    <w:rsid w:val="001A7F30"/>
    <w:rsid w:val="001B016C"/>
    <w:rsid w:val="001B02D6"/>
    <w:rsid w:val="001B02E6"/>
    <w:rsid w:val="001B06E2"/>
    <w:rsid w:val="001B0780"/>
    <w:rsid w:val="001B0C9E"/>
    <w:rsid w:val="001B0DC3"/>
    <w:rsid w:val="001B0E89"/>
    <w:rsid w:val="001B0EBA"/>
    <w:rsid w:val="001B103A"/>
    <w:rsid w:val="001B103D"/>
    <w:rsid w:val="001B1513"/>
    <w:rsid w:val="001B1767"/>
    <w:rsid w:val="001B23D9"/>
    <w:rsid w:val="001B2453"/>
    <w:rsid w:val="001B24D3"/>
    <w:rsid w:val="001B25D7"/>
    <w:rsid w:val="001B26D4"/>
    <w:rsid w:val="001B2BFF"/>
    <w:rsid w:val="001B2E56"/>
    <w:rsid w:val="001B2F6A"/>
    <w:rsid w:val="001B2F75"/>
    <w:rsid w:val="001B3323"/>
    <w:rsid w:val="001B3AC9"/>
    <w:rsid w:val="001B3D10"/>
    <w:rsid w:val="001B3D27"/>
    <w:rsid w:val="001B3D48"/>
    <w:rsid w:val="001B3DD8"/>
    <w:rsid w:val="001B40B1"/>
    <w:rsid w:val="001B4459"/>
    <w:rsid w:val="001B483D"/>
    <w:rsid w:val="001B4F3B"/>
    <w:rsid w:val="001B519A"/>
    <w:rsid w:val="001B523D"/>
    <w:rsid w:val="001B52E0"/>
    <w:rsid w:val="001B532A"/>
    <w:rsid w:val="001B55BC"/>
    <w:rsid w:val="001B5724"/>
    <w:rsid w:val="001B5AF9"/>
    <w:rsid w:val="001B6142"/>
    <w:rsid w:val="001B6600"/>
    <w:rsid w:val="001B6760"/>
    <w:rsid w:val="001B695D"/>
    <w:rsid w:val="001B6A6C"/>
    <w:rsid w:val="001B6B9B"/>
    <w:rsid w:val="001B6C27"/>
    <w:rsid w:val="001B7144"/>
    <w:rsid w:val="001B7340"/>
    <w:rsid w:val="001B76FE"/>
    <w:rsid w:val="001B7741"/>
    <w:rsid w:val="001B7E91"/>
    <w:rsid w:val="001B7EF3"/>
    <w:rsid w:val="001B7F72"/>
    <w:rsid w:val="001C04F8"/>
    <w:rsid w:val="001C0B43"/>
    <w:rsid w:val="001C0E43"/>
    <w:rsid w:val="001C0ECE"/>
    <w:rsid w:val="001C1393"/>
    <w:rsid w:val="001C147E"/>
    <w:rsid w:val="001C151B"/>
    <w:rsid w:val="001C19E5"/>
    <w:rsid w:val="001C1F48"/>
    <w:rsid w:val="001C2164"/>
    <w:rsid w:val="001C232A"/>
    <w:rsid w:val="001C256B"/>
    <w:rsid w:val="001C27E6"/>
    <w:rsid w:val="001C2EC1"/>
    <w:rsid w:val="001C30D1"/>
    <w:rsid w:val="001C3800"/>
    <w:rsid w:val="001C382A"/>
    <w:rsid w:val="001C387C"/>
    <w:rsid w:val="001C38AA"/>
    <w:rsid w:val="001C3B83"/>
    <w:rsid w:val="001C3C7B"/>
    <w:rsid w:val="001C3D24"/>
    <w:rsid w:val="001C4296"/>
    <w:rsid w:val="001C452F"/>
    <w:rsid w:val="001C4DCB"/>
    <w:rsid w:val="001C516F"/>
    <w:rsid w:val="001C521E"/>
    <w:rsid w:val="001C54EB"/>
    <w:rsid w:val="001C58C0"/>
    <w:rsid w:val="001C60AD"/>
    <w:rsid w:val="001C6122"/>
    <w:rsid w:val="001C627E"/>
    <w:rsid w:val="001C6587"/>
    <w:rsid w:val="001C684D"/>
    <w:rsid w:val="001C69BE"/>
    <w:rsid w:val="001C6D90"/>
    <w:rsid w:val="001C6DB5"/>
    <w:rsid w:val="001C71AC"/>
    <w:rsid w:val="001C7215"/>
    <w:rsid w:val="001C7316"/>
    <w:rsid w:val="001C7329"/>
    <w:rsid w:val="001C7489"/>
    <w:rsid w:val="001C7B98"/>
    <w:rsid w:val="001C7E5C"/>
    <w:rsid w:val="001C7F96"/>
    <w:rsid w:val="001D00CC"/>
    <w:rsid w:val="001D02B8"/>
    <w:rsid w:val="001D0452"/>
    <w:rsid w:val="001D0494"/>
    <w:rsid w:val="001D07B7"/>
    <w:rsid w:val="001D169B"/>
    <w:rsid w:val="001D16C5"/>
    <w:rsid w:val="001D1719"/>
    <w:rsid w:val="001D171B"/>
    <w:rsid w:val="001D1732"/>
    <w:rsid w:val="001D1942"/>
    <w:rsid w:val="001D1BCF"/>
    <w:rsid w:val="001D1E2E"/>
    <w:rsid w:val="001D1F28"/>
    <w:rsid w:val="001D1F6D"/>
    <w:rsid w:val="001D2203"/>
    <w:rsid w:val="001D2427"/>
    <w:rsid w:val="001D24FC"/>
    <w:rsid w:val="001D255C"/>
    <w:rsid w:val="001D25A0"/>
    <w:rsid w:val="001D28AE"/>
    <w:rsid w:val="001D2D3F"/>
    <w:rsid w:val="001D2DEF"/>
    <w:rsid w:val="001D2E1C"/>
    <w:rsid w:val="001D30BB"/>
    <w:rsid w:val="001D3153"/>
    <w:rsid w:val="001D32DE"/>
    <w:rsid w:val="001D3B00"/>
    <w:rsid w:val="001D3B2D"/>
    <w:rsid w:val="001D40CB"/>
    <w:rsid w:val="001D488C"/>
    <w:rsid w:val="001D4CDF"/>
    <w:rsid w:val="001D4CE7"/>
    <w:rsid w:val="001D4F88"/>
    <w:rsid w:val="001D55D4"/>
    <w:rsid w:val="001D56AC"/>
    <w:rsid w:val="001D578D"/>
    <w:rsid w:val="001D57B8"/>
    <w:rsid w:val="001D5818"/>
    <w:rsid w:val="001D5B28"/>
    <w:rsid w:val="001D5C1E"/>
    <w:rsid w:val="001D5C75"/>
    <w:rsid w:val="001D5F79"/>
    <w:rsid w:val="001D6125"/>
    <w:rsid w:val="001D64A8"/>
    <w:rsid w:val="001D653A"/>
    <w:rsid w:val="001D69BE"/>
    <w:rsid w:val="001D6AC5"/>
    <w:rsid w:val="001D6CCB"/>
    <w:rsid w:val="001D7144"/>
    <w:rsid w:val="001D7240"/>
    <w:rsid w:val="001D7443"/>
    <w:rsid w:val="001D75DC"/>
    <w:rsid w:val="001D7BF9"/>
    <w:rsid w:val="001D7DEE"/>
    <w:rsid w:val="001D7FFE"/>
    <w:rsid w:val="001E02CB"/>
    <w:rsid w:val="001E04C5"/>
    <w:rsid w:val="001E0836"/>
    <w:rsid w:val="001E09CE"/>
    <w:rsid w:val="001E0D16"/>
    <w:rsid w:val="001E109B"/>
    <w:rsid w:val="001E11F2"/>
    <w:rsid w:val="001E14BC"/>
    <w:rsid w:val="001E14FD"/>
    <w:rsid w:val="001E180F"/>
    <w:rsid w:val="001E1957"/>
    <w:rsid w:val="001E1A23"/>
    <w:rsid w:val="001E1C64"/>
    <w:rsid w:val="001E1CA5"/>
    <w:rsid w:val="001E1CEC"/>
    <w:rsid w:val="001E1E09"/>
    <w:rsid w:val="001E23E9"/>
    <w:rsid w:val="001E27B4"/>
    <w:rsid w:val="001E2AB9"/>
    <w:rsid w:val="001E2ECB"/>
    <w:rsid w:val="001E34FE"/>
    <w:rsid w:val="001E3A2C"/>
    <w:rsid w:val="001E3FA8"/>
    <w:rsid w:val="001E414E"/>
    <w:rsid w:val="001E436E"/>
    <w:rsid w:val="001E4B64"/>
    <w:rsid w:val="001E4D00"/>
    <w:rsid w:val="001E4D2A"/>
    <w:rsid w:val="001E552A"/>
    <w:rsid w:val="001E57B9"/>
    <w:rsid w:val="001E5AA1"/>
    <w:rsid w:val="001E5BEB"/>
    <w:rsid w:val="001E5C59"/>
    <w:rsid w:val="001E5C7A"/>
    <w:rsid w:val="001E5D3B"/>
    <w:rsid w:val="001E5E9D"/>
    <w:rsid w:val="001E5F83"/>
    <w:rsid w:val="001E60BC"/>
    <w:rsid w:val="001E6D82"/>
    <w:rsid w:val="001E6E8D"/>
    <w:rsid w:val="001E70F3"/>
    <w:rsid w:val="001E7112"/>
    <w:rsid w:val="001E72DC"/>
    <w:rsid w:val="001E7433"/>
    <w:rsid w:val="001E78AD"/>
    <w:rsid w:val="001E78DF"/>
    <w:rsid w:val="001E79B9"/>
    <w:rsid w:val="001E79D4"/>
    <w:rsid w:val="001E7DF8"/>
    <w:rsid w:val="001E7EE4"/>
    <w:rsid w:val="001E7F76"/>
    <w:rsid w:val="001F00C4"/>
    <w:rsid w:val="001F0258"/>
    <w:rsid w:val="001F0299"/>
    <w:rsid w:val="001F04BB"/>
    <w:rsid w:val="001F057F"/>
    <w:rsid w:val="001F0635"/>
    <w:rsid w:val="001F0693"/>
    <w:rsid w:val="001F0C90"/>
    <w:rsid w:val="001F0D41"/>
    <w:rsid w:val="001F0D46"/>
    <w:rsid w:val="001F0EB9"/>
    <w:rsid w:val="001F0EE4"/>
    <w:rsid w:val="001F0FAF"/>
    <w:rsid w:val="001F139F"/>
    <w:rsid w:val="001F1EAD"/>
    <w:rsid w:val="001F20F0"/>
    <w:rsid w:val="001F227E"/>
    <w:rsid w:val="001F22C1"/>
    <w:rsid w:val="001F2300"/>
    <w:rsid w:val="001F2678"/>
    <w:rsid w:val="001F2805"/>
    <w:rsid w:val="001F285F"/>
    <w:rsid w:val="001F28E8"/>
    <w:rsid w:val="001F29AE"/>
    <w:rsid w:val="001F2DBF"/>
    <w:rsid w:val="001F2E79"/>
    <w:rsid w:val="001F2F07"/>
    <w:rsid w:val="001F3123"/>
    <w:rsid w:val="001F34A8"/>
    <w:rsid w:val="001F3719"/>
    <w:rsid w:val="001F376D"/>
    <w:rsid w:val="001F3AAA"/>
    <w:rsid w:val="001F40AC"/>
    <w:rsid w:val="001F418C"/>
    <w:rsid w:val="001F45D6"/>
    <w:rsid w:val="001F47DD"/>
    <w:rsid w:val="001F48C0"/>
    <w:rsid w:val="001F49FA"/>
    <w:rsid w:val="001F4B2D"/>
    <w:rsid w:val="001F4F40"/>
    <w:rsid w:val="001F4F45"/>
    <w:rsid w:val="001F50E0"/>
    <w:rsid w:val="001F52AA"/>
    <w:rsid w:val="001F530D"/>
    <w:rsid w:val="001F5368"/>
    <w:rsid w:val="001F594C"/>
    <w:rsid w:val="001F60A7"/>
    <w:rsid w:val="001F620F"/>
    <w:rsid w:val="001F66F0"/>
    <w:rsid w:val="001F6918"/>
    <w:rsid w:val="001F69FC"/>
    <w:rsid w:val="001F6D62"/>
    <w:rsid w:val="001F6E0E"/>
    <w:rsid w:val="001F6EEA"/>
    <w:rsid w:val="001F71DA"/>
    <w:rsid w:val="001F71F1"/>
    <w:rsid w:val="001F7429"/>
    <w:rsid w:val="001F7498"/>
    <w:rsid w:val="001F7655"/>
    <w:rsid w:val="001F7675"/>
    <w:rsid w:val="001F7792"/>
    <w:rsid w:val="001F7D25"/>
    <w:rsid w:val="002001DF"/>
    <w:rsid w:val="00200330"/>
    <w:rsid w:val="0020078E"/>
    <w:rsid w:val="00200934"/>
    <w:rsid w:val="00200FAE"/>
    <w:rsid w:val="0020102D"/>
    <w:rsid w:val="002010E2"/>
    <w:rsid w:val="0020163E"/>
    <w:rsid w:val="002017C7"/>
    <w:rsid w:val="0020183D"/>
    <w:rsid w:val="00201B73"/>
    <w:rsid w:val="002021B3"/>
    <w:rsid w:val="002024BC"/>
    <w:rsid w:val="00202517"/>
    <w:rsid w:val="00202ADB"/>
    <w:rsid w:val="00202BB7"/>
    <w:rsid w:val="00202BE2"/>
    <w:rsid w:val="0020354D"/>
    <w:rsid w:val="00204142"/>
    <w:rsid w:val="00204175"/>
    <w:rsid w:val="0020435B"/>
    <w:rsid w:val="002044DE"/>
    <w:rsid w:val="00204529"/>
    <w:rsid w:val="00204533"/>
    <w:rsid w:val="0020462D"/>
    <w:rsid w:val="002046F8"/>
    <w:rsid w:val="00204F2D"/>
    <w:rsid w:val="00204F55"/>
    <w:rsid w:val="0020504D"/>
    <w:rsid w:val="00205566"/>
    <w:rsid w:val="00205B64"/>
    <w:rsid w:val="00205C63"/>
    <w:rsid w:val="00205F06"/>
    <w:rsid w:val="002060B0"/>
    <w:rsid w:val="002063AA"/>
    <w:rsid w:val="00206456"/>
    <w:rsid w:val="002065AE"/>
    <w:rsid w:val="002066D0"/>
    <w:rsid w:val="00206ABE"/>
    <w:rsid w:val="00206B00"/>
    <w:rsid w:val="00206D29"/>
    <w:rsid w:val="002075D3"/>
    <w:rsid w:val="00210478"/>
    <w:rsid w:val="00210549"/>
    <w:rsid w:val="0021069E"/>
    <w:rsid w:val="00210792"/>
    <w:rsid w:val="00210804"/>
    <w:rsid w:val="00210817"/>
    <w:rsid w:val="0021088F"/>
    <w:rsid w:val="002108E8"/>
    <w:rsid w:val="002112EB"/>
    <w:rsid w:val="002113FE"/>
    <w:rsid w:val="002114CB"/>
    <w:rsid w:val="00211737"/>
    <w:rsid w:val="0021181B"/>
    <w:rsid w:val="00211A1F"/>
    <w:rsid w:val="00211BF0"/>
    <w:rsid w:val="00211CE9"/>
    <w:rsid w:val="00211F75"/>
    <w:rsid w:val="002122B4"/>
    <w:rsid w:val="0021230F"/>
    <w:rsid w:val="0021251F"/>
    <w:rsid w:val="002125B0"/>
    <w:rsid w:val="002125F6"/>
    <w:rsid w:val="002127AD"/>
    <w:rsid w:val="00212A7F"/>
    <w:rsid w:val="00212A82"/>
    <w:rsid w:val="00212C5A"/>
    <w:rsid w:val="002131FC"/>
    <w:rsid w:val="0021337C"/>
    <w:rsid w:val="002133BE"/>
    <w:rsid w:val="00213556"/>
    <w:rsid w:val="00213891"/>
    <w:rsid w:val="00213E65"/>
    <w:rsid w:val="00214479"/>
    <w:rsid w:val="00214915"/>
    <w:rsid w:val="002149B7"/>
    <w:rsid w:val="00214A0C"/>
    <w:rsid w:val="00214ABF"/>
    <w:rsid w:val="00214D8C"/>
    <w:rsid w:val="00214E8E"/>
    <w:rsid w:val="00214EA2"/>
    <w:rsid w:val="00214FC0"/>
    <w:rsid w:val="00215904"/>
    <w:rsid w:val="00215AC0"/>
    <w:rsid w:val="00215CC7"/>
    <w:rsid w:val="00215F58"/>
    <w:rsid w:val="00216002"/>
    <w:rsid w:val="002160FA"/>
    <w:rsid w:val="00216619"/>
    <w:rsid w:val="002166DD"/>
    <w:rsid w:val="002168A2"/>
    <w:rsid w:val="00216C38"/>
    <w:rsid w:val="00216CF9"/>
    <w:rsid w:val="00216EE6"/>
    <w:rsid w:val="00216EF5"/>
    <w:rsid w:val="00216FC8"/>
    <w:rsid w:val="00217126"/>
    <w:rsid w:val="00217867"/>
    <w:rsid w:val="002179F5"/>
    <w:rsid w:val="00220436"/>
    <w:rsid w:val="002205E4"/>
    <w:rsid w:val="00220D67"/>
    <w:rsid w:val="00221243"/>
    <w:rsid w:val="002212A2"/>
    <w:rsid w:val="00221403"/>
    <w:rsid w:val="002215F8"/>
    <w:rsid w:val="00221E64"/>
    <w:rsid w:val="00221F80"/>
    <w:rsid w:val="002223CD"/>
    <w:rsid w:val="002223E7"/>
    <w:rsid w:val="002223F8"/>
    <w:rsid w:val="0022255B"/>
    <w:rsid w:val="0022273A"/>
    <w:rsid w:val="00222D28"/>
    <w:rsid w:val="00223002"/>
    <w:rsid w:val="002233A7"/>
    <w:rsid w:val="002233D5"/>
    <w:rsid w:val="002238AA"/>
    <w:rsid w:val="00223ADD"/>
    <w:rsid w:val="00223ADE"/>
    <w:rsid w:val="00223BA7"/>
    <w:rsid w:val="00223C5D"/>
    <w:rsid w:val="00223CF4"/>
    <w:rsid w:val="0022412C"/>
    <w:rsid w:val="00224217"/>
    <w:rsid w:val="00224220"/>
    <w:rsid w:val="00224398"/>
    <w:rsid w:val="002243AA"/>
    <w:rsid w:val="0022453E"/>
    <w:rsid w:val="00224A69"/>
    <w:rsid w:val="00224A81"/>
    <w:rsid w:val="00224B0E"/>
    <w:rsid w:val="00224BF2"/>
    <w:rsid w:val="00224E67"/>
    <w:rsid w:val="00224E91"/>
    <w:rsid w:val="00225056"/>
    <w:rsid w:val="002253BD"/>
    <w:rsid w:val="002255F6"/>
    <w:rsid w:val="00225B4C"/>
    <w:rsid w:val="00225B82"/>
    <w:rsid w:val="00225D12"/>
    <w:rsid w:val="00225E1E"/>
    <w:rsid w:val="00225F30"/>
    <w:rsid w:val="00225F4B"/>
    <w:rsid w:val="0022605D"/>
    <w:rsid w:val="002260C8"/>
    <w:rsid w:val="00226129"/>
    <w:rsid w:val="0022614D"/>
    <w:rsid w:val="002267D9"/>
    <w:rsid w:val="00226AA2"/>
    <w:rsid w:val="00226CFA"/>
    <w:rsid w:val="00226FEE"/>
    <w:rsid w:val="00227218"/>
    <w:rsid w:val="00227266"/>
    <w:rsid w:val="002273DA"/>
    <w:rsid w:val="00227581"/>
    <w:rsid w:val="00227678"/>
    <w:rsid w:val="002276D9"/>
    <w:rsid w:val="0022770A"/>
    <w:rsid w:val="0022789A"/>
    <w:rsid w:val="002278C2"/>
    <w:rsid w:val="00227BB3"/>
    <w:rsid w:val="00227BEE"/>
    <w:rsid w:val="00227E06"/>
    <w:rsid w:val="00227E49"/>
    <w:rsid w:val="00227F38"/>
    <w:rsid w:val="00227FB4"/>
    <w:rsid w:val="00230404"/>
    <w:rsid w:val="0023057E"/>
    <w:rsid w:val="00230AFF"/>
    <w:rsid w:val="00230C45"/>
    <w:rsid w:val="00230E0E"/>
    <w:rsid w:val="00230F2E"/>
    <w:rsid w:val="002312BC"/>
    <w:rsid w:val="00231A1A"/>
    <w:rsid w:val="00231BF0"/>
    <w:rsid w:val="00231D33"/>
    <w:rsid w:val="00231EA2"/>
    <w:rsid w:val="002322AC"/>
    <w:rsid w:val="00232796"/>
    <w:rsid w:val="00232A8F"/>
    <w:rsid w:val="00232AEA"/>
    <w:rsid w:val="00232B1D"/>
    <w:rsid w:val="00232EB9"/>
    <w:rsid w:val="0023317C"/>
    <w:rsid w:val="002332AC"/>
    <w:rsid w:val="00233534"/>
    <w:rsid w:val="002337E5"/>
    <w:rsid w:val="00233C06"/>
    <w:rsid w:val="00233F24"/>
    <w:rsid w:val="002340FB"/>
    <w:rsid w:val="002342D4"/>
    <w:rsid w:val="002346A2"/>
    <w:rsid w:val="0023484B"/>
    <w:rsid w:val="00234853"/>
    <w:rsid w:val="002348B0"/>
    <w:rsid w:val="002349B3"/>
    <w:rsid w:val="00234BBB"/>
    <w:rsid w:val="00235016"/>
    <w:rsid w:val="0023541B"/>
    <w:rsid w:val="002356F4"/>
    <w:rsid w:val="002359D5"/>
    <w:rsid w:val="00235CC6"/>
    <w:rsid w:val="00235F02"/>
    <w:rsid w:val="002360D1"/>
    <w:rsid w:val="002363C6"/>
    <w:rsid w:val="002364D0"/>
    <w:rsid w:val="002365B0"/>
    <w:rsid w:val="0023664E"/>
    <w:rsid w:val="0023670C"/>
    <w:rsid w:val="00236987"/>
    <w:rsid w:val="00236A43"/>
    <w:rsid w:val="00236D28"/>
    <w:rsid w:val="00236D6E"/>
    <w:rsid w:val="002370C6"/>
    <w:rsid w:val="002370D2"/>
    <w:rsid w:val="00237500"/>
    <w:rsid w:val="00237BE7"/>
    <w:rsid w:val="00237CE1"/>
    <w:rsid w:val="00237FE4"/>
    <w:rsid w:val="00240030"/>
    <w:rsid w:val="0024016D"/>
    <w:rsid w:val="0024054B"/>
    <w:rsid w:val="00240656"/>
    <w:rsid w:val="00240823"/>
    <w:rsid w:val="00240C36"/>
    <w:rsid w:val="00241422"/>
    <w:rsid w:val="00241610"/>
    <w:rsid w:val="002418C6"/>
    <w:rsid w:val="00241902"/>
    <w:rsid w:val="002419A9"/>
    <w:rsid w:val="00241AED"/>
    <w:rsid w:val="00242060"/>
    <w:rsid w:val="002421E3"/>
    <w:rsid w:val="002425F3"/>
    <w:rsid w:val="00242684"/>
    <w:rsid w:val="002429D3"/>
    <w:rsid w:val="00242FCE"/>
    <w:rsid w:val="0024304D"/>
    <w:rsid w:val="002430A6"/>
    <w:rsid w:val="002430AE"/>
    <w:rsid w:val="00243182"/>
    <w:rsid w:val="0024356E"/>
    <w:rsid w:val="002438B1"/>
    <w:rsid w:val="00243928"/>
    <w:rsid w:val="00243932"/>
    <w:rsid w:val="00243946"/>
    <w:rsid w:val="00243974"/>
    <w:rsid w:val="00243BC5"/>
    <w:rsid w:val="00243C7D"/>
    <w:rsid w:val="00243D19"/>
    <w:rsid w:val="00243DCB"/>
    <w:rsid w:val="00243E9A"/>
    <w:rsid w:val="002441EF"/>
    <w:rsid w:val="002442D3"/>
    <w:rsid w:val="00244371"/>
    <w:rsid w:val="002443CC"/>
    <w:rsid w:val="002449BC"/>
    <w:rsid w:val="00244AF8"/>
    <w:rsid w:val="00244BC5"/>
    <w:rsid w:val="00244E68"/>
    <w:rsid w:val="00244F5A"/>
    <w:rsid w:val="00245177"/>
    <w:rsid w:val="002456C5"/>
    <w:rsid w:val="00245ABE"/>
    <w:rsid w:val="00245C0B"/>
    <w:rsid w:val="00245D04"/>
    <w:rsid w:val="0024613D"/>
    <w:rsid w:val="0024634E"/>
    <w:rsid w:val="00246424"/>
    <w:rsid w:val="002466BB"/>
    <w:rsid w:val="002467B4"/>
    <w:rsid w:val="00246A0C"/>
    <w:rsid w:val="00246EAE"/>
    <w:rsid w:val="00247116"/>
    <w:rsid w:val="002471E5"/>
    <w:rsid w:val="0024736A"/>
    <w:rsid w:val="00247623"/>
    <w:rsid w:val="00247C13"/>
    <w:rsid w:val="00247F03"/>
    <w:rsid w:val="00247F3C"/>
    <w:rsid w:val="00250382"/>
    <w:rsid w:val="002506A5"/>
    <w:rsid w:val="002508BD"/>
    <w:rsid w:val="002509AD"/>
    <w:rsid w:val="00250A3E"/>
    <w:rsid w:val="00250C5B"/>
    <w:rsid w:val="0025114E"/>
    <w:rsid w:val="002517A8"/>
    <w:rsid w:val="00251D10"/>
    <w:rsid w:val="00251EE6"/>
    <w:rsid w:val="00251EEE"/>
    <w:rsid w:val="00251F01"/>
    <w:rsid w:val="002523BC"/>
    <w:rsid w:val="00252551"/>
    <w:rsid w:val="0025282E"/>
    <w:rsid w:val="00252860"/>
    <w:rsid w:val="00252C6D"/>
    <w:rsid w:val="00252FF1"/>
    <w:rsid w:val="00253177"/>
    <w:rsid w:val="002538B8"/>
    <w:rsid w:val="0025396F"/>
    <w:rsid w:val="00253B33"/>
    <w:rsid w:val="002540E9"/>
    <w:rsid w:val="00254319"/>
    <w:rsid w:val="002551F0"/>
    <w:rsid w:val="0025522C"/>
    <w:rsid w:val="00255280"/>
    <w:rsid w:val="002552F0"/>
    <w:rsid w:val="0025539F"/>
    <w:rsid w:val="002556C3"/>
    <w:rsid w:val="00255C2D"/>
    <w:rsid w:val="00256388"/>
    <w:rsid w:val="00256430"/>
    <w:rsid w:val="00256629"/>
    <w:rsid w:val="002566F4"/>
    <w:rsid w:val="00256E0D"/>
    <w:rsid w:val="00256E44"/>
    <w:rsid w:val="00257BF5"/>
    <w:rsid w:val="00257F9E"/>
    <w:rsid w:val="00260425"/>
    <w:rsid w:val="0026063D"/>
    <w:rsid w:val="00260919"/>
    <w:rsid w:val="002612FD"/>
    <w:rsid w:val="00261360"/>
    <w:rsid w:val="002613DC"/>
    <w:rsid w:val="00261755"/>
    <w:rsid w:val="00261AAA"/>
    <w:rsid w:val="00262097"/>
    <w:rsid w:val="002620F5"/>
    <w:rsid w:val="0026233D"/>
    <w:rsid w:val="002623BB"/>
    <w:rsid w:val="00262470"/>
    <w:rsid w:val="00262B21"/>
    <w:rsid w:val="00262D20"/>
    <w:rsid w:val="002634AB"/>
    <w:rsid w:val="002637F1"/>
    <w:rsid w:val="002638E0"/>
    <w:rsid w:val="00263913"/>
    <w:rsid w:val="00263C19"/>
    <w:rsid w:val="00263E9F"/>
    <w:rsid w:val="00264414"/>
    <w:rsid w:val="00264532"/>
    <w:rsid w:val="00264593"/>
    <w:rsid w:val="00264BF0"/>
    <w:rsid w:val="00264BF1"/>
    <w:rsid w:val="00264C5D"/>
    <w:rsid w:val="00264F03"/>
    <w:rsid w:val="00264F8F"/>
    <w:rsid w:val="002650CC"/>
    <w:rsid w:val="002654B1"/>
    <w:rsid w:val="002655AE"/>
    <w:rsid w:val="0026591F"/>
    <w:rsid w:val="00265A65"/>
    <w:rsid w:val="00265CC7"/>
    <w:rsid w:val="00266027"/>
    <w:rsid w:val="00266064"/>
    <w:rsid w:val="0026609E"/>
    <w:rsid w:val="002660F0"/>
    <w:rsid w:val="002665D8"/>
    <w:rsid w:val="002672B3"/>
    <w:rsid w:val="00267503"/>
    <w:rsid w:val="002675B6"/>
    <w:rsid w:val="0026798E"/>
    <w:rsid w:val="00267A99"/>
    <w:rsid w:val="002701F6"/>
    <w:rsid w:val="00270271"/>
    <w:rsid w:val="002706FD"/>
    <w:rsid w:val="002708B1"/>
    <w:rsid w:val="002711F7"/>
    <w:rsid w:val="002711FA"/>
    <w:rsid w:val="00272174"/>
    <w:rsid w:val="002721A6"/>
    <w:rsid w:val="002722E0"/>
    <w:rsid w:val="002727AF"/>
    <w:rsid w:val="002730A5"/>
    <w:rsid w:val="002730EC"/>
    <w:rsid w:val="00273100"/>
    <w:rsid w:val="00273420"/>
    <w:rsid w:val="002735CC"/>
    <w:rsid w:val="00273A41"/>
    <w:rsid w:val="00273C36"/>
    <w:rsid w:val="00274263"/>
    <w:rsid w:val="00274588"/>
    <w:rsid w:val="002745CE"/>
    <w:rsid w:val="00274662"/>
    <w:rsid w:val="00274A67"/>
    <w:rsid w:val="00274AA2"/>
    <w:rsid w:val="0027504D"/>
    <w:rsid w:val="00275276"/>
    <w:rsid w:val="002756EF"/>
    <w:rsid w:val="00275708"/>
    <w:rsid w:val="0027572B"/>
    <w:rsid w:val="0027587F"/>
    <w:rsid w:val="00275C0B"/>
    <w:rsid w:val="00275C2B"/>
    <w:rsid w:val="00275C36"/>
    <w:rsid w:val="00275DB5"/>
    <w:rsid w:val="0027625E"/>
    <w:rsid w:val="00276541"/>
    <w:rsid w:val="002766BB"/>
    <w:rsid w:val="002768CF"/>
    <w:rsid w:val="00276A3D"/>
    <w:rsid w:val="00276C3D"/>
    <w:rsid w:val="00276C78"/>
    <w:rsid w:val="00276F82"/>
    <w:rsid w:val="002773A2"/>
    <w:rsid w:val="00277547"/>
    <w:rsid w:val="00277DB3"/>
    <w:rsid w:val="00277E38"/>
    <w:rsid w:val="0028016A"/>
    <w:rsid w:val="002805DF"/>
    <w:rsid w:val="0028092D"/>
    <w:rsid w:val="0028097E"/>
    <w:rsid w:val="002815D9"/>
    <w:rsid w:val="002815DC"/>
    <w:rsid w:val="002819F3"/>
    <w:rsid w:val="00281DA1"/>
    <w:rsid w:val="00281FDC"/>
    <w:rsid w:val="00282317"/>
    <w:rsid w:val="002827E0"/>
    <w:rsid w:val="002829F1"/>
    <w:rsid w:val="00282A18"/>
    <w:rsid w:val="00282D25"/>
    <w:rsid w:val="00282DF9"/>
    <w:rsid w:val="00282EEA"/>
    <w:rsid w:val="002836A6"/>
    <w:rsid w:val="00283A44"/>
    <w:rsid w:val="00284287"/>
    <w:rsid w:val="00284672"/>
    <w:rsid w:val="002847B1"/>
    <w:rsid w:val="00284B2C"/>
    <w:rsid w:val="0028529F"/>
    <w:rsid w:val="002853A1"/>
    <w:rsid w:val="002854C9"/>
    <w:rsid w:val="00285687"/>
    <w:rsid w:val="00285850"/>
    <w:rsid w:val="00285927"/>
    <w:rsid w:val="00285B82"/>
    <w:rsid w:val="00285F18"/>
    <w:rsid w:val="00285F8A"/>
    <w:rsid w:val="0028635F"/>
    <w:rsid w:val="00286CA8"/>
    <w:rsid w:val="00286DA6"/>
    <w:rsid w:val="0028727B"/>
    <w:rsid w:val="00287649"/>
    <w:rsid w:val="00287D01"/>
    <w:rsid w:val="00287DAB"/>
    <w:rsid w:val="00287F8E"/>
    <w:rsid w:val="00287FB6"/>
    <w:rsid w:val="00287FD5"/>
    <w:rsid w:val="002900C5"/>
    <w:rsid w:val="00290110"/>
    <w:rsid w:val="002901E0"/>
    <w:rsid w:val="002903FA"/>
    <w:rsid w:val="00290453"/>
    <w:rsid w:val="0029075B"/>
    <w:rsid w:val="00290BB1"/>
    <w:rsid w:val="00290CDB"/>
    <w:rsid w:val="00290E90"/>
    <w:rsid w:val="00290EB1"/>
    <w:rsid w:val="002911C3"/>
    <w:rsid w:val="0029124D"/>
    <w:rsid w:val="00291A4F"/>
    <w:rsid w:val="00291BC1"/>
    <w:rsid w:val="00291F4B"/>
    <w:rsid w:val="0029239E"/>
    <w:rsid w:val="00292C78"/>
    <w:rsid w:val="002933CA"/>
    <w:rsid w:val="002935A6"/>
    <w:rsid w:val="00293857"/>
    <w:rsid w:val="00293A8F"/>
    <w:rsid w:val="00293D7E"/>
    <w:rsid w:val="00294275"/>
    <w:rsid w:val="00294366"/>
    <w:rsid w:val="00294707"/>
    <w:rsid w:val="00294A71"/>
    <w:rsid w:val="00294D8F"/>
    <w:rsid w:val="00295155"/>
    <w:rsid w:val="002952C2"/>
    <w:rsid w:val="0029537E"/>
    <w:rsid w:val="00295497"/>
    <w:rsid w:val="00295822"/>
    <w:rsid w:val="00295C9B"/>
    <w:rsid w:val="00295D51"/>
    <w:rsid w:val="00295E13"/>
    <w:rsid w:val="00295F2B"/>
    <w:rsid w:val="00296102"/>
    <w:rsid w:val="00296203"/>
    <w:rsid w:val="002963A4"/>
    <w:rsid w:val="00296428"/>
    <w:rsid w:val="0029643D"/>
    <w:rsid w:val="00296460"/>
    <w:rsid w:val="002967E7"/>
    <w:rsid w:val="00296928"/>
    <w:rsid w:val="0029702A"/>
    <w:rsid w:val="0029706A"/>
    <w:rsid w:val="002970C4"/>
    <w:rsid w:val="002970F9"/>
    <w:rsid w:val="002972EE"/>
    <w:rsid w:val="00297300"/>
    <w:rsid w:val="002974F2"/>
    <w:rsid w:val="002978A2"/>
    <w:rsid w:val="00297BFA"/>
    <w:rsid w:val="00297C8D"/>
    <w:rsid w:val="00297F01"/>
    <w:rsid w:val="00297F0B"/>
    <w:rsid w:val="002A0271"/>
    <w:rsid w:val="002A052D"/>
    <w:rsid w:val="002A07AC"/>
    <w:rsid w:val="002A0B7C"/>
    <w:rsid w:val="002A0BE6"/>
    <w:rsid w:val="002A0CBB"/>
    <w:rsid w:val="002A0DF8"/>
    <w:rsid w:val="002A1928"/>
    <w:rsid w:val="002A1C0A"/>
    <w:rsid w:val="002A1CA4"/>
    <w:rsid w:val="002A1ED2"/>
    <w:rsid w:val="002A1F1F"/>
    <w:rsid w:val="002A2120"/>
    <w:rsid w:val="002A2173"/>
    <w:rsid w:val="002A21B5"/>
    <w:rsid w:val="002A231F"/>
    <w:rsid w:val="002A2631"/>
    <w:rsid w:val="002A2A0C"/>
    <w:rsid w:val="002A2A49"/>
    <w:rsid w:val="002A2BB6"/>
    <w:rsid w:val="002A30D8"/>
    <w:rsid w:val="002A30E0"/>
    <w:rsid w:val="002A310C"/>
    <w:rsid w:val="002A3521"/>
    <w:rsid w:val="002A35C5"/>
    <w:rsid w:val="002A37E1"/>
    <w:rsid w:val="002A3B61"/>
    <w:rsid w:val="002A3BFC"/>
    <w:rsid w:val="002A3C4A"/>
    <w:rsid w:val="002A3C6D"/>
    <w:rsid w:val="002A402A"/>
    <w:rsid w:val="002A4099"/>
    <w:rsid w:val="002A45AA"/>
    <w:rsid w:val="002A45BB"/>
    <w:rsid w:val="002A49AC"/>
    <w:rsid w:val="002A4B0B"/>
    <w:rsid w:val="002A4B6F"/>
    <w:rsid w:val="002A4FFF"/>
    <w:rsid w:val="002A516D"/>
    <w:rsid w:val="002A533C"/>
    <w:rsid w:val="002A535B"/>
    <w:rsid w:val="002A545D"/>
    <w:rsid w:val="002A566F"/>
    <w:rsid w:val="002A56E1"/>
    <w:rsid w:val="002A59BD"/>
    <w:rsid w:val="002A5AA6"/>
    <w:rsid w:val="002A5C6C"/>
    <w:rsid w:val="002A6312"/>
    <w:rsid w:val="002A63B5"/>
    <w:rsid w:val="002A646E"/>
    <w:rsid w:val="002A64AB"/>
    <w:rsid w:val="002A6A39"/>
    <w:rsid w:val="002A6F2D"/>
    <w:rsid w:val="002A70F4"/>
    <w:rsid w:val="002A7156"/>
    <w:rsid w:val="002A753B"/>
    <w:rsid w:val="002A75CA"/>
    <w:rsid w:val="002A75D1"/>
    <w:rsid w:val="002A7637"/>
    <w:rsid w:val="002A7889"/>
    <w:rsid w:val="002A799A"/>
    <w:rsid w:val="002A7D83"/>
    <w:rsid w:val="002A7F6F"/>
    <w:rsid w:val="002B02D7"/>
    <w:rsid w:val="002B03BE"/>
    <w:rsid w:val="002B045B"/>
    <w:rsid w:val="002B097D"/>
    <w:rsid w:val="002B0AE1"/>
    <w:rsid w:val="002B0B3D"/>
    <w:rsid w:val="002B0BC7"/>
    <w:rsid w:val="002B0DBB"/>
    <w:rsid w:val="002B0F74"/>
    <w:rsid w:val="002B0F8F"/>
    <w:rsid w:val="002B11B2"/>
    <w:rsid w:val="002B14DA"/>
    <w:rsid w:val="002B14DF"/>
    <w:rsid w:val="002B172B"/>
    <w:rsid w:val="002B18F7"/>
    <w:rsid w:val="002B1C4A"/>
    <w:rsid w:val="002B20DB"/>
    <w:rsid w:val="002B226F"/>
    <w:rsid w:val="002B23B4"/>
    <w:rsid w:val="002B26A3"/>
    <w:rsid w:val="002B28B2"/>
    <w:rsid w:val="002B2B1D"/>
    <w:rsid w:val="002B330B"/>
    <w:rsid w:val="002B3663"/>
    <w:rsid w:val="002B381B"/>
    <w:rsid w:val="002B38BD"/>
    <w:rsid w:val="002B38DB"/>
    <w:rsid w:val="002B3931"/>
    <w:rsid w:val="002B3AA4"/>
    <w:rsid w:val="002B3ED7"/>
    <w:rsid w:val="002B4778"/>
    <w:rsid w:val="002B4B74"/>
    <w:rsid w:val="002B4BCF"/>
    <w:rsid w:val="002B4C0B"/>
    <w:rsid w:val="002B4D17"/>
    <w:rsid w:val="002B5053"/>
    <w:rsid w:val="002B5221"/>
    <w:rsid w:val="002B5232"/>
    <w:rsid w:val="002B5711"/>
    <w:rsid w:val="002B5FB7"/>
    <w:rsid w:val="002B6043"/>
    <w:rsid w:val="002B66DB"/>
    <w:rsid w:val="002B6EEA"/>
    <w:rsid w:val="002B7091"/>
    <w:rsid w:val="002B709B"/>
    <w:rsid w:val="002B7506"/>
    <w:rsid w:val="002B7586"/>
    <w:rsid w:val="002B75B2"/>
    <w:rsid w:val="002B79B7"/>
    <w:rsid w:val="002B7AEA"/>
    <w:rsid w:val="002B7EC8"/>
    <w:rsid w:val="002C01D3"/>
    <w:rsid w:val="002C07FB"/>
    <w:rsid w:val="002C0B42"/>
    <w:rsid w:val="002C0BB6"/>
    <w:rsid w:val="002C0BD1"/>
    <w:rsid w:val="002C0D69"/>
    <w:rsid w:val="002C0F9D"/>
    <w:rsid w:val="002C0FE1"/>
    <w:rsid w:val="002C10D1"/>
    <w:rsid w:val="002C11F2"/>
    <w:rsid w:val="002C133D"/>
    <w:rsid w:val="002C137E"/>
    <w:rsid w:val="002C13BC"/>
    <w:rsid w:val="002C141D"/>
    <w:rsid w:val="002C19C0"/>
    <w:rsid w:val="002C1A78"/>
    <w:rsid w:val="002C1FD5"/>
    <w:rsid w:val="002C2485"/>
    <w:rsid w:val="002C25E0"/>
    <w:rsid w:val="002C277A"/>
    <w:rsid w:val="002C28D2"/>
    <w:rsid w:val="002C2A2D"/>
    <w:rsid w:val="002C2B0C"/>
    <w:rsid w:val="002C2B93"/>
    <w:rsid w:val="002C2C2D"/>
    <w:rsid w:val="002C36C0"/>
    <w:rsid w:val="002C384F"/>
    <w:rsid w:val="002C3928"/>
    <w:rsid w:val="002C3B33"/>
    <w:rsid w:val="002C3DF2"/>
    <w:rsid w:val="002C413B"/>
    <w:rsid w:val="002C435E"/>
    <w:rsid w:val="002C4393"/>
    <w:rsid w:val="002C43BB"/>
    <w:rsid w:val="002C4482"/>
    <w:rsid w:val="002C44AB"/>
    <w:rsid w:val="002C44CF"/>
    <w:rsid w:val="002C4505"/>
    <w:rsid w:val="002C4EEC"/>
    <w:rsid w:val="002C5609"/>
    <w:rsid w:val="002C57BD"/>
    <w:rsid w:val="002C5CE9"/>
    <w:rsid w:val="002C5E39"/>
    <w:rsid w:val="002C5FA2"/>
    <w:rsid w:val="002C66C9"/>
    <w:rsid w:val="002C7273"/>
    <w:rsid w:val="002C7301"/>
    <w:rsid w:val="002C756C"/>
    <w:rsid w:val="002C7A02"/>
    <w:rsid w:val="002C7BD4"/>
    <w:rsid w:val="002D0107"/>
    <w:rsid w:val="002D0257"/>
    <w:rsid w:val="002D035D"/>
    <w:rsid w:val="002D062E"/>
    <w:rsid w:val="002D06C4"/>
    <w:rsid w:val="002D08D4"/>
    <w:rsid w:val="002D0CBF"/>
    <w:rsid w:val="002D0D35"/>
    <w:rsid w:val="002D0D43"/>
    <w:rsid w:val="002D0E19"/>
    <w:rsid w:val="002D1071"/>
    <w:rsid w:val="002D117B"/>
    <w:rsid w:val="002D15C2"/>
    <w:rsid w:val="002D16B1"/>
    <w:rsid w:val="002D16B9"/>
    <w:rsid w:val="002D2170"/>
    <w:rsid w:val="002D2567"/>
    <w:rsid w:val="002D2598"/>
    <w:rsid w:val="002D2B10"/>
    <w:rsid w:val="002D2FE5"/>
    <w:rsid w:val="002D3065"/>
    <w:rsid w:val="002D30C4"/>
    <w:rsid w:val="002D3247"/>
    <w:rsid w:val="002D33EC"/>
    <w:rsid w:val="002D386A"/>
    <w:rsid w:val="002D3D08"/>
    <w:rsid w:val="002D40B6"/>
    <w:rsid w:val="002D4100"/>
    <w:rsid w:val="002D42A1"/>
    <w:rsid w:val="002D477F"/>
    <w:rsid w:val="002D4BCD"/>
    <w:rsid w:val="002D4D9E"/>
    <w:rsid w:val="002D4E38"/>
    <w:rsid w:val="002D4F48"/>
    <w:rsid w:val="002D50F8"/>
    <w:rsid w:val="002D519B"/>
    <w:rsid w:val="002D5230"/>
    <w:rsid w:val="002D52C9"/>
    <w:rsid w:val="002D5560"/>
    <w:rsid w:val="002D5835"/>
    <w:rsid w:val="002D5B70"/>
    <w:rsid w:val="002D5BB2"/>
    <w:rsid w:val="002D5CC3"/>
    <w:rsid w:val="002D6005"/>
    <w:rsid w:val="002D621E"/>
    <w:rsid w:val="002D66DA"/>
    <w:rsid w:val="002D676B"/>
    <w:rsid w:val="002D6931"/>
    <w:rsid w:val="002D6A3F"/>
    <w:rsid w:val="002D6B14"/>
    <w:rsid w:val="002D6DFD"/>
    <w:rsid w:val="002D7027"/>
    <w:rsid w:val="002D70DC"/>
    <w:rsid w:val="002D7373"/>
    <w:rsid w:val="002D758B"/>
    <w:rsid w:val="002D768C"/>
    <w:rsid w:val="002D7730"/>
    <w:rsid w:val="002D78AE"/>
    <w:rsid w:val="002D79BC"/>
    <w:rsid w:val="002D7DEE"/>
    <w:rsid w:val="002D7E58"/>
    <w:rsid w:val="002D7FB0"/>
    <w:rsid w:val="002E01D3"/>
    <w:rsid w:val="002E03DA"/>
    <w:rsid w:val="002E059A"/>
    <w:rsid w:val="002E0983"/>
    <w:rsid w:val="002E0B17"/>
    <w:rsid w:val="002E0B84"/>
    <w:rsid w:val="002E0D31"/>
    <w:rsid w:val="002E0EED"/>
    <w:rsid w:val="002E0EFA"/>
    <w:rsid w:val="002E0F05"/>
    <w:rsid w:val="002E1073"/>
    <w:rsid w:val="002E123D"/>
    <w:rsid w:val="002E12EC"/>
    <w:rsid w:val="002E146D"/>
    <w:rsid w:val="002E152C"/>
    <w:rsid w:val="002E1712"/>
    <w:rsid w:val="002E1773"/>
    <w:rsid w:val="002E1791"/>
    <w:rsid w:val="002E1803"/>
    <w:rsid w:val="002E1DA9"/>
    <w:rsid w:val="002E230F"/>
    <w:rsid w:val="002E23D8"/>
    <w:rsid w:val="002E272B"/>
    <w:rsid w:val="002E29F8"/>
    <w:rsid w:val="002E2C52"/>
    <w:rsid w:val="002E342B"/>
    <w:rsid w:val="002E3B81"/>
    <w:rsid w:val="002E3D08"/>
    <w:rsid w:val="002E3E1D"/>
    <w:rsid w:val="002E3EEA"/>
    <w:rsid w:val="002E3F7F"/>
    <w:rsid w:val="002E4187"/>
    <w:rsid w:val="002E420E"/>
    <w:rsid w:val="002E486D"/>
    <w:rsid w:val="002E4D08"/>
    <w:rsid w:val="002E4DA5"/>
    <w:rsid w:val="002E50C9"/>
    <w:rsid w:val="002E5109"/>
    <w:rsid w:val="002E5202"/>
    <w:rsid w:val="002E52B8"/>
    <w:rsid w:val="002E5330"/>
    <w:rsid w:val="002E53A4"/>
    <w:rsid w:val="002E57CE"/>
    <w:rsid w:val="002E5C5B"/>
    <w:rsid w:val="002E5DBF"/>
    <w:rsid w:val="002E5E01"/>
    <w:rsid w:val="002E5E4A"/>
    <w:rsid w:val="002E5FC2"/>
    <w:rsid w:val="002E60F5"/>
    <w:rsid w:val="002E6536"/>
    <w:rsid w:val="002E66C3"/>
    <w:rsid w:val="002E66D1"/>
    <w:rsid w:val="002E6879"/>
    <w:rsid w:val="002E69F5"/>
    <w:rsid w:val="002E6CAA"/>
    <w:rsid w:val="002E7015"/>
    <w:rsid w:val="002E7232"/>
    <w:rsid w:val="002E728E"/>
    <w:rsid w:val="002E72D5"/>
    <w:rsid w:val="002E73EC"/>
    <w:rsid w:val="002E7A39"/>
    <w:rsid w:val="002E7D0E"/>
    <w:rsid w:val="002F0081"/>
    <w:rsid w:val="002F023D"/>
    <w:rsid w:val="002F07C3"/>
    <w:rsid w:val="002F0CC1"/>
    <w:rsid w:val="002F0D99"/>
    <w:rsid w:val="002F10EC"/>
    <w:rsid w:val="002F1136"/>
    <w:rsid w:val="002F11A1"/>
    <w:rsid w:val="002F1231"/>
    <w:rsid w:val="002F1521"/>
    <w:rsid w:val="002F15EE"/>
    <w:rsid w:val="002F1868"/>
    <w:rsid w:val="002F1C2A"/>
    <w:rsid w:val="002F1DAE"/>
    <w:rsid w:val="002F217C"/>
    <w:rsid w:val="002F2886"/>
    <w:rsid w:val="002F2AEC"/>
    <w:rsid w:val="002F2C6C"/>
    <w:rsid w:val="002F3161"/>
    <w:rsid w:val="002F3352"/>
    <w:rsid w:val="002F3632"/>
    <w:rsid w:val="002F3701"/>
    <w:rsid w:val="002F3748"/>
    <w:rsid w:val="002F3AFB"/>
    <w:rsid w:val="002F3C41"/>
    <w:rsid w:val="002F45EC"/>
    <w:rsid w:val="002F45EE"/>
    <w:rsid w:val="002F47EF"/>
    <w:rsid w:val="002F49C2"/>
    <w:rsid w:val="002F4C8E"/>
    <w:rsid w:val="002F5076"/>
    <w:rsid w:val="002F50BA"/>
    <w:rsid w:val="002F516E"/>
    <w:rsid w:val="002F5839"/>
    <w:rsid w:val="002F5B37"/>
    <w:rsid w:val="002F5D01"/>
    <w:rsid w:val="002F5D2F"/>
    <w:rsid w:val="002F64D9"/>
    <w:rsid w:val="002F651D"/>
    <w:rsid w:val="002F6648"/>
    <w:rsid w:val="002F69C8"/>
    <w:rsid w:val="002F6E44"/>
    <w:rsid w:val="002F6FEA"/>
    <w:rsid w:val="002F7308"/>
    <w:rsid w:val="002F74FD"/>
    <w:rsid w:val="002F76BD"/>
    <w:rsid w:val="002F771D"/>
    <w:rsid w:val="002F787B"/>
    <w:rsid w:val="002F7974"/>
    <w:rsid w:val="002F7D01"/>
    <w:rsid w:val="0030005C"/>
    <w:rsid w:val="00300369"/>
    <w:rsid w:val="00300920"/>
    <w:rsid w:val="00301167"/>
    <w:rsid w:val="0030126F"/>
    <w:rsid w:val="00301353"/>
    <w:rsid w:val="003015C6"/>
    <w:rsid w:val="00301A78"/>
    <w:rsid w:val="00301A8E"/>
    <w:rsid w:val="00301AB3"/>
    <w:rsid w:val="00301CA5"/>
    <w:rsid w:val="00301D0A"/>
    <w:rsid w:val="00302212"/>
    <w:rsid w:val="00302660"/>
    <w:rsid w:val="00302746"/>
    <w:rsid w:val="003027B8"/>
    <w:rsid w:val="0030293F"/>
    <w:rsid w:val="00302947"/>
    <w:rsid w:val="00302C50"/>
    <w:rsid w:val="00302D72"/>
    <w:rsid w:val="003031C2"/>
    <w:rsid w:val="00303861"/>
    <w:rsid w:val="00303DC3"/>
    <w:rsid w:val="00304084"/>
    <w:rsid w:val="0030418C"/>
    <w:rsid w:val="00304265"/>
    <w:rsid w:val="00304CBC"/>
    <w:rsid w:val="00304CCC"/>
    <w:rsid w:val="00304E8F"/>
    <w:rsid w:val="00304FFF"/>
    <w:rsid w:val="003053D6"/>
    <w:rsid w:val="00305557"/>
    <w:rsid w:val="0030555F"/>
    <w:rsid w:val="0030561F"/>
    <w:rsid w:val="0030579F"/>
    <w:rsid w:val="00305CA3"/>
    <w:rsid w:val="00306153"/>
    <w:rsid w:val="003062FD"/>
    <w:rsid w:val="0030643F"/>
    <w:rsid w:val="0030683F"/>
    <w:rsid w:val="00306E5C"/>
    <w:rsid w:val="00307048"/>
    <w:rsid w:val="00307049"/>
    <w:rsid w:val="003070B7"/>
    <w:rsid w:val="003074F7"/>
    <w:rsid w:val="00307608"/>
    <w:rsid w:val="00307B78"/>
    <w:rsid w:val="00307C19"/>
    <w:rsid w:val="00310638"/>
    <w:rsid w:val="00310732"/>
    <w:rsid w:val="00310782"/>
    <w:rsid w:val="00310B25"/>
    <w:rsid w:val="00310BC9"/>
    <w:rsid w:val="00310C27"/>
    <w:rsid w:val="00310CFF"/>
    <w:rsid w:val="00310D06"/>
    <w:rsid w:val="0031138E"/>
    <w:rsid w:val="00311762"/>
    <w:rsid w:val="003117AC"/>
    <w:rsid w:val="003117F8"/>
    <w:rsid w:val="00311BCA"/>
    <w:rsid w:val="00311E8A"/>
    <w:rsid w:val="00311E98"/>
    <w:rsid w:val="00312215"/>
    <w:rsid w:val="0031249C"/>
    <w:rsid w:val="003125C3"/>
    <w:rsid w:val="00312896"/>
    <w:rsid w:val="00312BB5"/>
    <w:rsid w:val="00312C9F"/>
    <w:rsid w:val="00312DC0"/>
    <w:rsid w:val="00312E56"/>
    <w:rsid w:val="00312EF3"/>
    <w:rsid w:val="00312F2A"/>
    <w:rsid w:val="00313EAC"/>
    <w:rsid w:val="003142F4"/>
    <w:rsid w:val="00314380"/>
    <w:rsid w:val="0031454E"/>
    <w:rsid w:val="0031472E"/>
    <w:rsid w:val="003147BF"/>
    <w:rsid w:val="00314E52"/>
    <w:rsid w:val="00314EDF"/>
    <w:rsid w:val="00315015"/>
    <w:rsid w:val="0031519E"/>
    <w:rsid w:val="003156AE"/>
    <w:rsid w:val="00315E05"/>
    <w:rsid w:val="00315E96"/>
    <w:rsid w:val="0031611F"/>
    <w:rsid w:val="0031613F"/>
    <w:rsid w:val="00316631"/>
    <w:rsid w:val="0031691F"/>
    <w:rsid w:val="00316985"/>
    <w:rsid w:val="003169CF"/>
    <w:rsid w:val="00316C64"/>
    <w:rsid w:val="003174E0"/>
    <w:rsid w:val="003175E4"/>
    <w:rsid w:val="00317A33"/>
    <w:rsid w:val="0032003F"/>
    <w:rsid w:val="003202BA"/>
    <w:rsid w:val="00320339"/>
    <w:rsid w:val="00320981"/>
    <w:rsid w:val="00320A4E"/>
    <w:rsid w:val="00320F7A"/>
    <w:rsid w:val="00320F9F"/>
    <w:rsid w:val="0032114F"/>
    <w:rsid w:val="00321214"/>
    <w:rsid w:val="003213D5"/>
    <w:rsid w:val="003218A5"/>
    <w:rsid w:val="003223CF"/>
    <w:rsid w:val="00322A4B"/>
    <w:rsid w:val="003231ED"/>
    <w:rsid w:val="00323630"/>
    <w:rsid w:val="00323737"/>
    <w:rsid w:val="00323AD6"/>
    <w:rsid w:val="00323F27"/>
    <w:rsid w:val="0032412D"/>
    <w:rsid w:val="003242EF"/>
    <w:rsid w:val="003244BE"/>
    <w:rsid w:val="003246F7"/>
    <w:rsid w:val="00324A3B"/>
    <w:rsid w:val="00324C98"/>
    <w:rsid w:val="00325339"/>
    <w:rsid w:val="0032543A"/>
    <w:rsid w:val="00325441"/>
    <w:rsid w:val="003255AA"/>
    <w:rsid w:val="00325A06"/>
    <w:rsid w:val="00326036"/>
    <w:rsid w:val="0032622B"/>
    <w:rsid w:val="00326510"/>
    <w:rsid w:val="003265A9"/>
    <w:rsid w:val="003265C4"/>
    <w:rsid w:val="00326B83"/>
    <w:rsid w:val="00326DF7"/>
    <w:rsid w:val="00326F2A"/>
    <w:rsid w:val="003273C0"/>
    <w:rsid w:val="003278AF"/>
    <w:rsid w:val="00327E5A"/>
    <w:rsid w:val="003301C4"/>
    <w:rsid w:val="003301F5"/>
    <w:rsid w:val="00330315"/>
    <w:rsid w:val="003306E4"/>
    <w:rsid w:val="00330A99"/>
    <w:rsid w:val="00330C28"/>
    <w:rsid w:val="00330D09"/>
    <w:rsid w:val="003310F5"/>
    <w:rsid w:val="003314B6"/>
    <w:rsid w:val="003314D8"/>
    <w:rsid w:val="003316DE"/>
    <w:rsid w:val="00331819"/>
    <w:rsid w:val="00331875"/>
    <w:rsid w:val="0033191E"/>
    <w:rsid w:val="003319EC"/>
    <w:rsid w:val="00331A20"/>
    <w:rsid w:val="00331B98"/>
    <w:rsid w:val="00331E65"/>
    <w:rsid w:val="00332582"/>
    <w:rsid w:val="00333107"/>
    <w:rsid w:val="003332B8"/>
    <w:rsid w:val="0033343B"/>
    <w:rsid w:val="003334CC"/>
    <w:rsid w:val="0033378C"/>
    <w:rsid w:val="0033393C"/>
    <w:rsid w:val="003339DD"/>
    <w:rsid w:val="003346F8"/>
    <w:rsid w:val="003348D0"/>
    <w:rsid w:val="00334B69"/>
    <w:rsid w:val="003350AA"/>
    <w:rsid w:val="00335465"/>
    <w:rsid w:val="003354DB"/>
    <w:rsid w:val="003357EE"/>
    <w:rsid w:val="003357F9"/>
    <w:rsid w:val="00335C9B"/>
    <w:rsid w:val="00335D71"/>
    <w:rsid w:val="003366C9"/>
    <w:rsid w:val="00336A53"/>
    <w:rsid w:val="00337368"/>
    <w:rsid w:val="00337812"/>
    <w:rsid w:val="00337B0E"/>
    <w:rsid w:val="00337B4D"/>
    <w:rsid w:val="00337EDD"/>
    <w:rsid w:val="00340112"/>
    <w:rsid w:val="0034030C"/>
    <w:rsid w:val="003407A9"/>
    <w:rsid w:val="00340A36"/>
    <w:rsid w:val="00340BA3"/>
    <w:rsid w:val="00340BAF"/>
    <w:rsid w:val="00340C2B"/>
    <w:rsid w:val="00340E0C"/>
    <w:rsid w:val="00340F9A"/>
    <w:rsid w:val="00341018"/>
    <w:rsid w:val="0034101D"/>
    <w:rsid w:val="00341119"/>
    <w:rsid w:val="00341122"/>
    <w:rsid w:val="003411E5"/>
    <w:rsid w:val="00341723"/>
    <w:rsid w:val="0034193A"/>
    <w:rsid w:val="00341CA7"/>
    <w:rsid w:val="00341F27"/>
    <w:rsid w:val="003420D9"/>
    <w:rsid w:val="00342125"/>
    <w:rsid w:val="003423E0"/>
    <w:rsid w:val="00342748"/>
    <w:rsid w:val="0034301A"/>
    <w:rsid w:val="00343024"/>
    <w:rsid w:val="00343097"/>
    <w:rsid w:val="00343595"/>
    <w:rsid w:val="003439A0"/>
    <w:rsid w:val="00343D76"/>
    <w:rsid w:val="00344642"/>
    <w:rsid w:val="00344766"/>
    <w:rsid w:val="00344DE4"/>
    <w:rsid w:val="00344DFD"/>
    <w:rsid w:val="00344F5F"/>
    <w:rsid w:val="00345144"/>
    <w:rsid w:val="003451D3"/>
    <w:rsid w:val="00345427"/>
    <w:rsid w:val="0034557A"/>
    <w:rsid w:val="00345923"/>
    <w:rsid w:val="00345942"/>
    <w:rsid w:val="003459C2"/>
    <w:rsid w:val="003459CC"/>
    <w:rsid w:val="00345A4F"/>
    <w:rsid w:val="00345CD6"/>
    <w:rsid w:val="00345D82"/>
    <w:rsid w:val="0034629C"/>
    <w:rsid w:val="00346631"/>
    <w:rsid w:val="00346686"/>
    <w:rsid w:val="00346AAD"/>
    <w:rsid w:val="00346D96"/>
    <w:rsid w:val="00346DF7"/>
    <w:rsid w:val="00346F2F"/>
    <w:rsid w:val="00347063"/>
    <w:rsid w:val="003470C2"/>
    <w:rsid w:val="0034736A"/>
    <w:rsid w:val="0034747C"/>
    <w:rsid w:val="00347877"/>
    <w:rsid w:val="00347AE3"/>
    <w:rsid w:val="00347B6C"/>
    <w:rsid w:val="003503A3"/>
    <w:rsid w:val="0035049C"/>
    <w:rsid w:val="00350794"/>
    <w:rsid w:val="003509DB"/>
    <w:rsid w:val="003509E1"/>
    <w:rsid w:val="00350D33"/>
    <w:rsid w:val="00350DD6"/>
    <w:rsid w:val="0035151C"/>
    <w:rsid w:val="003516D7"/>
    <w:rsid w:val="00351B49"/>
    <w:rsid w:val="00351D03"/>
    <w:rsid w:val="00352192"/>
    <w:rsid w:val="00352254"/>
    <w:rsid w:val="003522A3"/>
    <w:rsid w:val="00352F92"/>
    <w:rsid w:val="003537C0"/>
    <w:rsid w:val="00353929"/>
    <w:rsid w:val="00353C35"/>
    <w:rsid w:val="00353EB0"/>
    <w:rsid w:val="00353F9E"/>
    <w:rsid w:val="003540D1"/>
    <w:rsid w:val="00354170"/>
    <w:rsid w:val="00354318"/>
    <w:rsid w:val="003545BF"/>
    <w:rsid w:val="00354608"/>
    <w:rsid w:val="00355335"/>
    <w:rsid w:val="0035586A"/>
    <w:rsid w:val="00355E0E"/>
    <w:rsid w:val="0035611A"/>
    <w:rsid w:val="00356179"/>
    <w:rsid w:val="0035634F"/>
    <w:rsid w:val="00356735"/>
    <w:rsid w:val="003567CF"/>
    <w:rsid w:val="00356C3D"/>
    <w:rsid w:val="00356DCF"/>
    <w:rsid w:val="00357085"/>
    <w:rsid w:val="0035711B"/>
    <w:rsid w:val="003573EB"/>
    <w:rsid w:val="0036032A"/>
    <w:rsid w:val="00360892"/>
    <w:rsid w:val="00360B75"/>
    <w:rsid w:val="00360C2F"/>
    <w:rsid w:val="00360C43"/>
    <w:rsid w:val="00360E80"/>
    <w:rsid w:val="003612F1"/>
    <w:rsid w:val="00361507"/>
    <w:rsid w:val="0036151C"/>
    <w:rsid w:val="0036191C"/>
    <w:rsid w:val="00361A9B"/>
    <w:rsid w:val="00361D31"/>
    <w:rsid w:val="00361F40"/>
    <w:rsid w:val="0036293E"/>
    <w:rsid w:val="0036295E"/>
    <w:rsid w:val="00362CCF"/>
    <w:rsid w:val="00362E35"/>
    <w:rsid w:val="00362E97"/>
    <w:rsid w:val="003631BB"/>
    <w:rsid w:val="003631DB"/>
    <w:rsid w:val="00363343"/>
    <w:rsid w:val="00363996"/>
    <w:rsid w:val="00363E29"/>
    <w:rsid w:val="003643B0"/>
    <w:rsid w:val="00364480"/>
    <w:rsid w:val="00364524"/>
    <w:rsid w:val="00364886"/>
    <w:rsid w:val="00364F0B"/>
    <w:rsid w:val="0036506A"/>
    <w:rsid w:val="0036513A"/>
    <w:rsid w:val="00365237"/>
    <w:rsid w:val="0036525F"/>
    <w:rsid w:val="0036531C"/>
    <w:rsid w:val="0036559C"/>
    <w:rsid w:val="0036587E"/>
    <w:rsid w:val="003658F3"/>
    <w:rsid w:val="003659B0"/>
    <w:rsid w:val="00365B53"/>
    <w:rsid w:val="00365CDA"/>
    <w:rsid w:val="00366041"/>
    <w:rsid w:val="003660CD"/>
    <w:rsid w:val="00366752"/>
    <w:rsid w:val="00366AC2"/>
    <w:rsid w:val="00366B08"/>
    <w:rsid w:val="00367161"/>
    <w:rsid w:val="00367496"/>
    <w:rsid w:val="003676F1"/>
    <w:rsid w:val="003678BE"/>
    <w:rsid w:val="003679B8"/>
    <w:rsid w:val="003700F8"/>
    <w:rsid w:val="003701B2"/>
    <w:rsid w:val="00370513"/>
    <w:rsid w:val="003705E7"/>
    <w:rsid w:val="003706AA"/>
    <w:rsid w:val="00370949"/>
    <w:rsid w:val="00370C05"/>
    <w:rsid w:val="003711C1"/>
    <w:rsid w:val="003715A4"/>
    <w:rsid w:val="003722B8"/>
    <w:rsid w:val="0037243B"/>
    <w:rsid w:val="0037251C"/>
    <w:rsid w:val="003725AC"/>
    <w:rsid w:val="003726DD"/>
    <w:rsid w:val="0037272C"/>
    <w:rsid w:val="00372B9A"/>
    <w:rsid w:val="00372C73"/>
    <w:rsid w:val="00372FB4"/>
    <w:rsid w:val="003730D4"/>
    <w:rsid w:val="003731BF"/>
    <w:rsid w:val="003731D2"/>
    <w:rsid w:val="00373665"/>
    <w:rsid w:val="00373BCF"/>
    <w:rsid w:val="0037523B"/>
    <w:rsid w:val="00375287"/>
    <w:rsid w:val="003753C8"/>
    <w:rsid w:val="00375544"/>
    <w:rsid w:val="00375791"/>
    <w:rsid w:val="003757D8"/>
    <w:rsid w:val="00375826"/>
    <w:rsid w:val="00375994"/>
    <w:rsid w:val="00375C59"/>
    <w:rsid w:val="00375E05"/>
    <w:rsid w:val="00376260"/>
    <w:rsid w:val="0037630D"/>
    <w:rsid w:val="0037687A"/>
    <w:rsid w:val="00376BB7"/>
    <w:rsid w:val="00376CA2"/>
    <w:rsid w:val="00376E41"/>
    <w:rsid w:val="00376EEE"/>
    <w:rsid w:val="00376F59"/>
    <w:rsid w:val="00377184"/>
    <w:rsid w:val="003771AA"/>
    <w:rsid w:val="0037729F"/>
    <w:rsid w:val="0037765E"/>
    <w:rsid w:val="003778DC"/>
    <w:rsid w:val="00377935"/>
    <w:rsid w:val="00377BA1"/>
    <w:rsid w:val="00377C1B"/>
    <w:rsid w:val="00377F70"/>
    <w:rsid w:val="00377F82"/>
    <w:rsid w:val="00377FF0"/>
    <w:rsid w:val="003801CE"/>
    <w:rsid w:val="00380616"/>
    <w:rsid w:val="00381022"/>
    <w:rsid w:val="003814B8"/>
    <w:rsid w:val="0038163D"/>
    <w:rsid w:val="00381682"/>
    <w:rsid w:val="00381848"/>
    <w:rsid w:val="00381A50"/>
    <w:rsid w:val="00381FBA"/>
    <w:rsid w:val="0038267A"/>
    <w:rsid w:val="00382909"/>
    <w:rsid w:val="00382B56"/>
    <w:rsid w:val="00382D27"/>
    <w:rsid w:val="00382EE1"/>
    <w:rsid w:val="003833A7"/>
    <w:rsid w:val="003833C3"/>
    <w:rsid w:val="003833D6"/>
    <w:rsid w:val="00383534"/>
    <w:rsid w:val="00383539"/>
    <w:rsid w:val="003836FB"/>
    <w:rsid w:val="00384258"/>
    <w:rsid w:val="003845AB"/>
    <w:rsid w:val="003848D2"/>
    <w:rsid w:val="00384CE4"/>
    <w:rsid w:val="00385131"/>
    <w:rsid w:val="00385179"/>
    <w:rsid w:val="00385DA1"/>
    <w:rsid w:val="00385F85"/>
    <w:rsid w:val="00386083"/>
    <w:rsid w:val="0038620B"/>
    <w:rsid w:val="003865A6"/>
    <w:rsid w:val="00386A6A"/>
    <w:rsid w:val="00386C94"/>
    <w:rsid w:val="00386E60"/>
    <w:rsid w:val="0038720B"/>
    <w:rsid w:val="003872AA"/>
    <w:rsid w:val="003872EA"/>
    <w:rsid w:val="00387647"/>
    <w:rsid w:val="0038791A"/>
    <w:rsid w:val="00387A2B"/>
    <w:rsid w:val="00390056"/>
    <w:rsid w:val="00390057"/>
    <w:rsid w:val="00390096"/>
    <w:rsid w:val="003904AF"/>
    <w:rsid w:val="0039055C"/>
    <w:rsid w:val="00390718"/>
    <w:rsid w:val="00390767"/>
    <w:rsid w:val="00390883"/>
    <w:rsid w:val="00390B84"/>
    <w:rsid w:val="00390E4D"/>
    <w:rsid w:val="00391328"/>
    <w:rsid w:val="00391375"/>
    <w:rsid w:val="00391470"/>
    <w:rsid w:val="0039151D"/>
    <w:rsid w:val="00391DF3"/>
    <w:rsid w:val="003920C4"/>
    <w:rsid w:val="00392184"/>
    <w:rsid w:val="0039230D"/>
    <w:rsid w:val="00392652"/>
    <w:rsid w:val="00392B41"/>
    <w:rsid w:val="00392E44"/>
    <w:rsid w:val="003930EC"/>
    <w:rsid w:val="003936AB"/>
    <w:rsid w:val="00393AB7"/>
    <w:rsid w:val="00393F43"/>
    <w:rsid w:val="0039420C"/>
    <w:rsid w:val="0039456F"/>
    <w:rsid w:val="003945C8"/>
    <w:rsid w:val="0039480D"/>
    <w:rsid w:val="00394885"/>
    <w:rsid w:val="00395275"/>
    <w:rsid w:val="00395446"/>
    <w:rsid w:val="00395681"/>
    <w:rsid w:val="003958A9"/>
    <w:rsid w:val="003958E6"/>
    <w:rsid w:val="00395BAE"/>
    <w:rsid w:val="00395DA3"/>
    <w:rsid w:val="00395EFC"/>
    <w:rsid w:val="0039612E"/>
    <w:rsid w:val="00396433"/>
    <w:rsid w:val="00396589"/>
    <w:rsid w:val="00396725"/>
    <w:rsid w:val="00396A0E"/>
    <w:rsid w:val="00396EB5"/>
    <w:rsid w:val="00396F7D"/>
    <w:rsid w:val="003974C4"/>
    <w:rsid w:val="00397599"/>
    <w:rsid w:val="0039783D"/>
    <w:rsid w:val="00397A28"/>
    <w:rsid w:val="00397CB6"/>
    <w:rsid w:val="00397E6E"/>
    <w:rsid w:val="00397E94"/>
    <w:rsid w:val="00397EED"/>
    <w:rsid w:val="00397F05"/>
    <w:rsid w:val="003A0083"/>
    <w:rsid w:val="003A03AB"/>
    <w:rsid w:val="003A0442"/>
    <w:rsid w:val="003A0899"/>
    <w:rsid w:val="003A0D81"/>
    <w:rsid w:val="003A0F40"/>
    <w:rsid w:val="003A1057"/>
    <w:rsid w:val="003A10CA"/>
    <w:rsid w:val="003A1512"/>
    <w:rsid w:val="003A15B4"/>
    <w:rsid w:val="003A1B0E"/>
    <w:rsid w:val="003A1DD6"/>
    <w:rsid w:val="003A1E85"/>
    <w:rsid w:val="003A1EB7"/>
    <w:rsid w:val="003A1F9D"/>
    <w:rsid w:val="003A23F3"/>
    <w:rsid w:val="003A28AB"/>
    <w:rsid w:val="003A2AF0"/>
    <w:rsid w:val="003A2B75"/>
    <w:rsid w:val="003A2D82"/>
    <w:rsid w:val="003A2EC7"/>
    <w:rsid w:val="003A3086"/>
    <w:rsid w:val="003A337C"/>
    <w:rsid w:val="003A3612"/>
    <w:rsid w:val="003A36DA"/>
    <w:rsid w:val="003A38F1"/>
    <w:rsid w:val="003A399A"/>
    <w:rsid w:val="003A39EF"/>
    <w:rsid w:val="003A3D1B"/>
    <w:rsid w:val="003A3F39"/>
    <w:rsid w:val="003A4296"/>
    <w:rsid w:val="003A4549"/>
    <w:rsid w:val="003A49B3"/>
    <w:rsid w:val="003A4E75"/>
    <w:rsid w:val="003A535D"/>
    <w:rsid w:val="003A55B4"/>
    <w:rsid w:val="003A55B6"/>
    <w:rsid w:val="003A572A"/>
    <w:rsid w:val="003A57A8"/>
    <w:rsid w:val="003A5B52"/>
    <w:rsid w:val="003A5D49"/>
    <w:rsid w:val="003A5F28"/>
    <w:rsid w:val="003A6118"/>
    <w:rsid w:val="003A61B6"/>
    <w:rsid w:val="003A623F"/>
    <w:rsid w:val="003A680B"/>
    <w:rsid w:val="003A68B5"/>
    <w:rsid w:val="003A71AD"/>
    <w:rsid w:val="003A778C"/>
    <w:rsid w:val="003A7D1D"/>
    <w:rsid w:val="003B0219"/>
    <w:rsid w:val="003B0E8E"/>
    <w:rsid w:val="003B0F34"/>
    <w:rsid w:val="003B13B9"/>
    <w:rsid w:val="003B1688"/>
    <w:rsid w:val="003B16C7"/>
    <w:rsid w:val="003B1E57"/>
    <w:rsid w:val="003B1FA4"/>
    <w:rsid w:val="003B1FD2"/>
    <w:rsid w:val="003B1FE6"/>
    <w:rsid w:val="003B223C"/>
    <w:rsid w:val="003B24C1"/>
    <w:rsid w:val="003B2577"/>
    <w:rsid w:val="003B26FB"/>
    <w:rsid w:val="003B285E"/>
    <w:rsid w:val="003B2B3B"/>
    <w:rsid w:val="003B2BBF"/>
    <w:rsid w:val="003B2E1E"/>
    <w:rsid w:val="003B2E9A"/>
    <w:rsid w:val="003B3063"/>
    <w:rsid w:val="003B3106"/>
    <w:rsid w:val="003B31ED"/>
    <w:rsid w:val="003B3597"/>
    <w:rsid w:val="003B36EB"/>
    <w:rsid w:val="003B3974"/>
    <w:rsid w:val="003B39E0"/>
    <w:rsid w:val="003B3CF5"/>
    <w:rsid w:val="003B3DAB"/>
    <w:rsid w:val="003B404D"/>
    <w:rsid w:val="003B44D2"/>
    <w:rsid w:val="003B46F0"/>
    <w:rsid w:val="003B4A33"/>
    <w:rsid w:val="003B4B34"/>
    <w:rsid w:val="003B4CDA"/>
    <w:rsid w:val="003B4D74"/>
    <w:rsid w:val="003B4F2D"/>
    <w:rsid w:val="003B4F5A"/>
    <w:rsid w:val="003B5085"/>
    <w:rsid w:val="003B5340"/>
    <w:rsid w:val="003B53FE"/>
    <w:rsid w:val="003B56B9"/>
    <w:rsid w:val="003B570C"/>
    <w:rsid w:val="003B5B6B"/>
    <w:rsid w:val="003B5BD9"/>
    <w:rsid w:val="003B63E9"/>
    <w:rsid w:val="003B64A3"/>
    <w:rsid w:val="003B6ADF"/>
    <w:rsid w:val="003B6B7E"/>
    <w:rsid w:val="003B6C9F"/>
    <w:rsid w:val="003B6DB8"/>
    <w:rsid w:val="003B6F84"/>
    <w:rsid w:val="003B71D5"/>
    <w:rsid w:val="003B72B9"/>
    <w:rsid w:val="003B768C"/>
    <w:rsid w:val="003B7849"/>
    <w:rsid w:val="003B7BEE"/>
    <w:rsid w:val="003C00D0"/>
    <w:rsid w:val="003C0391"/>
    <w:rsid w:val="003C0603"/>
    <w:rsid w:val="003C0863"/>
    <w:rsid w:val="003C0887"/>
    <w:rsid w:val="003C08AF"/>
    <w:rsid w:val="003C123A"/>
    <w:rsid w:val="003C123D"/>
    <w:rsid w:val="003C17A9"/>
    <w:rsid w:val="003C188A"/>
    <w:rsid w:val="003C1B31"/>
    <w:rsid w:val="003C1CB0"/>
    <w:rsid w:val="003C1D2D"/>
    <w:rsid w:val="003C1D32"/>
    <w:rsid w:val="003C1F9D"/>
    <w:rsid w:val="003C2702"/>
    <w:rsid w:val="003C2730"/>
    <w:rsid w:val="003C2984"/>
    <w:rsid w:val="003C2EDD"/>
    <w:rsid w:val="003C2EF8"/>
    <w:rsid w:val="003C2F62"/>
    <w:rsid w:val="003C3220"/>
    <w:rsid w:val="003C33B4"/>
    <w:rsid w:val="003C3A47"/>
    <w:rsid w:val="003C3A79"/>
    <w:rsid w:val="003C3EB7"/>
    <w:rsid w:val="003C3F44"/>
    <w:rsid w:val="003C4422"/>
    <w:rsid w:val="003C489F"/>
    <w:rsid w:val="003C48F2"/>
    <w:rsid w:val="003C4A1B"/>
    <w:rsid w:val="003C5177"/>
    <w:rsid w:val="003C5286"/>
    <w:rsid w:val="003C52B0"/>
    <w:rsid w:val="003C53D9"/>
    <w:rsid w:val="003C565F"/>
    <w:rsid w:val="003C5911"/>
    <w:rsid w:val="003C5CA0"/>
    <w:rsid w:val="003C5CDB"/>
    <w:rsid w:val="003C5FFB"/>
    <w:rsid w:val="003C60BB"/>
    <w:rsid w:val="003C6465"/>
    <w:rsid w:val="003C650F"/>
    <w:rsid w:val="003C651B"/>
    <w:rsid w:val="003C65E4"/>
    <w:rsid w:val="003C6A30"/>
    <w:rsid w:val="003C6CBA"/>
    <w:rsid w:val="003C6D88"/>
    <w:rsid w:val="003C6F7F"/>
    <w:rsid w:val="003C7263"/>
    <w:rsid w:val="003C73A7"/>
    <w:rsid w:val="003C7648"/>
    <w:rsid w:val="003C7712"/>
    <w:rsid w:val="003C783D"/>
    <w:rsid w:val="003C7862"/>
    <w:rsid w:val="003C787A"/>
    <w:rsid w:val="003C7B52"/>
    <w:rsid w:val="003C7C62"/>
    <w:rsid w:val="003C7D92"/>
    <w:rsid w:val="003C7E26"/>
    <w:rsid w:val="003C7E81"/>
    <w:rsid w:val="003C7ECD"/>
    <w:rsid w:val="003D001F"/>
    <w:rsid w:val="003D007D"/>
    <w:rsid w:val="003D0114"/>
    <w:rsid w:val="003D01A1"/>
    <w:rsid w:val="003D01DE"/>
    <w:rsid w:val="003D04D6"/>
    <w:rsid w:val="003D04F6"/>
    <w:rsid w:val="003D0732"/>
    <w:rsid w:val="003D0743"/>
    <w:rsid w:val="003D0769"/>
    <w:rsid w:val="003D0D52"/>
    <w:rsid w:val="003D18CC"/>
    <w:rsid w:val="003D1BB3"/>
    <w:rsid w:val="003D22AA"/>
    <w:rsid w:val="003D22B8"/>
    <w:rsid w:val="003D23B4"/>
    <w:rsid w:val="003D2F80"/>
    <w:rsid w:val="003D2FCF"/>
    <w:rsid w:val="003D2FF4"/>
    <w:rsid w:val="003D323F"/>
    <w:rsid w:val="003D3583"/>
    <w:rsid w:val="003D391E"/>
    <w:rsid w:val="003D3B6F"/>
    <w:rsid w:val="003D40E8"/>
    <w:rsid w:val="003D424B"/>
    <w:rsid w:val="003D455E"/>
    <w:rsid w:val="003D4598"/>
    <w:rsid w:val="003D45E1"/>
    <w:rsid w:val="003D494D"/>
    <w:rsid w:val="003D528B"/>
    <w:rsid w:val="003D5785"/>
    <w:rsid w:val="003D5801"/>
    <w:rsid w:val="003D5A2D"/>
    <w:rsid w:val="003D5A9D"/>
    <w:rsid w:val="003D60B1"/>
    <w:rsid w:val="003D62C0"/>
    <w:rsid w:val="003D65F2"/>
    <w:rsid w:val="003D65F6"/>
    <w:rsid w:val="003D6911"/>
    <w:rsid w:val="003D6916"/>
    <w:rsid w:val="003D7255"/>
    <w:rsid w:val="003D7E4B"/>
    <w:rsid w:val="003D7F40"/>
    <w:rsid w:val="003E0035"/>
    <w:rsid w:val="003E0087"/>
    <w:rsid w:val="003E01DA"/>
    <w:rsid w:val="003E04B1"/>
    <w:rsid w:val="003E04E9"/>
    <w:rsid w:val="003E07F8"/>
    <w:rsid w:val="003E0C14"/>
    <w:rsid w:val="003E0D6F"/>
    <w:rsid w:val="003E12EA"/>
    <w:rsid w:val="003E13D4"/>
    <w:rsid w:val="003E1591"/>
    <w:rsid w:val="003E185F"/>
    <w:rsid w:val="003E195B"/>
    <w:rsid w:val="003E1A1B"/>
    <w:rsid w:val="003E1A7C"/>
    <w:rsid w:val="003E1ACF"/>
    <w:rsid w:val="003E1B03"/>
    <w:rsid w:val="003E1B43"/>
    <w:rsid w:val="003E1BB6"/>
    <w:rsid w:val="003E1D13"/>
    <w:rsid w:val="003E216C"/>
    <w:rsid w:val="003E236E"/>
    <w:rsid w:val="003E259D"/>
    <w:rsid w:val="003E26BA"/>
    <w:rsid w:val="003E2906"/>
    <w:rsid w:val="003E2969"/>
    <w:rsid w:val="003E2A50"/>
    <w:rsid w:val="003E2C1A"/>
    <w:rsid w:val="003E330F"/>
    <w:rsid w:val="003E343D"/>
    <w:rsid w:val="003E3478"/>
    <w:rsid w:val="003E34D6"/>
    <w:rsid w:val="003E3835"/>
    <w:rsid w:val="003E3F0F"/>
    <w:rsid w:val="003E4388"/>
    <w:rsid w:val="003E4E74"/>
    <w:rsid w:val="003E54B9"/>
    <w:rsid w:val="003E5539"/>
    <w:rsid w:val="003E5746"/>
    <w:rsid w:val="003E5B4B"/>
    <w:rsid w:val="003E5C80"/>
    <w:rsid w:val="003E5F11"/>
    <w:rsid w:val="003E5F7D"/>
    <w:rsid w:val="003E6520"/>
    <w:rsid w:val="003E6560"/>
    <w:rsid w:val="003E657E"/>
    <w:rsid w:val="003E65DD"/>
    <w:rsid w:val="003E66F8"/>
    <w:rsid w:val="003E67E7"/>
    <w:rsid w:val="003E6B25"/>
    <w:rsid w:val="003E6B3C"/>
    <w:rsid w:val="003E6B50"/>
    <w:rsid w:val="003E6B95"/>
    <w:rsid w:val="003E6C38"/>
    <w:rsid w:val="003E6CCA"/>
    <w:rsid w:val="003E70FF"/>
    <w:rsid w:val="003E7144"/>
    <w:rsid w:val="003E730A"/>
    <w:rsid w:val="003E75DA"/>
    <w:rsid w:val="003E765C"/>
    <w:rsid w:val="003E76D7"/>
    <w:rsid w:val="003E7A1B"/>
    <w:rsid w:val="003E7B4D"/>
    <w:rsid w:val="003E7CF6"/>
    <w:rsid w:val="003E7F1B"/>
    <w:rsid w:val="003E7FC5"/>
    <w:rsid w:val="003F0390"/>
    <w:rsid w:val="003F0A4D"/>
    <w:rsid w:val="003F0ADE"/>
    <w:rsid w:val="003F0B41"/>
    <w:rsid w:val="003F0EE4"/>
    <w:rsid w:val="003F0F58"/>
    <w:rsid w:val="003F1084"/>
    <w:rsid w:val="003F11BF"/>
    <w:rsid w:val="003F11E1"/>
    <w:rsid w:val="003F14CE"/>
    <w:rsid w:val="003F1AF2"/>
    <w:rsid w:val="003F1BB8"/>
    <w:rsid w:val="003F1E39"/>
    <w:rsid w:val="003F1FFF"/>
    <w:rsid w:val="003F2261"/>
    <w:rsid w:val="003F229D"/>
    <w:rsid w:val="003F2455"/>
    <w:rsid w:val="003F25F0"/>
    <w:rsid w:val="003F2B05"/>
    <w:rsid w:val="003F2BD2"/>
    <w:rsid w:val="003F2C0C"/>
    <w:rsid w:val="003F2D5B"/>
    <w:rsid w:val="003F2D89"/>
    <w:rsid w:val="003F2E65"/>
    <w:rsid w:val="003F379D"/>
    <w:rsid w:val="003F3BDE"/>
    <w:rsid w:val="003F3E02"/>
    <w:rsid w:val="003F5004"/>
    <w:rsid w:val="003F5AD2"/>
    <w:rsid w:val="003F5CA4"/>
    <w:rsid w:val="003F5D26"/>
    <w:rsid w:val="003F6346"/>
    <w:rsid w:val="003F65CA"/>
    <w:rsid w:val="003F67A2"/>
    <w:rsid w:val="003F69C3"/>
    <w:rsid w:val="003F6A71"/>
    <w:rsid w:val="003F6D12"/>
    <w:rsid w:val="003F6D50"/>
    <w:rsid w:val="003F6E4D"/>
    <w:rsid w:val="003F7006"/>
    <w:rsid w:val="003F713D"/>
    <w:rsid w:val="003F720E"/>
    <w:rsid w:val="003F7507"/>
    <w:rsid w:val="003F799E"/>
    <w:rsid w:val="003F7C72"/>
    <w:rsid w:val="003F7D10"/>
    <w:rsid w:val="003F7D23"/>
    <w:rsid w:val="003F7F29"/>
    <w:rsid w:val="00400474"/>
    <w:rsid w:val="004009EC"/>
    <w:rsid w:val="00401000"/>
    <w:rsid w:val="004012C6"/>
    <w:rsid w:val="004013DC"/>
    <w:rsid w:val="004016C6"/>
    <w:rsid w:val="0040179A"/>
    <w:rsid w:val="00401856"/>
    <w:rsid w:val="00401893"/>
    <w:rsid w:val="00401E48"/>
    <w:rsid w:val="00401F20"/>
    <w:rsid w:val="0040230A"/>
    <w:rsid w:val="00402655"/>
    <w:rsid w:val="004028A2"/>
    <w:rsid w:val="00402B1F"/>
    <w:rsid w:val="00402C9D"/>
    <w:rsid w:val="00402FEB"/>
    <w:rsid w:val="004030CB"/>
    <w:rsid w:val="00403344"/>
    <w:rsid w:val="00403C82"/>
    <w:rsid w:val="00404110"/>
    <w:rsid w:val="00404C44"/>
    <w:rsid w:val="00404CF1"/>
    <w:rsid w:val="00404EE8"/>
    <w:rsid w:val="0040510D"/>
    <w:rsid w:val="0040512D"/>
    <w:rsid w:val="00405505"/>
    <w:rsid w:val="00405A1A"/>
    <w:rsid w:val="00405ED4"/>
    <w:rsid w:val="00405F59"/>
    <w:rsid w:val="00405FB8"/>
    <w:rsid w:val="0040602F"/>
    <w:rsid w:val="00406526"/>
    <w:rsid w:val="00406914"/>
    <w:rsid w:val="004069B0"/>
    <w:rsid w:val="00406AFB"/>
    <w:rsid w:val="00406D63"/>
    <w:rsid w:val="00406FAE"/>
    <w:rsid w:val="00407382"/>
    <w:rsid w:val="004076C1"/>
    <w:rsid w:val="0040791B"/>
    <w:rsid w:val="00407B78"/>
    <w:rsid w:val="00407FBF"/>
    <w:rsid w:val="004100E1"/>
    <w:rsid w:val="0041040F"/>
    <w:rsid w:val="0041074A"/>
    <w:rsid w:val="004107DD"/>
    <w:rsid w:val="004108C5"/>
    <w:rsid w:val="00410B5D"/>
    <w:rsid w:val="00410C91"/>
    <w:rsid w:val="00410E98"/>
    <w:rsid w:val="00411090"/>
    <w:rsid w:val="004112A3"/>
    <w:rsid w:val="004116E3"/>
    <w:rsid w:val="00411958"/>
    <w:rsid w:val="00411B2A"/>
    <w:rsid w:val="00411B8B"/>
    <w:rsid w:val="00411C53"/>
    <w:rsid w:val="00411D6C"/>
    <w:rsid w:val="00411DA3"/>
    <w:rsid w:val="0041213E"/>
    <w:rsid w:val="00412432"/>
    <w:rsid w:val="00412603"/>
    <w:rsid w:val="00412606"/>
    <w:rsid w:val="00412748"/>
    <w:rsid w:val="00412973"/>
    <w:rsid w:val="004129E7"/>
    <w:rsid w:val="00412A79"/>
    <w:rsid w:val="00412D42"/>
    <w:rsid w:val="00412DA4"/>
    <w:rsid w:val="00412EB6"/>
    <w:rsid w:val="0041351F"/>
    <w:rsid w:val="0041359B"/>
    <w:rsid w:val="004137C8"/>
    <w:rsid w:val="00413BF9"/>
    <w:rsid w:val="00413C25"/>
    <w:rsid w:val="00413CE7"/>
    <w:rsid w:val="00413E38"/>
    <w:rsid w:val="00414013"/>
    <w:rsid w:val="0041401B"/>
    <w:rsid w:val="00414033"/>
    <w:rsid w:val="00414507"/>
    <w:rsid w:val="004148D0"/>
    <w:rsid w:val="00414ACE"/>
    <w:rsid w:val="00414B6F"/>
    <w:rsid w:val="00414D7D"/>
    <w:rsid w:val="004153DA"/>
    <w:rsid w:val="00415492"/>
    <w:rsid w:val="00415531"/>
    <w:rsid w:val="004157E7"/>
    <w:rsid w:val="00415AC1"/>
    <w:rsid w:val="00415CD2"/>
    <w:rsid w:val="00415D49"/>
    <w:rsid w:val="00415D8A"/>
    <w:rsid w:val="00416330"/>
    <w:rsid w:val="0041642D"/>
    <w:rsid w:val="004166F2"/>
    <w:rsid w:val="00416C2F"/>
    <w:rsid w:val="00416FA9"/>
    <w:rsid w:val="004171A7"/>
    <w:rsid w:val="0041736B"/>
    <w:rsid w:val="00417627"/>
    <w:rsid w:val="004176C7"/>
    <w:rsid w:val="00417877"/>
    <w:rsid w:val="00417BB3"/>
    <w:rsid w:val="00417D9F"/>
    <w:rsid w:val="00417E9D"/>
    <w:rsid w:val="00420229"/>
    <w:rsid w:val="00420A14"/>
    <w:rsid w:val="00420B17"/>
    <w:rsid w:val="00420B4E"/>
    <w:rsid w:val="00420D45"/>
    <w:rsid w:val="00420DBA"/>
    <w:rsid w:val="00420F8D"/>
    <w:rsid w:val="004211C6"/>
    <w:rsid w:val="00421311"/>
    <w:rsid w:val="00421654"/>
    <w:rsid w:val="00421DB7"/>
    <w:rsid w:val="00422041"/>
    <w:rsid w:val="0042212B"/>
    <w:rsid w:val="00422271"/>
    <w:rsid w:val="004223B2"/>
    <w:rsid w:val="00422461"/>
    <w:rsid w:val="00422891"/>
    <w:rsid w:val="00422915"/>
    <w:rsid w:val="00422973"/>
    <w:rsid w:val="00422AFA"/>
    <w:rsid w:val="00422D34"/>
    <w:rsid w:val="00422E13"/>
    <w:rsid w:val="00422EBF"/>
    <w:rsid w:val="00422FA8"/>
    <w:rsid w:val="00422FCA"/>
    <w:rsid w:val="0042319B"/>
    <w:rsid w:val="00423295"/>
    <w:rsid w:val="0042350F"/>
    <w:rsid w:val="00423599"/>
    <w:rsid w:val="0042374C"/>
    <w:rsid w:val="0042384C"/>
    <w:rsid w:val="00423893"/>
    <w:rsid w:val="00423BC9"/>
    <w:rsid w:val="0042417F"/>
    <w:rsid w:val="00424BAE"/>
    <w:rsid w:val="00424FE1"/>
    <w:rsid w:val="004252B6"/>
    <w:rsid w:val="004255B4"/>
    <w:rsid w:val="0042586C"/>
    <w:rsid w:val="004258B5"/>
    <w:rsid w:val="00426495"/>
    <w:rsid w:val="004266F9"/>
    <w:rsid w:val="00426766"/>
    <w:rsid w:val="004267D0"/>
    <w:rsid w:val="00426ACF"/>
    <w:rsid w:val="004271A2"/>
    <w:rsid w:val="004275C3"/>
    <w:rsid w:val="004276C4"/>
    <w:rsid w:val="004279CA"/>
    <w:rsid w:val="00427A82"/>
    <w:rsid w:val="00427B1C"/>
    <w:rsid w:val="00427EA2"/>
    <w:rsid w:val="00430115"/>
    <w:rsid w:val="00430428"/>
    <w:rsid w:val="00430A4B"/>
    <w:rsid w:val="00430BD2"/>
    <w:rsid w:val="00430F7C"/>
    <w:rsid w:val="004313E5"/>
    <w:rsid w:val="00431689"/>
    <w:rsid w:val="00431732"/>
    <w:rsid w:val="00431C46"/>
    <w:rsid w:val="00431FEA"/>
    <w:rsid w:val="00432003"/>
    <w:rsid w:val="0043200F"/>
    <w:rsid w:val="0043202C"/>
    <w:rsid w:val="004323E8"/>
    <w:rsid w:val="0043279D"/>
    <w:rsid w:val="004327E6"/>
    <w:rsid w:val="004327F1"/>
    <w:rsid w:val="004328C1"/>
    <w:rsid w:val="004329DC"/>
    <w:rsid w:val="00432A28"/>
    <w:rsid w:val="00432AC6"/>
    <w:rsid w:val="00432DA0"/>
    <w:rsid w:val="00433113"/>
    <w:rsid w:val="004331AE"/>
    <w:rsid w:val="004333AB"/>
    <w:rsid w:val="004336A5"/>
    <w:rsid w:val="00433CD6"/>
    <w:rsid w:val="0043425D"/>
    <w:rsid w:val="0043438F"/>
    <w:rsid w:val="00434439"/>
    <w:rsid w:val="00434807"/>
    <w:rsid w:val="00434ABA"/>
    <w:rsid w:val="00434C5E"/>
    <w:rsid w:val="004353C4"/>
    <w:rsid w:val="004353E4"/>
    <w:rsid w:val="00435765"/>
    <w:rsid w:val="0043583F"/>
    <w:rsid w:val="00435DFA"/>
    <w:rsid w:val="00435EDF"/>
    <w:rsid w:val="004360B6"/>
    <w:rsid w:val="004362E5"/>
    <w:rsid w:val="0043631D"/>
    <w:rsid w:val="00436356"/>
    <w:rsid w:val="004365E0"/>
    <w:rsid w:val="0043667A"/>
    <w:rsid w:val="00436759"/>
    <w:rsid w:val="00436FF8"/>
    <w:rsid w:val="004372A4"/>
    <w:rsid w:val="00437B30"/>
    <w:rsid w:val="00437BD4"/>
    <w:rsid w:val="00437D6E"/>
    <w:rsid w:val="00437F8A"/>
    <w:rsid w:val="00440722"/>
    <w:rsid w:val="00440817"/>
    <w:rsid w:val="00440A2B"/>
    <w:rsid w:val="00440D12"/>
    <w:rsid w:val="004414F3"/>
    <w:rsid w:val="004416AA"/>
    <w:rsid w:val="00441A92"/>
    <w:rsid w:val="00441BBB"/>
    <w:rsid w:val="00441DA2"/>
    <w:rsid w:val="00442472"/>
    <w:rsid w:val="004425D9"/>
    <w:rsid w:val="00442CA7"/>
    <w:rsid w:val="00442D66"/>
    <w:rsid w:val="00443244"/>
    <w:rsid w:val="004433F2"/>
    <w:rsid w:val="00443579"/>
    <w:rsid w:val="00443744"/>
    <w:rsid w:val="004437C2"/>
    <w:rsid w:val="004439CC"/>
    <w:rsid w:val="00443AE0"/>
    <w:rsid w:val="00444136"/>
    <w:rsid w:val="004449ED"/>
    <w:rsid w:val="00444AF6"/>
    <w:rsid w:val="00444ECD"/>
    <w:rsid w:val="0044519D"/>
    <w:rsid w:val="0044528C"/>
    <w:rsid w:val="00445418"/>
    <w:rsid w:val="00445544"/>
    <w:rsid w:val="00445C0B"/>
    <w:rsid w:val="00445C87"/>
    <w:rsid w:val="00445EB7"/>
    <w:rsid w:val="00446194"/>
    <w:rsid w:val="00446195"/>
    <w:rsid w:val="0044651D"/>
    <w:rsid w:val="00446676"/>
    <w:rsid w:val="0044694D"/>
    <w:rsid w:val="00446D92"/>
    <w:rsid w:val="00446DD6"/>
    <w:rsid w:val="00447372"/>
    <w:rsid w:val="00447553"/>
    <w:rsid w:val="004476A1"/>
    <w:rsid w:val="004476D5"/>
    <w:rsid w:val="0044794D"/>
    <w:rsid w:val="004479AF"/>
    <w:rsid w:val="00447CD0"/>
    <w:rsid w:val="00447EE3"/>
    <w:rsid w:val="00447F09"/>
    <w:rsid w:val="00447FC2"/>
    <w:rsid w:val="00450098"/>
    <w:rsid w:val="004502F4"/>
    <w:rsid w:val="00450399"/>
    <w:rsid w:val="004506F4"/>
    <w:rsid w:val="00450717"/>
    <w:rsid w:val="004509CA"/>
    <w:rsid w:val="004509D1"/>
    <w:rsid w:val="004509E4"/>
    <w:rsid w:val="00450A42"/>
    <w:rsid w:val="00450A51"/>
    <w:rsid w:val="00450BE7"/>
    <w:rsid w:val="00450EF0"/>
    <w:rsid w:val="004513A5"/>
    <w:rsid w:val="004518DA"/>
    <w:rsid w:val="00451A18"/>
    <w:rsid w:val="00451D50"/>
    <w:rsid w:val="00451D8F"/>
    <w:rsid w:val="00451DCA"/>
    <w:rsid w:val="00451DCC"/>
    <w:rsid w:val="00451EFE"/>
    <w:rsid w:val="00452010"/>
    <w:rsid w:val="0045290F"/>
    <w:rsid w:val="00452EC4"/>
    <w:rsid w:val="0045305F"/>
    <w:rsid w:val="0045314F"/>
    <w:rsid w:val="00453247"/>
    <w:rsid w:val="00453340"/>
    <w:rsid w:val="004533AE"/>
    <w:rsid w:val="004534AC"/>
    <w:rsid w:val="00453775"/>
    <w:rsid w:val="00453890"/>
    <w:rsid w:val="004540CE"/>
    <w:rsid w:val="00454299"/>
    <w:rsid w:val="00454380"/>
    <w:rsid w:val="00454460"/>
    <w:rsid w:val="00454597"/>
    <w:rsid w:val="0045462A"/>
    <w:rsid w:val="0045470C"/>
    <w:rsid w:val="0045471C"/>
    <w:rsid w:val="004549D7"/>
    <w:rsid w:val="00454B1B"/>
    <w:rsid w:val="004552C8"/>
    <w:rsid w:val="0045536C"/>
    <w:rsid w:val="004555FB"/>
    <w:rsid w:val="00455A07"/>
    <w:rsid w:val="00455AEB"/>
    <w:rsid w:val="00455E35"/>
    <w:rsid w:val="00455EC0"/>
    <w:rsid w:val="00456005"/>
    <w:rsid w:val="0045603B"/>
    <w:rsid w:val="0045603C"/>
    <w:rsid w:val="00456053"/>
    <w:rsid w:val="00456068"/>
    <w:rsid w:val="00456369"/>
    <w:rsid w:val="00456482"/>
    <w:rsid w:val="00456896"/>
    <w:rsid w:val="00456ADA"/>
    <w:rsid w:val="00456B0D"/>
    <w:rsid w:val="00457135"/>
    <w:rsid w:val="0045770D"/>
    <w:rsid w:val="0045790F"/>
    <w:rsid w:val="0045798A"/>
    <w:rsid w:val="00457A37"/>
    <w:rsid w:val="00457D63"/>
    <w:rsid w:val="00457E21"/>
    <w:rsid w:val="00457E97"/>
    <w:rsid w:val="0046007E"/>
    <w:rsid w:val="0046024B"/>
    <w:rsid w:val="00460AF3"/>
    <w:rsid w:val="00460D8E"/>
    <w:rsid w:val="00460E36"/>
    <w:rsid w:val="00460E55"/>
    <w:rsid w:val="00461155"/>
    <w:rsid w:val="004614FC"/>
    <w:rsid w:val="00461789"/>
    <w:rsid w:val="00461F3C"/>
    <w:rsid w:val="0046218C"/>
    <w:rsid w:val="0046225C"/>
    <w:rsid w:val="004623D4"/>
    <w:rsid w:val="0046280F"/>
    <w:rsid w:val="00462888"/>
    <w:rsid w:val="0046293F"/>
    <w:rsid w:val="0046295F"/>
    <w:rsid w:val="004630A7"/>
    <w:rsid w:val="00463944"/>
    <w:rsid w:val="00463A8F"/>
    <w:rsid w:val="00463BA8"/>
    <w:rsid w:val="00463BCA"/>
    <w:rsid w:val="00464080"/>
    <w:rsid w:val="00464203"/>
    <w:rsid w:val="004644F7"/>
    <w:rsid w:val="004647AF"/>
    <w:rsid w:val="00464CB0"/>
    <w:rsid w:val="00464CD2"/>
    <w:rsid w:val="00464F0B"/>
    <w:rsid w:val="0046512A"/>
    <w:rsid w:val="00465234"/>
    <w:rsid w:val="00465B24"/>
    <w:rsid w:val="0046605D"/>
    <w:rsid w:val="00466858"/>
    <w:rsid w:val="0046698C"/>
    <w:rsid w:val="00466A5B"/>
    <w:rsid w:val="00466D0F"/>
    <w:rsid w:val="0046718B"/>
    <w:rsid w:val="0046732A"/>
    <w:rsid w:val="00467544"/>
    <w:rsid w:val="004676BA"/>
    <w:rsid w:val="0046784C"/>
    <w:rsid w:val="004678C0"/>
    <w:rsid w:val="00467B7E"/>
    <w:rsid w:val="00467ECB"/>
    <w:rsid w:val="0047037F"/>
    <w:rsid w:val="00470C9D"/>
    <w:rsid w:val="004710C3"/>
    <w:rsid w:val="004711EE"/>
    <w:rsid w:val="004712B6"/>
    <w:rsid w:val="00471459"/>
    <w:rsid w:val="00471895"/>
    <w:rsid w:val="0047197D"/>
    <w:rsid w:val="00471BBE"/>
    <w:rsid w:val="00471C74"/>
    <w:rsid w:val="00471EF8"/>
    <w:rsid w:val="004721D9"/>
    <w:rsid w:val="00472274"/>
    <w:rsid w:val="004722B0"/>
    <w:rsid w:val="004722D4"/>
    <w:rsid w:val="0047278F"/>
    <w:rsid w:val="00472AD0"/>
    <w:rsid w:val="00472D9C"/>
    <w:rsid w:val="00472DFB"/>
    <w:rsid w:val="0047321D"/>
    <w:rsid w:val="00473542"/>
    <w:rsid w:val="004736A8"/>
    <w:rsid w:val="004737CB"/>
    <w:rsid w:val="00473A58"/>
    <w:rsid w:val="00473B60"/>
    <w:rsid w:val="00473E26"/>
    <w:rsid w:val="004740DA"/>
    <w:rsid w:val="00474329"/>
    <w:rsid w:val="00474888"/>
    <w:rsid w:val="0047489A"/>
    <w:rsid w:val="00474FB1"/>
    <w:rsid w:val="00475873"/>
    <w:rsid w:val="00475943"/>
    <w:rsid w:val="00475952"/>
    <w:rsid w:val="00475ACE"/>
    <w:rsid w:val="00475AFF"/>
    <w:rsid w:val="00475D30"/>
    <w:rsid w:val="00475F0C"/>
    <w:rsid w:val="0047614E"/>
    <w:rsid w:val="00476385"/>
    <w:rsid w:val="004765F4"/>
    <w:rsid w:val="004766F7"/>
    <w:rsid w:val="00476869"/>
    <w:rsid w:val="00476B4D"/>
    <w:rsid w:val="00476CBC"/>
    <w:rsid w:val="00476E6C"/>
    <w:rsid w:val="00476FD0"/>
    <w:rsid w:val="0047700F"/>
    <w:rsid w:val="00477282"/>
    <w:rsid w:val="00477481"/>
    <w:rsid w:val="00477947"/>
    <w:rsid w:val="00477961"/>
    <w:rsid w:val="00477D37"/>
    <w:rsid w:val="00477D3F"/>
    <w:rsid w:val="00477E3B"/>
    <w:rsid w:val="00477EE9"/>
    <w:rsid w:val="004800D7"/>
    <w:rsid w:val="004806A9"/>
    <w:rsid w:val="00480888"/>
    <w:rsid w:val="00480E6A"/>
    <w:rsid w:val="00480E7D"/>
    <w:rsid w:val="00480FA1"/>
    <w:rsid w:val="0048101B"/>
    <w:rsid w:val="00481848"/>
    <w:rsid w:val="00481A89"/>
    <w:rsid w:val="00481D54"/>
    <w:rsid w:val="00481FD7"/>
    <w:rsid w:val="004820A8"/>
    <w:rsid w:val="0048212C"/>
    <w:rsid w:val="0048219B"/>
    <w:rsid w:val="0048279A"/>
    <w:rsid w:val="004827B2"/>
    <w:rsid w:val="00482800"/>
    <w:rsid w:val="00482DE5"/>
    <w:rsid w:val="00483266"/>
    <w:rsid w:val="0048352E"/>
    <w:rsid w:val="00483653"/>
    <w:rsid w:val="004836A9"/>
    <w:rsid w:val="004839C1"/>
    <w:rsid w:val="00483B23"/>
    <w:rsid w:val="00483F24"/>
    <w:rsid w:val="00483F95"/>
    <w:rsid w:val="00483FAB"/>
    <w:rsid w:val="004840D7"/>
    <w:rsid w:val="0048442C"/>
    <w:rsid w:val="00484462"/>
    <w:rsid w:val="004846F4"/>
    <w:rsid w:val="00484871"/>
    <w:rsid w:val="00484894"/>
    <w:rsid w:val="00484C23"/>
    <w:rsid w:val="00484EF9"/>
    <w:rsid w:val="00485101"/>
    <w:rsid w:val="004851BB"/>
    <w:rsid w:val="00485472"/>
    <w:rsid w:val="00485C26"/>
    <w:rsid w:val="00485EC0"/>
    <w:rsid w:val="00486159"/>
    <w:rsid w:val="00486FC6"/>
    <w:rsid w:val="004875D9"/>
    <w:rsid w:val="004875E1"/>
    <w:rsid w:val="00487606"/>
    <w:rsid w:val="00487724"/>
    <w:rsid w:val="004879B4"/>
    <w:rsid w:val="00487B37"/>
    <w:rsid w:val="00487DA5"/>
    <w:rsid w:val="00487DDF"/>
    <w:rsid w:val="00487E3F"/>
    <w:rsid w:val="00490096"/>
    <w:rsid w:val="00490260"/>
    <w:rsid w:val="004905A5"/>
    <w:rsid w:val="00490636"/>
    <w:rsid w:val="00490B11"/>
    <w:rsid w:val="00490FF0"/>
    <w:rsid w:val="004910FE"/>
    <w:rsid w:val="00491198"/>
    <w:rsid w:val="004916D2"/>
    <w:rsid w:val="00491706"/>
    <w:rsid w:val="004917E0"/>
    <w:rsid w:val="00491A60"/>
    <w:rsid w:val="00491BB7"/>
    <w:rsid w:val="00491BF6"/>
    <w:rsid w:val="00491FED"/>
    <w:rsid w:val="00492443"/>
    <w:rsid w:val="00492704"/>
    <w:rsid w:val="00492785"/>
    <w:rsid w:val="004929FA"/>
    <w:rsid w:val="00492AD5"/>
    <w:rsid w:val="00492F77"/>
    <w:rsid w:val="00492F82"/>
    <w:rsid w:val="00493127"/>
    <w:rsid w:val="0049325A"/>
    <w:rsid w:val="00493294"/>
    <w:rsid w:val="0049342F"/>
    <w:rsid w:val="00493490"/>
    <w:rsid w:val="004943C2"/>
    <w:rsid w:val="00494547"/>
    <w:rsid w:val="00494769"/>
    <w:rsid w:val="00494918"/>
    <w:rsid w:val="00494B9F"/>
    <w:rsid w:val="00494C65"/>
    <w:rsid w:val="00494F0C"/>
    <w:rsid w:val="0049522D"/>
    <w:rsid w:val="0049535F"/>
    <w:rsid w:val="00495557"/>
    <w:rsid w:val="0049560B"/>
    <w:rsid w:val="004958E8"/>
    <w:rsid w:val="00495B84"/>
    <w:rsid w:val="00495DD5"/>
    <w:rsid w:val="00495F52"/>
    <w:rsid w:val="00495F76"/>
    <w:rsid w:val="0049618D"/>
    <w:rsid w:val="004965EF"/>
    <w:rsid w:val="004966D9"/>
    <w:rsid w:val="00496A76"/>
    <w:rsid w:val="00496DD6"/>
    <w:rsid w:val="0049719D"/>
    <w:rsid w:val="004973D8"/>
    <w:rsid w:val="00497474"/>
    <w:rsid w:val="00497D65"/>
    <w:rsid w:val="00497FCD"/>
    <w:rsid w:val="004A000D"/>
    <w:rsid w:val="004A01B1"/>
    <w:rsid w:val="004A0368"/>
    <w:rsid w:val="004A04A6"/>
    <w:rsid w:val="004A0891"/>
    <w:rsid w:val="004A095C"/>
    <w:rsid w:val="004A0C7A"/>
    <w:rsid w:val="004A0D1E"/>
    <w:rsid w:val="004A0E66"/>
    <w:rsid w:val="004A0EEC"/>
    <w:rsid w:val="004A0F42"/>
    <w:rsid w:val="004A130F"/>
    <w:rsid w:val="004A17EF"/>
    <w:rsid w:val="004A1BDA"/>
    <w:rsid w:val="004A1D73"/>
    <w:rsid w:val="004A1FE4"/>
    <w:rsid w:val="004A22DA"/>
    <w:rsid w:val="004A2540"/>
    <w:rsid w:val="004A2700"/>
    <w:rsid w:val="004A3345"/>
    <w:rsid w:val="004A336B"/>
    <w:rsid w:val="004A356A"/>
    <w:rsid w:val="004A35DE"/>
    <w:rsid w:val="004A362B"/>
    <w:rsid w:val="004A36C8"/>
    <w:rsid w:val="004A3721"/>
    <w:rsid w:val="004A3742"/>
    <w:rsid w:val="004A37B8"/>
    <w:rsid w:val="004A3CC2"/>
    <w:rsid w:val="004A3D0C"/>
    <w:rsid w:val="004A3ED3"/>
    <w:rsid w:val="004A451E"/>
    <w:rsid w:val="004A45A0"/>
    <w:rsid w:val="004A47BC"/>
    <w:rsid w:val="004A4AC6"/>
    <w:rsid w:val="004A4B32"/>
    <w:rsid w:val="004A4C48"/>
    <w:rsid w:val="004A5535"/>
    <w:rsid w:val="004A5839"/>
    <w:rsid w:val="004A5D36"/>
    <w:rsid w:val="004A5D7A"/>
    <w:rsid w:val="004A602F"/>
    <w:rsid w:val="004A63B3"/>
    <w:rsid w:val="004A6B49"/>
    <w:rsid w:val="004A6F6E"/>
    <w:rsid w:val="004A7478"/>
    <w:rsid w:val="004A78C6"/>
    <w:rsid w:val="004B010A"/>
    <w:rsid w:val="004B0308"/>
    <w:rsid w:val="004B0704"/>
    <w:rsid w:val="004B0957"/>
    <w:rsid w:val="004B1199"/>
    <w:rsid w:val="004B12EE"/>
    <w:rsid w:val="004B16C4"/>
    <w:rsid w:val="004B17C9"/>
    <w:rsid w:val="004B1867"/>
    <w:rsid w:val="004B18BA"/>
    <w:rsid w:val="004B1B9A"/>
    <w:rsid w:val="004B1DF7"/>
    <w:rsid w:val="004B1F00"/>
    <w:rsid w:val="004B29C6"/>
    <w:rsid w:val="004B2A64"/>
    <w:rsid w:val="004B2B9A"/>
    <w:rsid w:val="004B2D02"/>
    <w:rsid w:val="004B2F76"/>
    <w:rsid w:val="004B399F"/>
    <w:rsid w:val="004B3BDC"/>
    <w:rsid w:val="004B3C7C"/>
    <w:rsid w:val="004B3F0A"/>
    <w:rsid w:val="004B3F8A"/>
    <w:rsid w:val="004B41DA"/>
    <w:rsid w:val="004B470D"/>
    <w:rsid w:val="004B4764"/>
    <w:rsid w:val="004B4771"/>
    <w:rsid w:val="004B4846"/>
    <w:rsid w:val="004B4A12"/>
    <w:rsid w:val="004B4F05"/>
    <w:rsid w:val="004B5394"/>
    <w:rsid w:val="004B571A"/>
    <w:rsid w:val="004B582E"/>
    <w:rsid w:val="004B5BDD"/>
    <w:rsid w:val="004B6028"/>
    <w:rsid w:val="004B6131"/>
    <w:rsid w:val="004B61B9"/>
    <w:rsid w:val="004B66B0"/>
    <w:rsid w:val="004B6B88"/>
    <w:rsid w:val="004B6BF7"/>
    <w:rsid w:val="004B6E9E"/>
    <w:rsid w:val="004B6F47"/>
    <w:rsid w:val="004B6F6C"/>
    <w:rsid w:val="004B6F83"/>
    <w:rsid w:val="004B71E3"/>
    <w:rsid w:val="004B73D9"/>
    <w:rsid w:val="004B7C29"/>
    <w:rsid w:val="004C04D6"/>
    <w:rsid w:val="004C06E5"/>
    <w:rsid w:val="004C0D71"/>
    <w:rsid w:val="004C0DFB"/>
    <w:rsid w:val="004C0E04"/>
    <w:rsid w:val="004C0FA4"/>
    <w:rsid w:val="004C1B7D"/>
    <w:rsid w:val="004C1E3C"/>
    <w:rsid w:val="004C1EF1"/>
    <w:rsid w:val="004C1F65"/>
    <w:rsid w:val="004C25F0"/>
    <w:rsid w:val="004C26D3"/>
    <w:rsid w:val="004C26DD"/>
    <w:rsid w:val="004C2B5D"/>
    <w:rsid w:val="004C2B98"/>
    <w:rsid w:val="004C2CD6"/>
    <w:rsid w:val="004C2D68"/>
    <w:rsid w:val="004C2F3B"/>
    <w:rsid w:val="004C2F56"/>
    <w:rsid w:val="004C32F3"/>
    <w:rsid w:val="004C3382"/>
    <w:rsid w:val="004C339D"/>
    <w:rsid w:val="004C33E8"/>
    <w:rsid w:val="004C3737"/>
    <w:rsid w:val="004C38D4"/>
    <w:rsid w:val="004C3C36"/>
    <w:rsid w:val="004C419D"/>
    <w:rsid w:val="004C4307"/>
    <w:rsid w:val="004C4309"/>
    <w:rsid w:val="004C43F0"/>
    <w:rsid w:val="004C49E3"/>
    <w:rsid w:val="004C4E8A"/>
    <w:rsid w:val="004C514A"/>
    <w:rsid w:val="004C529D"/>
    <w:rsid w:val="004C551F"/>
    <w:rsid w:val="004C58D1"/>
    <w:rsid w:val="004C5D08"/>
    <w:rsid w:val="004C5DBC"/>
    <w:rsid w:val="004C645A"/>
    <w:rsid w:val="004C6572"/>
    <w:rsid w:val="004C6BF3"/>
    <w:rsid w:val="004C6D4F"/>
    <w:rsid w:val="004C7541"/>
    <w:rsid w:val="004C7D76"/>
    <w:rsid w:val="004D02CA"/>
    <w:rsid w:val="004D031C"/>
    <w:rsid w:val="004D033A"/>
    <w:rsid w:val="004D06CC"/>
    <w:rsid w:val="004D12B9"/>
    <w:rsid w:val="004D1440"/>
    <w:rsid w:val="004D15F3"/>
    <w:rsid w:val="004D1604"/>
    <w:rsid w:val="004D18BF"/>
    <w:rsid w:val="004D1942"/>
    <w:rsid w:val="004D1E71"/>
    <w:rsid w:val="004D2055"/>
    <w:rsid w:val="004D23BD"/>
    <w:rsid w:val="004D23FD"/>
    <w:rsid w:val="004D247C"/>
    <w:rsid w:val="004D25FB"/>
    <w:rsid w:val="004D2825"/>
    <w:rsid w:val="004D2B0E"/>
    <w:rsid w:val="004D2CDF"/>
    <w:rsid w:val="004D2F08"/>
    <w:rsid w:val="004D3218"/>
    <w:rsid w:val="004D336E"/>
    <w:rsid w:val="004D33CE"/>
    <w:rsid w:val="004D36F9"/>
    <w:rsid w:val="004D4237"/>
    <w:rsid w:val="004D43D6"/>
    <w:rsid w:val="004D4529"/>
    <w:rsid w:val="004D4742"/>
    <w:rsid w:val="004D4A10"/>
    <w:rsid w:val="004D4A58"/>
    <w:rsid w:val="004D4AAE"/>
    <w:rsid w:val="004D4F6D"/>
    <w:rsid w:val="004D53A3"/>
    <w:rsid w:val="004D5716"/>
    <w:rsid w:val="004D581C"/>
    <w:rsid w:val="004D5CA4"/>
    <w:rsid w:val="004D6108"/>
    <w:rsid w:val="004D6135"/>
    <w:rsid w:val="004D66CB"/>
    <w:rsid w:val="004D740C"/>
    <w:rsid w:val="004D7659"/>
    <w:rsid w:val="004D7956"/>
    <w:rsid w:val="004D7C86"/>
    <w:rsid w:val="004D7CFE"/>
    <w:rsid w:val="004D7E0A"/>
    <w:rsid w:val="004E0197"/>
    <w:rsid w:val="004E026E"/>
    <w:rsid w:val="004E0426"/>
    <w:rsid w:val="004E0C22"/>
    <w:rsid w:val="004E0E92"/>
    <w:rsid w:val="004E1122"/>
    <w:rsid w:val="004E1293"/>
    <w:rsid w:val="004E13D3"/>
    <w:rsid w:val="004E1409"/>
    <w:rsid w:val="004E174F"/>
    <w:rsid w:val="004E1A87"/>
    <w:rsid w:val="004E1BB0"/>
    <w:rsid w:val="004E1C67"/>
    <w:rsid w:val="004E1D0C"/>
    <w:rsid w:val="004E1D8E"/>
    <w:rsid w:val="004E1F06"/>
    <w:rsid w:val="004E2254"/>
    <w:rsid w:val="004E2280"/>
    <w:rsid w:val="004E2801"/>
    <w:rsid w:val="004E2A1E"/>
    <w:rsid w:val="004E2CA1"/>
    <w:rsid w:val="004E2D7C"/>
    <w:rsid w:val="004E3030"/>
    <w:rsid w:val="004E3311"/>
    <w:rsid w:val="004E346E"/>
    <w:rsid w:val="004E34B5"/>
    <w:rsid w:val="004E3656"/>
    <w:rsid w:val="004E36EC"/>
    <w:rsid w:val="004E38EC"/>
    <w:rsid w:val="004E3933"/>
    <w:rsid w:val="004E3DBC"/>
    <w:rsid w:val="004E40F0"/>
    <w:rsid w:val="004E4135"/>
    <w:rsid w:val="004E4549"/>
    <w:rsid w:val="004E49FF"/>
    <w:rsid w:val="004E4BA7"/>
    <w:rsid w:val="004E4C16"/>
    <w:rsid w:val="004E4C83"/>
    <w:rsid w:val="004E4CE1"/>
    <w:rsid w:val="004E4D53"/>
    <w:rsid w:val="004E4D70"/>
    <w:rsid w:val="004E4D84"/>
    <w:rsid w:val="004E4EBC"/>
    <w:rsid w:val="004E4F3C"/>
    <w:rsid w:val="004E5104"/>
    <w:rsid w:val="004E5716"/>
    <w:rsid w:val="004E5B06"/>
    <w:rsid w:val="004E5BEF"/>
    <w:rsid w:val="004E5C4E"/>
    <w:rsid w:val="004E5D9B"/>
    <w:rsid w:val="004E5FA8"/>
    <w:rsid w:val="004E684C"/>
    <w:rsid w:val="004E6BF2"/>
    <w:rsid w:val="004E6FF1"/>
    <w:rsid w:val="004E71A9"/>
    <w:rsid w:val="004E754E"/>
    <w:rsid w:val="004E75FA"/>
    <w:rsid w:val="004E76DB"/>
    <w:rsid w:val="004E778E"/>
    <w:rsid w:val="004E78CF"/>
    <w:rsid w:val="004E79AA"/>
    <w:rsid w:val="004E7E42"/>
    <w:rsid w:val="004F003C"/>
    <w:rsid w:val="004F01F1"/>
    <w:rsid w:val="004F040F"/>
    <w:rsid w:val="004F05F1"/>
    <w:rsid w:val="004F07A9"/>
    <w:rsid w:val="004F0B8A"/>
    <w:rsid w:val="004F0CC5"/>
    <w:rsid w:val="004F0E39"/>
    <w:rsid w:val="004F13E7"/>
    <w:rsid w:val="004F1739"/>
    <w:rsid w:val="004F1C60"/>
    <w:rsid w:val="004F1EE6"/>
    <w:rsid w:val="004F1F90"/>
    <w:rsid w:val="004F20D4"/>
    <w:rsid w:val="004F2401"/>
    <w:rsid w:val="004F2873"/>
    <w:rsid w:val="004F28F1"/>
    <w:rsid w:val="004F2A14"/>
    <w:rsid w:val="004F2A44"/>
    <w:rsid w:val="004F2DAD"/>
    <w:rsid w:val="004F2EA9"/>
    <w:rsid w:val="004F2FFA"/>
    <w:rsid w:val="004F32FA"/>
    <w:rsid w:val="004F3429"/>
    <w:rsid w:val="004F34F7"/>
    <w:rsid w:val="004F3642"/>
    <w:rsid w:val="004F3F57"/>
    <w:rsid w:val="004F3FC6"/>
    <w:rsid w:val="004F455E"/>
    <w:rsid w:val="004F46F8"/>
    <w:rsid w:val="004F47D4"/>
    <w:rsid w:val="004F4815"/>
    <w:rsid w:val="004F487F"/>
    <w:rsid w:val="004F48FE"/>
    <w:rsid w:val="004F4A24"/>
    <w:rsid w:val="004F4B71"/>
    <w:rsid w:val="004F4EB1"/>
    <w:rsid w:val="004F4FDC"/>
    <w:rsid w:val="004F53DE"/>
    <w:rsid w:val="004F5500"/>
    <w:rsid w:val="004F55D6"/>
    <w:rsid w:val="004F565A"/>
    <w:rsid w:val="004F571B"/>
    <w:rsid w:val="004F5A29"/>
    <w:rsid w:val="004F64EB"/>
    <w:rsid w:val="004F6BE9"/>
    <w:rsid w:val="004F6C67"/>
    <w:rsid w:val="004F6C82"/>
    <w:rsid w:val="004F6DAE"/>
    <w:rsid w:val="004F6DC8"/>
    <w:rsid w:val="004F6FF3"/>
    <w:rsid w:val="004F7309"/>
    <w:rsid w:val="004F755D"/>
    <w:rsid w:val="004F7591"/>
    <w:rsid w:val="004F798C"/>
    <w:rsid w:val="004F7A74"/>
    <w:rsid w:val="004F7F9B"/>
    <w:rsid w:val="005000C5"/>
    <w:rsid w:val="005001F3"/>
    <w:rsid w:val="00500250"/>
    <w:rsid w:val="00500264"/>
    <w:rsid w:val="00500330"/>
    <w:rsid w:val="0050060E"/>
    <w:rsid w:val="00500824"/>
    <w:rsid w:val="00500977"/>
    <w:rsid w:val="00500C4E"/>
    <w:rsid w:val="00500DAB"/>
    <w:rsid w:val="00500E3A"/>
    <w:rsid w:val="0050113F"/>
    <w:rsid w:val="00501144"/>
    <w:rsid w:val="0050130A"/>
    <w:rsid w:val="005013C3"/>
    <w:rsid w:val="005013EF"/>
    <w:rsid w:val="00501599"/>
    <w:rsid w:val="005019E0"/>
    <w:rsid w:val="00501A33"/>
    <w:rsid w:val="00502070"/>
    <w:rsid w:val="0050211F"/>
    <w:rsid w:val="0050217A"/>
    <w:rsid w:val="005022E7"/>
    <w:rsid w:val="00502629"/>
    <w:rsid w:val="005028BC"/>
    <w:rsid w:val="00502A93"/>
    <w:rsid w:val="005030FB"/>
    <w:rsid w:val="00503347"/>
    <w:rsid w:val="005034C2"/>
    <w:rsid w:val="00503B74"/>
    <w:rsid w:val="00503EF6"/>
    <w:rsid w:val="005040B6"/>
    <w:rsid w:val="00504888"/>
    <w:rsid w:val="00504CBC"/>
    <w:rsid w:val="00505779"/>
    <w:rsid w:val="00505E6F"/>
    <w:rsid w:val="00505F93"/>
    <w:rsid w:val="00506083"/>
    <w:rsid w:val="005064A7"/>
    <w:rsid w:val="00506778"/>
    <w:rsid w:val="005068D6"/>
    <w:rsid w:val="00506B86"/>
    <w:rsid w:val="00506EEC"/>
    <w:rsid w:val="00506F91"/>
    <w:rsid w:val="00506FD4"/>
    <w:rsid w:val="00507D2A"/>
    <w:rsid w:val="005103F4"/>
    <w:rsid w:val="0051049D"/>
    <w:rsid w:val="005104A6"/>
    <w:rsid w:val="0051051C"/>
    <w:rsid w:val="005107FF"/>
    <w:rsid w:val="00510C73"/>
    <w:rsid w:val="00510CBC"/>
    <w:rsid w:val="0051102D"/>
    <w:rsid w:val="005112A5"/>
    <w:rsid w:val="0051152A"/>
    <w:rsid w:val="00511977"/>
    <w:rsid w:val="00511F48"/>
    <w:rsid w:val="00512103"/>
    <w:rsid w:val="00512448"/>
    <w:rsid w:val="0051253A"/>
    <w:rsid w:val="00512658"/>
    <w:rsid w:val="0051266C"/>
    <w:rsid w:val="00512930"/>
    <w:rsid w:val="00512E5A"/>
    <w:rsid w:val="00512EDC"/>
    <w:rsid w:val="0051355D"/>
    <w:rsid w:val="0051380B"/>
    <w:rsid w:val="00513916"/>
    <w:rsid w:val="00513969"/>
    <w:rsid w:val="005139DB"/>
    <w:rsid w:val="00513B72"/>
    <w:rsid w:val="00513F8D"/>
    <w:rsid w:val="00514490"/>
    <w:rsid w:val="00514951"/>
    <w:rsid w:val="00514DDB"/>
    <w:rsid w:val="00515277"/>
    <w:rsid w:val="005157D5"/>
    <w:rsid w:val="005158C2"/>
    <w:rsid w:val="00515900"/>
    <w:rsid w:val="00515A5E"/>
    <w:rsid w:val="00515C0A"/>
    <w:rsid w:val="00515DCB"/>
    <w:rsid w:val="00515E14"/>
    <w:rsid w:val="00515F80"/>
    <w:rsid w:val="00516070"/>
    <w:rsid w:val="00516372"/>
    <w:rsid w:val="005166F9"/>
    <w:rsid w:val="005167C0"/>
    <w:rsid w:val="005168DE"/>
    <w:rsid w:val="005169DE"/>
    <w:rsid w:val="00516A30"/>
    <w:rsid w:val="00516AC9"/>
    <w:rsid w:val="00516BAF"/>
    <w:rsid w:val="00516D4B"/>
    <w:rsid w:val="0051728F"/>
    <w:rsid w:val="005172F0"/>
    <w:rsid w:val="00517525"/>
    <w:rsid w:val="0051754D"/>
    <w:rsid w:val="005177A4"/>
    <w:rsid w:val="0051785D"/>
    <w:rsid w:val="0051787F"/>
    <w:rsid w:val="00517913"/>
    <w:rsid w:val="00517C2C"/>
    <w:rsid w:val="0052005F"/>
    <w:rsid w:val="005200FE"/>
    <w:rsid w:val="00520200"/>
    <w:rsid w:val="0052094D"/>
    <w:rsid w:val="00520BBD"/>
    <w:rsid w:val="00520E2D"/>
    <w:rsid w:val="00520F04"/>
    <w:rsid w:val="00521183"/>
    <w:rsid w:val="005211F6"/>
    <w:rsid w:val="00521351"/>
    <w:rsid w:val="00521389"/>
    <w:rsid w:val="0052138D"/>
    <w:rsid w:val="00521717"/>
    <w:rsid w:val="0052178A"/>
    <w:rsid w:val="00521AE3"/>
    <w:rsid w:val="00521CB4"/>
    <w:rsid w:val="00522307"/>
    <w:rsid w:val="005224B2"/>
    <w:rsid w:val="005225E4"/>
    <w:rsid w:val="00522884"/>
    <w:rsid w:val="00522C0A"/>
    <w:rsid w:val="0052368D"/>
    <w:rsid w:val="00523A47"/>
    <w:rsid w:val="00523B23"/>
    <w:rsid w:val="00523D50"/>
    <w:rsid w:val="00523DFA"/>
    <w:rsid w:val="005246DD"/>
    <w:rsid w:val="00524784"/>
    <w:rsid w:val="0052478C"/>
    <w:rsid w:val="00524D72"/>
    <w:rsid w:val="00524DB7"/>
    <w:rsid w:val="005250CA"/>
    <w:rsid w:val="00525189"/>
    <w:rsid w:val="0052538F"/>
    <w:rsid w:val="005254BC"/>
    <w:rsid w:val="005256BD"/>
    <w:rsid w:val="005256FC"/>
    <w:rsid w:val="005258BA"/>
    <w:rsid w:val="005258FB"/>
    <w:rsid w:val="0052624D"/>
    <w:rsid w:val="00526819"/>
    <w:rsid w:val="00526C27"/>
    <w:rsid w:val="00526DFF"/>
    <w:rsid w:val="005270FB"/>
    <w:rsid w:val="0052715F"/>
    <w:rsid w:val="0052737C"/>
    <w:rsid w:val="00527473"/>
    <w:rsid w:val="00527BF9"/>
    <w:rsid w:val="00527D27"/>
    <w:rsid w:val="00527E77"/>
    <w:rsid w:val="00527EF9"/>
    <w:rsid w:val="00527FBC"/>
    <w:rsid w:val="0053025B"/>
    <w:rsid w:val="00530273"/>
    <w:rsid w:val="005305FF"/>
    <w:rsid w:val="00530A74"/>
    <w:rsid w:val="00530AF1"/>
    <w:rsid w:val="00530C9B"/>
    <w:rsid w:val="00531186"/>
    <w:rsid w:val="0053173A"/>
    <w:rsid w:val="00531745"/>
    <w:rsid w:val="00531906"/>
    <w:rsid w:val="00531BD4"/>
    <w:rsid w:val="005320EF"/>
    <w:rsid w:val="005321B0"/>
    <w:rsid w:val="005321B6"/>
    <w:rsid w:val="005322AA"/>
    <w:rsid w:val="00532334"/>
    <w:rsid w:val="005324AF"/>
    <w:rsid w:val="00532516"/>
    <w:rsid w:val="005326BC"/>
    <w:rsid w:val="005328B8"/>
    <w:rsid w:val="00532C19"/>
    <w:rsid w:val="00532F50"/>
    <w:rsid w:val="005336B3"/>
    <w:rsid w:val="005338A1"/>
    <w:rsid w:val="00533D13"/>
    <w:rsid w:val="00533E14"/>
    <w:rsid w:val="0053402C"/>
    <w:rsid w:val="00534090"/>
    <w:rsid w:val="00534309"/>
    <w:rsid w:val="005347FA"/>
    <w:rsid w:val="0053497C"/>
    <w:rsid w:val="00534ABA"/>
    <w:rsid w:val="00534D56"/>
    <w:rsid w:val="00534DF1"/>
    <w:rsid w:val="00535640"/>
    <w:rsid w:val="00535866"/>
    <w:rsid w:val="00535D7C"/>
    <w:rsid w:val="00535F83"/>
    <w:rsid w:val="00535FFF"/>
    <w:rsid w:val="0053616F"/>
    <w:rsid w:val="0053647A"/>
    <w:rsid w:val="005364FA"/>
    <w:rsid w:val="005368AD"/>
    <w:rsid w:val="00536D87"/>
    <w:rsid w:val="005370BC"/>
    <w:rsid w:val="0053779D"/>
    <w:rsid w:val="005379FC"/>
    <w:rsid w:val="00537AAE"/>
    <w:rsid w:val="00537B25"/>
    <w:rsid w:val="00537B35"/>
    <w:rsid w:val="00537DE7"/>
    <w:rsid w:val="00537EC4"/>
    <w:rsid w:val="00537F4E"/>
    <w:rsid w:val="00537FE4"/>
    <w:rsid w:val="0054027D"/>
    <w:rsid w:val="00540B69"/>
    <w:rsid w:val="00541055"/>
    <w:rsid w:val="005410A7"/>
    <w:rsid w:val="005410AE"/>
    <w:rsid w:val="0054110F"/>
    <w:rsid w:val="00541222"/>
    <w:rsid w:val="0054147B"/>
    <w:rsid w:val="00541784"/>
    <w:rsid w:val="00541A8D"/>
    <w:rsid w:val="00541C28"/>
    <w:rsid w:val="00542025"/>
    <w:rsid w:val="0054235F"/>
    <w:rsid w:val="0054238D"/>
    <w:rsid w:val="00542710"/>
    <w:rsid w:val="00543727"/>
    <w:rsid w:val="00543B05"/>
    <w:rsid w:val="005440E2"/>
    <w:rsid w:val="00544161"/>
    <w:rsid w:val="0054423A"/>
    <w:rsid w:val="00544321"/>
    <w:rsid w:val="00544B65"/>
    <w:rsid w:val="00544DA0"/>
    <w:rsid w:val="005454BD"/>
    <w:rsid w:val="005454EB"/>
    <w:rsid w:val="005457E4"/>
    <w:rsid w:val="00545898"/>
    <w:rsid w:val="005458BB"/>
    <w:rsid w:val="00545945"/>
    <w:rsid w:val="00545B97"/>
    <w:rsid w:val="00545C5A"/>
    <w:rsid w:val="00545DE3"/>
    <w:rsid w:val="005461DA"/>
    <w:rsid w:val="0054636B"/>
    <w:rsid w:val="005463EF"/>
    <w:rsid w:val="005465DB"/>
    <w:rsid w:val="00546609"/>
    <w:rsid w:val="00546C49"/>
    <w:rsid w:val="00546EC7"/>
    <w:rsid w:val="00546F07"/>
    <w:rsid w:val="00546FBE"/>
    <w:rsid w:val="0054711C"/>
    <w:rsid w:val="00547CF9"/>
    <w:rsid w:val="0055010B"/>
    <w:rsid w:val="0055025F"/>
    <w:rsid w:val="005506D7"/>
    <w:rsid w:val="00550A1B"/>
    <w:rsid w:val="00550B5E"/>
    <w:rsid w:val="00550D59"/>
    <w:rsid w:val="0055110D"/>
    <w:rsid w:val="00551CCE"/>
    <w:rsid w:val="00551F81"/>
    <w:rsid w:val="0055210F"/>
    <w:rsid w:val="00552263"/>
    <w:rsid w:val="00552292"/>
    <w:rsid w:val="00552956"/>
    <w:rsid w:val="00552BD1"/>
    <w:rsid w:val="00552CD7"/>
    <w:rsid w:val="005532B0"/>
    <w:rsid w:val="005533BE"/>
    <w:rsid w:val="00553642"/>
    <w:rsid w:val="00553C6D"/>
    <w:rsid w:val="00553D0C"/>
    <w:rsid w:val="00553DB8"/>
    <w:rsid w:val="00554852"/>
    <w:rsid w:val="00554B30"/>
    <w:rsid w:val="00554FFB"/>
    <w:rsid w:val="00555006"/>
    <w:rsid w:val="0055505C"/>
    <w:rsid w:val="00555530"/>
    <w:rsid w:val="00555563"/>
    <w:rsid w:val="00555572"/>
    <w:rsid w:val="00555690"/>
    <w:rsid w:val="00555AF7"/>
    <w:rsid w:val="00555ECF"/>
    <w:rsid w:val="005561EC"/>
    <w:rsid w:val="005568DE"/>
    <w:rsid w:val="00556963"/>
    <w:rsid w:val="00556DAE"/>
    <w:rsid w:val="00556E46"/>
    <w:rsid w:val="00557217"/>
    <w:rsid w:val="00557376"/>
    <w:rsid w:val="00557383"/>
    <w:rsid w:val="005573B5"/>
    <w:rsid w:val="00557588"/>
    <w:rsid w:val="00557617"/>
    <w:rsid w:val="00557632"/>
    <w:rsid w:val="00557832"/>
    <w:rsid w:val="00557C50"/>
    <w:rsid w:val="00560335"/>
    <w:rsid w:val="0056049E"/>
    <w:rsid w:val="005606B6"/>
    <w:rsid w:val="005608D6"/>
    <w:rsid w:val="00560DC5"/>
    <w:rsid w:val="00560EE0"/>
    <w:rsid w:val="00560F19"/>
    <w:rsid w:val="00560FAA"/>
    <w:rsid w:val="00561009"/>
    <w:rsid w:val="005617F0"/>
    <w:rsid w:val="00561ACA"/>
    <w:rsid w:val="00561E6B"/>
    <w:rsid w:val="00561FBC"/>
    <w:rsid w:val="005621D2"/>
    <w:rsid w:val="005621E0"/>
    <w:rsid w:val="005622C3"/>
    <w:rsid w:val="00562D90"/>
    <w:rsid w:val="005632C2"/>
    <w:rsid w:val="00563317"/>
    <w:rsid w:val="00563A23"/>
    <w:rsid w:val="00563A5A"/>
    <w:rsid w:val="00563C61"/>
    <w:rsid w:val="00563D01"/>
    <w:rsid w:val="00563ECB"/>
    <w:rsid w:val="00563F47"/>
    <w:rsid w:val="005640BB"/>
    <w:rsid w:val="005644D5"/>
    <w:rsid w:val="0056455D"/>
    <w:rsid w:val="00564715"/>
    <w:rsid w:val="00564A28"/>
    <w:rsid w:val="00564C23"/>
    <w:rsid w:val="00565168"/>
    <w:rsid w:val="0056522D"/>
    <w:rsid w:val="00565359"/>
    <w:rsid w:val="00565406"/>
    <w:rsid w:val="00565570"/>
    <w:rsid w:val="005655AC"/>
    <w:rsid w:val="0056570F"/>
    <w:rsid w:val="005657DD"/>
    <w:rsid w:val="005659D2"/>
    <w:rsid w:val="00565B29"/>
    <w:rsid w:val="00566160"/>
    <w:rsid w:val="005664CC"/>
    <w:rsid w:val="0056664B"/>
    <w:rsid w:val="0056693A"/>
    <w:rsid w:val="00566D5A"/>
    <w:rsid w:val="005671DE"/>
    <w:rsid w:val="00567588"/>
    <w:rsid w:val="0056760F"/>
    <w:rsid w:val="00567992"/>
    <w:rsid w:val="00567C3C"/>
    <w:rsid w:val="00567F6E"/>
    <w:rsid w:val="005702F8"/>
    <w:rsid w:val="0057070E"/>
    <w:rsid w:val="00571231"/>
    <w:rsid w:val="005712F4"/>
    <w:rsid w:val="0057170F"/>
    <w:rsid w:val="00571767"/>
    <w:rsid w:val="00571AC9"/>
    <w:rsid w:val="00571E44"/>
    <w:rsid w:val="00571EB1"/>
    <w:rsid w:val="00572014"/>
    <w:rsid w:val="0057222C"/>
    <w:rsid w:val="00572786"/>
    <w:rsid w:val="00572C16"/>
    <w:rsid w:val="00572CA5"/>
    <w:rsid w:val="00572D79"/>
    <w:rsid w:val="00572E87"/>
    <w:rsid w:val="005730E6"/>
    <w:rsid w:val="00573752"/>
    <w:rsid w:val="00573E61"/>
    <w:rsid w:val="00573F05"/>
    <w:rsid w:val="00573F3F"/>
    <w:rsid w:val="0057411B"/>
    <w:rsid w:val="00574525"/>
    <w:rsid w:val="0057463A"/>
    <w:rsid w:val="00574778"/>
    <w:rsid w:val="0057495A"/>
    <w:rsid w:val="0057498F"/>
    <w:rsid w:val="00574C14"/>
    <w:rsid w:val="00574C90"/>
    <w:rsid w:val="00574DE9"/>
    <w:rsid w:val="0057594A"/>
    <w:rsid w:val="005759B0"/>
    <w:rsid w:val="00575B99"/>
    <w:rsid w:val="00575DF4"/>
    <w:rsid w:val="00575EE8"/>
    <w:rsid w:val="00576255"/>
    <w:rsid w:val="005762C5"/>
    <w:rsid w:val="005768E4"/>
    <w:rsid w:val="00576D70"/>
    <w:rsid w:val="005770F3"/>
    <w:rsid w:val="005773DC"/>
    <w:rsid w:val="0057765D"/>
    <w:rsid w:val="00577744"/>
    <w:rsid w:val="005777FC"/>
    <w:rsid w:val="005778A0"/>
    <w:rsid w:val="00580348"/>
    <w:rsid w:val="005803EE"/>
    <w:rsid w:val="005808EB"/>
    <w:rsid w:val="00580A69"/>
    <w:rsid w:val="00580C2C"/>
    <w:rsid w:val="00580CCA"/>
    <w:rsid w:val="00580D37"/>
    <w:rsid w:val="00581313"/>
    <w:rsid w:val="00581685"/>
    <w:rsid w:val="005817B3"/>
    <w:rsid w:val="00581BBC"/>
    <w:rsid w:val="00581FA0"/>
    <w:rsid w:val="00582296"/>
    <w:rsid w:val="005824E8"/>
    <w:rsid w:val="0058255E"/>
    <w:rsid w:val="00582920"/>
    <w:rsid w:val="00582B90"/>
    <w:rsid w:val="00582D0E"/>
    <w:rsid w:val="00583085"/>
    <w:rsid w:val="005830B3"/>
    <w:rsid w:val="005831A7"/>
    <w:rsid w:val="00583321"/>
    <w:rsid w:val="0058341E"/>
    <w:rsid w:val="00583587"/>
    <w:rsid w:val="00584045"/>
    <w:rsid w:val="005843C0"/>
    <w:rsid w:val="00584411"/>
    <w:rsid w:val="005845FE"/>
    <w:rsid w:val="00584605"/>
    <w:rsid w:val="0058478C"/>
    <w:rsid w:val="005848DB"/>
    <w:rsid w:val="00584BFF"/>
    <w:rsid w:val="00584F3A"/>
    <w:rsid w:val="005853AB"/>
    <w:rsid w:val="005855AF"/>
    <w:rsid w:val="00585748"/>
    <w:rsid w:val="005859C5"/>
    <w:rsid w:val="00585C79"/>
    <w:rsid w:val="00585EB2"/>
    <w:rsid w:val="00585FD0"/>
    <w:rsid w:val="00586144"/>
    <w:rsid w:val="0058675E"/>
    <w:rsid w:val="0058678D"/>
    <w:rsid w:val="00586962"/>
    <w:rsid w:val="00586E5D"/>
    <w:rsid w:val="00587225"/>
    <w:rsid w:val="0058732C"/>
    <w:rsid w:val="00587379"/>
    <w:rsid w:val="005875FA"/>
    <w:rsid w:val="00587747"/>
    <w:rsid w:val="00587785"/>
    <w:rsid w:val="0058788D"/>
    <w:rsid w:val="00587B4F"/>
    <w:rsid w:val="00587E29"/>
    <w:rsid w:val="00587FE6"/>
    <w:rsid w:val="00590723"/>
    <w:rsid w:val="00590B30"/>
    <w:rsid w:val="00590EB3"/>
    <w:rsid w:val="005912FB"/>
    <w:rsid w:val="00591698"/>
    <w:rsid w:val="00591864"/>
    <w:rsid w:val="00591A04"/>
    <w:rsid w:val="00591BC2"/>
    <w:rsid w:val="00591C10"/>
    <w:rsid w:val="00592060"/>
    <w:rsid w:val="005924A2"/>
    <w:rsid w:val="005926FE"/>
    <w:rsid w:val="0059280A"/>
    <w:rsid w:val="00592D21"/>
    <w:rsid w:val="00592E8D"/>
    <w:rsid w:val="00592F45"/>
    <w:rsid w:val="00592F68"/>
    <w:rsid w:val="00593044"/>
    <w:rsid w:val="00593496"/>
    <w:rsid w:val="005937D8"/>
    <w:rsid w:val="00593B87"/>
    <w:rsid w:val="00593C1C"/>
    <w:rsid w:val="00593D99"/>
    <w:rsid w:val="00593E94"/>
    <w:rsid w:val="00593EA1"/>
    <w:rsid w:val="00594143"/>
    <w:rsid w:val="00594543"/>
    <w:rsid w:val="00594612"/>
    <w:rsid w:val="00595514"/>
    <w:rsid w:val="00595873"/>
    <w:rsid w:val="0059595A"/>
    <w:rsid w:val="00595A1E"/>
    <w:rsid w:val="00595AAC"/>
    <w:rsid w:val="00595CDD"/>
    <w:rsid w:val="00595FC7"/>
    <w:rsid w:val="005962E7"/>
    <w:rsid w:val="005964BB"/>
    <w:rsid w:val="00596A63"/>
    <w:rsid w:val="00596A70"/>
    <w:rsid w:val="00596BD3"/>
    <w:rsid w:val="00596BE7"/>
    <w:rsid w:val="00596C3E"/>
    <w:rsid w:val="00596F00"/>
    <w:rsid w:val="005977DD"/>
    <w:rsid w:val="00597CDB"/>
    <w:rsid w:val="005A00AB"/>
    <w:rsid w:val="005A04BD"/>
    <w:rsid w:val="005A04FE"/>
    <w:rsid w:val="005A0A3F"/>
    <w:rsid w:val="005A0ACF"/>
    <w:rsid w:val="005A1141"/>
    <w:rsid w:val="005A114F"/>
    <w:rsid w:val="005A13DF"/>
    <w:rsid w:val="005A1F49"/>
    <w:rsid w:val="005A213D"/>
    <w:rsid w:val="005A2364"/>
    <w:rsid w:val="005A2368"/>
    <w:rsid w:val="005A23ED"/>
    <w:rsid w:val="005A2480"/>
    <w:rsid w:val="005A2B2C"/>
    <w:rsid w:val="005A2C04"/>
    <w:rsid w:val="005A2D6B"/>
    <w:rsid w:val="005A2FA8"/>
    <w:rsid w:val="005A3252"/>
    <w:rsid w:val="005A33F7"/>
    <w:rsid w:val="005A3590"/>
    <w:rsid w:val="005A383E"/>
    <w:rsid w:val="005A3880"/>
    <w:rsid w:val="005A3889"/>
    <w:rsid w:val="005A3C06"/>
    <w:rsid w:val="005A3D93"/>
    <w:rsid w:val="005A3DD6"/>
    <w:rsid w:val="005A406C"/>
    <w:rsid w:val="005A40CF"/>
    <w:rsid w:val="005A4744"/>
    <w:rsid w:val="005A4964"/>
    <w:rsid w:val="005A4A9C"/>
    <w:rsid w:val="005A4BAE"/>
    <w:rsid w:val="005A4C8B"/>
    <w:rsid w:val="005A4EED"/>
    <w:rsid w:val="005A4F39"/>
    <w:rsid w:val="005A53E9"/>
    <w:rsid w:val="005A544C"/>
    <w:rsid w:val="005A573E"/>
    <w:rsid w:val="005A574D"/>
    <w:rsid w:val="005A5B25"/>
    <w:rsid w:val="005A5B5C"/>
    <w:rsid w:val="005A5D4E"/>
    <w:rsid w:val="005A5F42"/>
    <w:rsid w:val="005A606F"/>
    <w:rsid w:val="005A618C"/>
    <w:rsid w:val="005A641C"/>
    <w:rsid w:val="005A6534"/>
    <w:rsid w:val="005A65D4"/>
    <w:rsid w:val="005A672D"/>
    <w:rsid w:val="005A6E93"/>
    <w:rsid w:val="005A6EFD"/>
    <w:rsid w:val="005A707A"/>
    <w:rsid w:val="005A70D7"/>
    <w:rsid w:val="005A720E"/>
    <w:rsid w:val="005A7340"/>
    <w:rsid w:val="005A78CC"/>
    <w:rsid w:val="005A7D83"/>
    <w:rsid w:val="005A7F93"/>
    <w:rsid w:val="005B07EA"/>
    <w:rsid w:val="005B0848"/>
    <w:rsid w:val="005B0A3F"/>
    <w:rsid w:val="005B0A67"/>
    <w:rsid w:val="005B0B20"/>
    <w:rsid w:val="005B0BD6"/>
    <w:rsid w:val="005B0EFB"/>
    <w:rsid w:val="005B1060"/>
    <w:rsid w:val="005B12B9"/>
    <w:rsid w:val="005B17C1"/>
    <w:rsid w:val="005B25FB"/>
    <w:rsid w:val="005B2683"/>
    <w:rsid w:val="005B335C"/>
    <w:rsid w:val="005B34E7"/>
    <w:rsid w:val="005B3737"/>
    <w:rsid w:val="005B3A42"/>
    <w:rsid w:val="005B3B67"/>
    <w:rsid w:val="005B4992"/>
    <w:rsid w:val="005B4AA5"/>
    <w:rsid w:val="005B4B7B"/>
    <w:rsid w:val="005B52FD"/>
    <w:rsid w:val="005B5361"/>
    <w:rsid w:val="005B5476"/>
    <w:rsid w:val="005B5481"/>
    <w:rsid w:val="005B558D"/>
    <w:rsid w:val="005B5826"/>
    <w:rsid w:val="005B5D40"/>
    <w:rsid w:val="005B5EFC"/>
    <w:rsid w:val="005B6412"/>
    <w:rsid w:val="005B6698"/>
    <w:rsid w:val="005B672D"/>
    <w:rsid w:val="005B68A7"/>
    <w:rsid w:val="005B6AC3"/>
    <w:rsid w:val="005B6C72"/>
    <w:rsid w:val="005B73DE"/>
    <w:rsid w:val="005B786A"/>
    <w:rsid w:val="005B79C5"/>
    <w:rsid w:val="005B7C25"/>
    <w:rsid w:val="005C0118"/>
    <w:rsid w:val="005C0377"/>
    <w:rsid w:val="005C03F4"/>
    <w:rsid w:val="005C042C"/>
    <w:rsid w:val="005C055E"/>
    <w:rsid w:val="005C0686"/>
    <w:rsid w:val="005C06E2"/>
    <w:rsid w:val="005C0894"/>
    <w:rsid w:val="005C0FA1"/>
    <w:rsid w:val="005C1615"/>
    <w:rsid w:val="005C17A0"/>
    <w:rsid w:val="005C1D74"/>
    <w:rsid w:val="005C1D98"/>
    <w:rsid w:val="005C1DA0"/>
    <w:rsid w:val="005C1DA5"/>
    <w:rsid w:val="005C1DCB"/>
    <w:rsid w:val="005C249B"/>
    <w:rsid w:val="005C2559"/>
    <w:rsid w:val="005C2873"/>
    <w:rsid w:val="005C296E"/>
    <w:rsid w:val="005C2FAF"/>
    <w:rsid w:val="005C34FC"/>
    <w:rsid w:val="005C3630"/>
    <w:rsid w:val="005C3637"/>
    <w:rsid w:val="005C3B5C"/>
    <w:rsid w:val="005C3BA9"/>
    <w:rsid w:val="005C3C7F"/>
    <w:rsid w:val="005C3DDD"/>
    <w:rsid w:val="005C4796"/>
    <w:rsid w:val="005C4B61"/>
    <w:rsid w:val="005C5143"/>
    <w:rsid w:val="005C51C5"/>
    <w:rsid w:val="005C5639"/>
    <w:rsid w:val="005C5742"/>
    <w:rsid w:val="005C61D6"/>
    <w:rsid w:val="005C621D"/>
    <w:rsid w:val="005C6F35"/>
    <w:rsid w:val="005C6FA4"/>
    <w:rsid w:val="005C73DE"/>
    <w:rsid w:val="005C7483"/>
    <w:rsid w:val="005C760E"/>
    <w:rsid w:val="005C7AB6"/>
    <w:rsid w:val="005C7B71"/>
    <w:rsid w:val="005C7CD1"/>
    <w:rsid w:val="005C7E9E"/>
    <w:rsid w:val="005D0618"/>
    <w:rsid w:val="005D0AD0"/>
    <w:rsid w:val="005D0AD4"/>
    <w:rsid w:val="005D0B1A"/>
    <w:rsid w:val="005D0DBA"/>
    <w:rsid w:val="005D1011"/>
    <w:rsid w:val="005D1188"/>
    <w:rsid w:val="005D138C"/>
    <w:rsid w:val="005D1446"/>
    <w:rsid w:val="005D14A8"/>
    <w:rsid w:val="005D181A"/>
    <w:rsid w:val="005D18C9"/>
    <w:rsid w:val="005D1B72"/>
    <w:rsid w:val="005D1EF1"/>
    <w:rsid w:val="005D21BC"/>
    <w:rsid w:val="005D241B"/>
    <w:rsid w:val="005D2471"/>
    <w:rsid w:val="005D25A3"/>
    <w:rsid w:val="005D26CF"/>
    <w:rsid w:val="005D2779"/>
    <w:rsid w:val="005D2798"/>
    <w:rsid w:val="005D2927"/>
    <w:rsid w:val="005D3242"/>
    <w:rsid w:val="005D3487"/>
    <w:rsid w:val="005D3968"/>
    <w:rsid w:val="005D40C6"/>
    <w:rsid w:val="005D4DCC"/>
    <w:rsid w:val="005D4F86"/>
    <w:rsid w:val="005D5120"/>
    <w:rsid w:val="005D5406"/>
    <w:rsid w:val="005D5EDF"/>
    <w:rsid w:val="005D610C"/>
    <w:rsid w:val="005D618F"/>
    <w:rsid w:val="005D6870"/>
    <w:rsid w:val="005D6AC5"/>
    <w:rsid w:val="005D6D99"/>
    <w:rsid w:val="005D714F"/>
    <w:rsid w:val="005D719B"/>
    <w:rsid w:val="005D74E7"/>
    <w:rsid w:val="005D77A5"/>
    <w:rsid w:val="005D7C2F"/>
    <w:rsid w:val="005D7EB4"/>
    <w:rsid w:val="005D7F7B"/>
    <w:rsid w:val="005E0317"/>
    <w:rsid w:val="005E0AF9"/>
    <w:rsid w:val="005E0CAE"/>
    <w:rsid w:val="005E0DEF"/>
    <w:rsid w:val="005E170D"/>
    <w:rsid w:val="005E19A8"/>
    <w:rsid w:val="005E1E18"/>
    <w:rsid w:val="005E1F21"/>
    <w:rsid w:val="005E20D9"/>
    <w:rsid w:val="005E22BE"/>
    <w:rsid w:val="005E2455"/>
    <w:rsid w:val="005E2644"/>
    <w:rsid w:val="005E295B"/>
    <w:rsid w:val="005E2C0E"/>
    <w:rsid w:val="005E2E6E"/>
    <w:rsid w:val="005E330A"/>
    <w:rsid w:val="005E3407"/>
    <w:rsid w:val="005E382D"/>
    <w:rsid w:val="005E393B"/>
    <w:rsid w:val="005E3961"/>
    <w:rsid w:val="005E3BCD"/>
    <w:rsid w:val="005E3C30"/>
    <w:rsid w:val="005E3F64"/>
    <w:rsid w:val="005E42E6"/>
    <w:rsid w:val="005E4A01"/>
    <w:rsid w:val="005E4A87"/>
    <w:rsid w:val="005E4B1E"/>
    <w:rsid w:val="005E4C64"/>
    <w:rsid w:val="005E4C6F"/>
    <w:rsid w:val="005E4DA5"/>
    <w:rsid w:val="005E503E"/>
    <w:rsid w:val="005E59C7"/>
    <w:rsid w:val="005E5B2E"/>
    <w:rsid w:val="005E5E7B"/>
    <w:rsid w:val="005E5FEB"/>
    <w:rsid w:val="005E6043"/>
    <w:rsid w:val="005E6095"/>
    <w:rsid w:val="005E61C4"/>
    <w:rsid w:val="005E6597"/>
    <w:rsid w:val="005E65B6"/>
    <w:rsid w:val="005E672E"/>
    <w:rsid w:val="005E6A3F"/>
    <w:rsid w:val="005E6DB8"/>
    <w:rsid w:val="005E6DED"/>
    <w:rsid w:val="005E7228"/>
    <w:rsid w:val="005E7284"/>
    <w:rsid w:val="005E72CF"/>
    <w:rsid w:val="005E7477"/>
    <w:rsid w:val="005E7BAC"/>
    <w:rsid w:val="005E7BFB"/>
    <w:rsid w:val="005E7CBC"/>
    <w:rsid w:val="005F028E"/>
    <w:rsid w:val="005F0E5C"/>
    <w:rsid w:val="005F0F19"/>
    <w:rsid w:val="005F134E"/>
    <w:rsid w:val="005F1365"/>
    <w:rsid w:val="005F139A"/>
    <w:rsid w:val="005F1462"/>
    <w:rsid w:val="005F19FC"/>
    <w:rsid w:val="005F1E0E"/>
    <w:rsid w:val="005F1F23"/>
    <w:rsid w:val="005F2170"/>
    <w:rsid w:val="005F276E"/>
    <w:rsid w:val="005F2795"/>
    <w:rsid w:val="005F2898"/>
    <w:rsid w:val="005F28D7"/>
    <w:rsid w:val="005F2A3E"/>
    <w:rsid w:val="005F2C1F"/>
    <w:rsid w:val="005F2E44"/>
    <w:rsid w:val="005F318E"/>
    <w:rsid w:val="005F33A6"/>
    <w:rsid w:val="005F358F"/>
    <w:rsid w:val="005F359A"/>
    <w:rsid w:val="005F3690"/>
    <w:rsid w:val="005F3702"/>
    <w:rsid w:val="005F3986"/>
    <w:rsid w:val="005F3B65"/>
    <w:rsid w:val="005F467F"/>
    <w:rsid w:val="005F468E"/>
    <w:rsid w:val="005F46FD"/>
    <w:rsid w:val="005F4C57"/>
    <w:rsid w:val="005F4F12"/>
    <w:rsid w:val="005F4F54"/>
    <w:rsid w:val="005F5854"/>
    <w:rsid w:val="005F5FC1"/>
    <w:rsid w:val="005F64DE"/>
    <w:rsid w:val="005F6774"/>
    <w:rsid w:val="005F67D9"/>
    <w:rsid w:val="005F6C60"/>
    <w:rsid w:val="005F6D16"/>
    <w:rsid w:val="005F6DD5"/>
    <w:rsid w:val="005F6E8A"/>
    <w:rsid w:val="005F7350"/>
    <w:rsid w:val="005F79AA"/>
    <w:rsid w:val="00600084"/>
    <w:rsid w:val="00600203"/>
    <w:rsid w:val="00600335"/>
    <w:rsid w:val="0060044B"/>
    <w:rsid w:val="00600BF2"/>
    <w:rsid w:val="00600F0B"/>
    <w:rsid w:val="00601393"/>
    <w:rsid w:val="006013D7"/>
    <w:rsid w:val="006014DB"/>
    <w:rsid w:val="00601587"/>
    <w:rsid w:val="00601A85"/>
    <w:rsid w:val="00601CCC"/>
    <w:rsid w:val="00602079"/>
    <w:rsid w:val="006022F3"/>
    <w:rsid w:val="006023FB"/>
    <w:rsid w:val="006024A8"/>
    <w:rsid w:val="00602579"/>
    <w:rsid w:val="006025E4"/>
    <w:rsid w:val="0060260A"/>
    <w:rsid w:val="00602955"/>
    <w:rsid w:val="00602B69"/>
    <w:rsid w:val="00602BA4"/>
    <w:rsid w:val="00602DA2"/>
    <w:rsid w:val="00602DF3"/>
    <w:rsid w:val="00602E84"/>
    <w:rsid w:val="00602FF4"/>
    <w:rsid w:val="00603228"/>
    <w:rsid w:val="00603480"/>
    <w:rsid w:val="0060386D"/>
    <w:rsid w:val="0060395F"/>
    <w:rsid w:val="00603B32"/>
    <w:rsid w:val="00603DB3"/>
    <w:rsid w:val="0060449D"/>
    <w:rsid w:val="00604932"/>
    <w:rsid w:val="00604ACD"/>
    <w:rsid w:val="00604C15"/>
    <w:rsid w:val="00604DC2"/>
    <w:rsid w:val="00604DC9"/>
    <w:rsid w:val="00604F7C"/>
    <w:rsid w:val="0060521C"/>
    <w:rsid w:val="006052C9"/>
    <w:rsid w:val="0060557C"/>
    <w:rsid w:val="006055FD"/>
    <w:rsid w:val="00605A9A"/>
    <w:rsid w:val="00605F94"/>
    <w:rsid w:val="006060C4"/>
    <w:rsid w:val="006060CF"/>
    <w:rsid w:val="00606242"/>
    <w:rsid w:val="00606FC4"/>
    <w:rsid w:val="00607A30"/>
    <w:rsid w:val="00607B17"/>
    <w:rsid w:val="00607C35"/>
    <w:rsid w:val="00610168"/>
    <w:rsid w:val="00610305"/>
    <w:rsid w:val="00610483"/>
    <w:rsid w:val="00610510"/>
    <w:rsid w:val="00610524"/>
    <w:rsid w:val="00610A45"/>
    <w:rsid w:val="00610C67"/>
    <w:rsid w:val="006111C3"/>
    <w:rsid w:val="00611286"/>
    <w:rsid w:val="0061156B"/>
    <w:rsid w:val="00611777"/>
    <w:rsid w:val="0061189F"/>
    <w:rsid w:val="00611FC5"/>
    <w:rsid w:val="0061219B"/>
    <w:rsid w:val="006123FF"/>
    <w:rsid w:val="0061288A"/>
    <w:rsid w:val="00612B9D"/>
    <w:rsid w:val="00612D05"/>
    <w:rsid w:val="00612DB8"/>
    <w:rsid w:val="006132B3"/>
    <w:rsid w:val="00613618"/>
    <w:rsid w:val="006138BF"/>
    <w:rsid w:val="0061390C"/>
    <w:rsid w:val="00613B4B"/>
    <w:rsid w:val="00613FB6"/>
    <w:rsid w:val="006140C6"/>
    <w:rsid w:val="00614134"/>
    <w:rsid w:val="00614241"/>
    <w:rsid w:val="0061428D"/>
    <w:rsid w:val="0061437B"/>
    <w:rsid w:val="00614431"/>
    <w:rsid w:val="00614A50"/>
    <w:rsid w:val="00615098"/>
    <w:rsid w:val="00615411"/>
    <w:rsid w:val="0061599E"/>
    <w:rsid w:val="00615AC7"/>
    <w:rsid w:val="00615E3A"/>
    <w:rsid w:val="00615E84"/>
    <w:rsid w:val="00616163"/>
    <w:rsid w:val="006162E6"/>
    <w:rsid w:val="006169C0"/>
    <w:rsid w:val="006169DF"/>
    <w:rsid w:val="00616E6D"/>
    <w:rsid w:val="006171A5"/>
    <w:rsid w:val="0061730F"/>
    <w:rsid w:val="00620309"/>
    <w:rsid w:val="00620701"/>
    <w:rsid w:val="006208F4"/>
    <w:rsid w:val="00620E7B"/>
    <w:rsid w:val="00620F7E"/>
    <w:rsid w:val="0062138D"/>
    <w:rsid w:val="006213A0"/>
    <w:rsid w:val="0062159D"/>
    <w:rsid w:val="00621680"/>
    <w:rsid w:val="00621686"/>
    <w:rsid w:val="00621816"/>
    <w:rsid w:val="00621909"/>
    <w:rsid w:val="00621B93"/>
    <w:rsid w:val="00621EC5"/>
    <w:rsid w:val="00622027"/>
    <w:rsid w:val="006223E0"/>
    <w:rsid w:val="006224D0"/>
    <w:rsid w:val="00622588"/>
    <w:rsid w:val="00622752"/>
    <w:rsid w:val="00622B2A"/>
    <w:rsid w:val="00622BCE"/>
    <w:rsid w:val="00622E29"/>
    <w:rsid w:val="00622F6A"/>
    <w:rsid w:val="00623643"/>
    <w:rsid w:val="00623920"/>
    <w:rsid w:val="00623BE3"/>
    <w:rsid w:val="00623C3B"/>
    <w:rsid w:val="00623C52"/>
    <w:rsid w:val="00623FE6"/>
    <w:rsid w:val="00624018"/>
    <w:rsid w:val="006240C4"/>
    <w:rsid w:val="0062448B"/>
    <w:rsid w:val="00624B3C"/>
    <w:rsid w:val="00624CE0"/>
    <w:rsid w:val="00625094"/>
    <w:rsid w:val="006251E3"/>
    <w:rsid w:val="006252A2"/>
    <w:rsid w:val="00625304"/>
    <w:rsid w:val="0062532A"/>
    <w:rsid w:val="0062560D"/>
    <w:rsid w:val="0062581B"/>
    <w:rsid w:val="00625E77"/>
    <w:rsid w:val="00625EFA"/>
    <w:rsid w:val="006261F4"/>
    <w:rsid w:val="0062685F"/>
    <w:rsid w:val="00626CB2"/>
    <w:rsid w:val="00626D0D"/>
    <w:rsid w:val="00627098"/>
    <w:rsid w:val="00627A4D"/>
    <w:rsid w:val="00627CEF"/>
    <w:rsid w:val="00627E93"/>
    <w:rsid w:val="006301C6"/>
    <w:rsid w:val="006302F3"/>
    <w:rsid w:val="00630352"/>
    <w:rsid w:val="006304E2"/>
    <w:rsid w:val="00630772"/>
    <w:rsid w:val="00630992"/>
    <w:rsid w:val="00630A13"/>
    <w:rsid w:val="00630C93"/>
    <w:rsid w:val="006310B9"/>
    <w:rsid w:val="0063164E"/>
    <w:rsid w:val="0063191D"/>
    <w:rsid w:val="0063194E"/>
    <w:rsid w:val="00631F0B"/>
    <w:rsid w:val="00632237"/>
    <w:rsid w:val="0063225F"/>
    <w:rsid w:val="0063233F"/>
    <w:rsid w:val="006327A7"/>
    <w:rsid w:val="00632913"/>
    <w:rsid w:val="006329F1"/>
    <w:rsid w:val="00632C3F"/>
    <w:rsid w:val="00632D6A"/>
    <w:rsid w:val="00632E7F"/>
    <w:rsid w:val="00632F8F"/>
    <w:rsid w:val="00632FE1"/>
    <w:rsid w:val="00633216"/>
    <w:rsid w:val="00633488"/>
    <w:rsid w:val="00633581"/>
    <w:rsid w:val="00633652"/>
    <w:rsid w:val="006338B4"/>
    <w:rsid w:val="006339AF"/>
    <w:rsid w:val="00633C47"/>
    <w:rsid w:val="00633D7E"/>
    <w:rsid w:val="00633DDF"/>
    <w:rsid w:val="006341AC"/>
    <w:rsid w:val="006342D2"/>
    <w:rsid w:val="006343BC"/>
    <w:rsid w:val="0063466E"/>
    <w:rsid w:val="006348F7"/>
    <w:rsid w:val="00634CA0"/>
    <w:rsid w:val="00634CC3"/>
    <w:rsid w:val="006350A7"/>
    <w:rsid w:val="0063512D"/>
    <w:rsid w:val="00635305"/>
    <w:rsid w:val="006354E2"/>
    <w:rsid w:val="006358FB"/>
    <w:rsid w:val="00635AE2"/>
    <w:rsid w:val="00635C71"/>
    <w:rsid w:val="00635E1E"/>
    <w:rsid w:val="0063620C"/>
    <w:rsid w:val="00636268"/>
    <w:rsid w:val="00636306"/>
    <w:rsid w:val="00636375"/>
    <w:rsid w:val="0063677C"/>
    <w:rsid w:val="0063681C"/>
    <w:rsid w:val="006368F4"/>
    <w:rsid w:val="00636972"/>
    <w:rsid w:val="00636A0C"/>
    <w:rsid w:val="00636B69"/>
    <w:rsid w:val="00636BC2"/>
    <w:rsid w:val="00636C60"/>
    <w:rsid w:val="00636C67"/>
    <w:rsid w:val="006370FF"/>
    <w:rsid w:val="006372B5"/>
    <w:rsid w:val="006373EF"/>
    <w:rsid w:val="00637C17"/>
    <w:rsid w:val="006404B1"/>
    <w:rsid w:val="006404D1"/>
    <w:rsid w:val="00640731"/>
    <w:rsid w:val="006407D7"/>
    <w:rsid w:val="00640873"/>
    <w:rsid w:val="00640ACA"/>
    <w:rsid w:val="00640AE5"/>
    <w:rsid w:val="00640F43"/>
    <w:rsid w:val="00641136"/>
    <w:rsid w:val="006412CA"/>
    <w:rsid w:val="00641879"/>
    <w:rsid w:val="0064197A"/>
    <w:rsid w:val="00641B0A"/>
    <w:rsid w:val="00641F7D"/>
    <w:rsid w:val="0064209F"/>
    <w:rsid w:val="006420DA"/>
    <w:rsid w:val="00642198"/>
    <w:rsid w:val="00642A0A"/>
    <w:rsid w:val="00642B84"/>
    <w:rsid w:val="006432D4"/>
    <w:rsid w:val="0064337F"/>
    <w:rsid w:val="006435A0"/>
    <w:rsid w:val="00643A3C"/>
    <w:rsid w:val="00643AC1"/>
    <w:rsid w:val="00643D62"/>
    <w:rsid w:val="00644152"/>
    <w:rsid w:val="00644999"/>
    <w:rsid w:val="00644A5E"/>
    <w:rsid w:val="00644A6C"/>
    <w:rsid w:val="00644D69"/>
    <w:rsid w:val="0064503B"/>
    <w:rsid w:val="00645462"/>
    <w:rsid w:val="006457A8"/>
    <w:rsid w:val="00645EA0"/>
    <w:rsid w:val="00645F76"/>
    <w:rsid w:val="006462F0"/>
    <w:rsid w:val="0064665F"/>
    <w:rsid w:val="00646EB0"/>
    <w:rsid w:val="0064714D"/>
    <w:rsid w:val="0064727D"/>
    <w:rsid w:val="00647347"/>
    <w:rsid w:val="00647378"/>
    <w:rsid w:val="006476E0"/>
    <w:rsid w:val="00647B24"/>
    <w:rsid w:val="00647B32"/>
    <w:rsid w:val="00647C27"/>
    <w:rsid w:val="00647E28"/>
    <w:rsid w:val="006500FF"/>
    <w:rsid w:val="00650711"/>
    <w:rsid w:val="00650996"/>
    <w:rsid w:val="00650A8E"/>
    <w:rsid w:val="0065165B"/>
    <w:rsid w:val="0065178E"/>
    <w:rsid w:val="006519E6"/>
    <w:rsid w:val="00651C6B"/>
    <w:rsid w:val="00651CDE"/>
    <w:rsid w:val="00651F0A"/>
    <w:rsid w:val="00652319"/>
    <w:rsid w:val="00652326"/>
    <w:rsid w:val="00652442"/>
    <w:rsid w:val="006524F6"/>
    <w:rsid w:val="00652617"/>
    <w:rsid w:val="006527DA"/>
    <w:rsid w:val="00652907"/>
    <w:rsid w:val="00652CD9"/>
    <w:rsid w:val="00652E06"/>
    <w:rsid w:val="00652FF7"/>
    <w:rsid w:val="006533C2"/>
    <w:rsid w:val="006535CC"/>
    <w:rsid w:val="00653634"/>
    <w:rsid w:val="00653661"/>
    <w:rsid w:val="00653A8B"/>
    <w:rsid w:val="00653FC4"/>
    <w:rsid w:val="00654162"/>
    <w:rsid w:val="00654CA0"/>
    <w:rsid w:val="00654E48"/>
    <w:rsid w:val="00654F91"/>
    <w:rsid w:val="00655054"/>
    <w:rsid w:val="0065524E"/>
    <w:rsid w:val="00655361"/>
    <w:rsid w:val="00655745"/>
    <w:rsid w:val="006557F7"/>
    <w:rsid w:val="00655A32"/>
    <w:rsid w:val="00655B95"/>
    <w:rsid w:val="00655BF1"/>
    <w:rsid w:val="00655DB8"/>
    <w:rsid w:val="00655E42"/>
    <w:rsid w:val="006561A9"/>
    <w:rsid w:val="00656253"/>
    <w:rsid w:val="006562A9"/>
    <w:rsid w:val="006562C1"/>
    <w:rsid w:val="00656799"/>
    <w:rsid w:val="00656A63"/>
    <w:rsid w:val="00656B23"/>
    <w:rsid w:val="00656B77"/>
    <w:rsid w:val="00656BFB"/>
    <w:rsid w:val="00656CDF"/>
    <w:rsid w:val="00656E72"/>
    <w:rsid w:val="006577AA"/>
    <w:rsid w:val="006578A1"/>
    <w:rsid w:val="00657A6E"/>
    <w:rsid w:val="00657A99"/>
    <w:rsid w:val="00657ABA"/>
    <w:rsid w:val="00657FE6"/>
    <w:rsid w:val="00660770"/>
    <w:rsid w:val="00660CCF"/>
    <w:rsid w:val="00660FDC"/>
    <w:rsid w:val="0066137B"/>
    <w:rsid w:val="006616A4"/>
    <w:rsid w:val="0066174E"/>
    <w:rsid w:val="0066177A"/>
    <w:rsid w:val="0066183D"/>
    <w:rsid w:val="006618D8"/>
    <w:rsid w:val="00661BBB"/>
    <w:rsid w:val="00661E57"/>
    <w:rsid w:val="006621A2"/>
    <w:rsid w:val="006621FF"/>
    <w:rsid w:val="00662390"/>
    <w:rsid w:val="00662843"/>
    <w:rsid w:val="006629E4"/>
    <w:rsid w:val="00662A13"/>
    <w:rsid w:val="00662A48"/>
    <w:rsid w:val="00663321"/>
    <w:rsid w:val="0066352E"/>
    <w:rsid w:val="00663783"/>
    <w:rsid w:val="00663B7B"/>
    <w:rsid w:val="00663E47"/>
    <w:rsid w:val="00663E9B"/>
    <w:rsid w:val="00663F45"/>
    <w:rsid w:val="006644A7"/>
    <w:rsid w:val="006644B4"/>
    <w:rsid w:val="006645AD"/>
    <w:rsid w:val="006646CB"/>
    <w:rsid w:val="00664927"/>
    <w:rsid w:val="00664BDE"/>
    <w:rsid w:val="00664BF9"/>
    <w:rsid w:val="00664C36"/>
    <w:rsid w:val="00664CAB"/>
    <w:rsid w:val="0066565B"/>
    <w:rsid w:val="00665C44"/>
    <w:rsid w:val="00665F7C"/>
    <w:rsid w:val="00666284"/>
    <w:rsid w:val="006663B6"/>
    <w:rsid w:val="00666695"/>
    <w:rsid w:val="006667F3"/>
    <w:rsid w:val="00666BED"/>
    <w:rsid w:val="00666F55"/>
    <w:rsid w:val="00667044"/>
    <w:rsid w:val="00667108"/>
    <w:rsid w:val="00667367"/>
    <w:rsid w:val="006678C2"/>
    <w:rsid w:val="00667941"/>
    <w:rsid w:val="00667AEA"/>
    <w:rsid w:val="00667BD8"/>
    <w:rsid w:val="00667D01"/>
    <w:rsid w:val="006700C8"/>
    <w:rsid w:val="006700EF"/>
    <w:rsid w:val="006702F0"/>
    <w:rsid w:val="00670317"/>
    <w:rsid w:val="00670325"/>
    <w:rsid w:val="006704FA"/>
    <w:rsid w:val="00670609"/>
    <w:rsid w:val="00670687"/>
    <w:rsid w:val="00670CBF"/>
    <w:rsid w:val="00670DC5"/>
    <w:rsid w:val="006711A5"/>
    <w:rsid w:val="00671652"/>
    <w:rsid w:val="00671887"/>
    <w:rsid w:val="00671D70"/>
    <w:rsid w:val="00671FAA"/>
    <w:rsid w:val="006725F2"/>
    <w:rsid w:val="006727D7"/>
    <w:rsid w:val="00673768"/>
    <w:rsid w:val="00673792"/>
    <w:rsid w:val="006737FC"/>
    <w:rsid w:val="00673940"/>
    <w:rsid w:val="0067450B"/>
    <w:rsid w:val="00674850"/>
    <w:rsid w:val="0067511D"/>
    <w:rsid w:val="00675324"/>
    <w:rsid w:val="006755F1"/>
    <w:rsid w:val="006755FA"/>
    <w:rsid w:val="00675885"/>
    <w:rsid w:val="006759C8"/>
    <w:rsid w:val="006759FC"/>
    <w:rsid w:val="00675AA6"/>
    <w:rsid w:val="00675BCC"/>
    <w:rsid w:val="00675DA5"/>
    <w:rsid w:val="00676022"/>
    <w:rsid w:val="00676825"/>
    <w:rsid w:val="006768C1"/>
    <w:rsid w:val="00676A44"/>
    <w:rsid w:val="006775CA"/>
    <w:rsid w:val="006775CF"/>
    <w:rsid w:val="0067796C"/>
    <w:rsid w:val="00677E40"/>
    <w:rsid w:val="00677F87"/>
    <w:rsid w:val="00680482"/>
    <w:rsid w:val="00680833"/>
    <w:rsid w:val="006808DC"/>
    <w:rsid w:val="00680C36"/>
    <w:rsid w:val="00680D41"/>
    <w:rsid w:val="0068103B"/>
    <w:rsid w:val="0068104E"/>
    <w:rsid w:val="006816B6"/>
    <w:rsid w:val="0068173D"/>
    <w:rsid w:val="00681C0D"/>
    <w:rsid w:val="006820EB"/>
    <w:rsid w:val="00682128"/>
    <w:rsid w:val="0068220C"/>
    <w:rsid w:val="006827A8"/>
    <w:rsid w:val="006827C4"/>
    <w:rsid w:val="00682AB1"/>
    <w:rsid w:val="00682E9F"/>
    <w:rsid w:val="00683252"/>
    <w:rsid w:val="0068343A"/>
    <w:rsid w:val="006834D4"/>
    <w:rsid w:val="006839B4"/>
    <w:rsid w:val="00683F08"/>
    <w:rsid w:val="0068413D"/>
    <w:rsid w:val="00684286"/>
    <w:rsid w:val="006844BA"/>
    <w:rsid w:val="0068454E"/>
    <w:rsid w:val="006845A2"/>
    <w:rsid w:val="00684BF8"/>
    <w:rsid w:val="00684D9B"/>
    <w:rsid w:val="00685231"/>
    <w:rsid w:val="006854A8"/>
    <w:rsid w:val="0068568B"/>
    <w:rsid w:val="006858AA"/>
    <w:rsid w:val="00685B86"/>
    <w:rsid w:val="00685BCF"/>
    <w:rsid w:val="00685C0B"/>
    <w:rsid w:val="00685FCB"/>
    <w:rsid w:val="00686215"/>
    <w:rsid w:val="006863D1"/>
    <w:rsid w:val="00686443"/>
    <w:rsid w:val="00687067"/>
    <w:rsid w:val="006870B4"/>
    <w:rsid w:val="006871AA"/>
    <w:rsid w:val="006871D0"/>
    <w:rsid w:val="0068751F"/>
    <w:rsid w:val="00687601"/>
    <w:rsid w:val="00687B40"/>
    <w:rsid w:val="00687B42"/>
    <w:rsid w:val="00687B82"/>
    <w:rsid w:val="00687DB3"/>
    <w:rsid w:val="00687F06"/>
    <w:rsid w:val="006900D1"/>
    <w:rsid w:val="0069013B"/>
    <w:rsid w:val="00690297"/>
    <w:rsid w:val="00690AC7"/>
    <w:rsid w:val="00690CD0"/>
    <w:rsid w:val="0069115A"/>
    <w:rsid w:val="006912F1"/>
    <w:rsid w:val="00691387"/>
    <w:rsid w:val="0069180D"/>
    <w:rsid w:val="00691D6A"/>
    <w:rsid w:val="00691DBB"/>
    <w:rsid w:val="006921B4"/>
    <w:rsid w:val="0069221C"/>
    <w:rsid w:val="00692320"/>
    <w:rsid w:val="006924D6"/>
    <w:rsid w:val="006927D6"/>
    <w:rsid w:val="006927F2"/>
    <w:rsid w:val="00692B8C"/>
    <w:rsid w:val="006931D8"/>
    <w:rsid w:val="006931E1"/>
    <w:rsid w:val="00693288"/>
    <w:rsid w:val="00693854"/>
    <w:rsid w:val="00693922"/>
    <w:rsid w:val="00693932"/>
    <w:rsid w:val="00693F0F"/>
    <w:rsid w:val="00693FF2"/>
    <w:rsid w:val="00694310"/>
    <w:rsid w:val="00694662"/>
    <w:rsid w:val="00694700"/>
    <w:rsid w:val="00694803"/>
    <w:rsid w:val="00694B83"/>
    <w:rsid w:val="00694CE8"/>
    <w:rsid w:val="00694E96"/>
    <w:rsid w:val="00694F4B"/>
    <w:rsid w:val="0069511D"/>
    <w:rsid w:val="00695201"/>
    <w:rsid w:val="0069569E"/>
    <w:rsid w:val="006956C6"/>
    <w:rsid w:val="006957BD"/>
    <w:rsid w:val="00695896"/>
    <w:rsid w:val="00695C2C"/>
    <w:rsid w:val="00695C8F"/>
    <w:rsid w:val="00695D17"/>
    <w:rsid w:val="00696067"/>
    <w:rsid w:val="00696EE3"/>
    <w:rsid w:val="0069715D"/>
    <w:rsid w:val="006972D9"/>
    <w:rsid w:val="00697392"/>
    <w:rsid w:val="006973E5"/>
    <w:rsid w:val="00697664"/>
    <w:rsid w:val="00697681"/>
    <w:rsid w:val="0069770C"/>
    <w:rsid w:val="00697B0C"/>
    <w:rsid w:val="00697B7D"/>
    <w:rsid w:val="00697C08"/>
    <w:rsid w:val="006A0149"/>
    <w:rsid w:val="006A01A1"/>
    <w:rsid w:val="006A08F2"/>
    <w:rsid w:val="006A0B0A"/>
    <w:rsid w:val="006A0E1A"/>
    <w:rsid w:val="006A1099"/>
    <w:rsid w:val="006A119C"/>
    <w:rsid w:val="006A12F3"/>
    <w:rsid w:val="006A151A"/>
    <w:rsid w:val="006A16CA"/>
    <w:rsid w:val="006A183C"/>
    <w:rsid w:val="006A1909"/>
    <w:rsid w:val="006A1A16"/>
    <w:rsid w:val="006A1C67"/>
    <w:rsid w:val="006A1DA5"/>
    <w:rsid w:val="006A1E62"/>
    <w:rsid w:val="006A222E"/>
    <w:rsid w:val="006A2A12"/>
    <w:rsid w:val="006A2B66"/>
    <w:rsid w:val="006A2E9C"/>
    <w:rsid w:val="006A32CC"/>
    <w:rsid w:val="006A35E0"/>
    <w:rsid w:val="006A3774"/>
    <w:rsid w:val="006A377F"/>
    <w:rsid w:val="006A384A"/>
    <w:rsid w:val="006A3875"/>
    <w:rsid w:val="006A3AC0"/>
    <w:rsid w:val="006A3C8E"/>
    <w:rsid w:val="006A3D40"/>
    <w:rsid w:val="006A3D6A"/>
    <w:rsid w:val="006A4AA7"/>
    <w:rsid w:val="006A4C4A"/>
    <w:rsid w:val="006A501F"/>
    <w:rsid w:val="006A561D"/>
    <w:rsid w:val="006A5668"/>
    <w:rsid w:val="006A5789"/>
    <w:rsid w:val="006A5A0C"/>
    <w:rsid w:val="006A5BA0"/>
    <w:rsid w:val="006A5BB1"/>
    <w:rsid w:val="006A5F88"/>
    <w:rsid w:val="006A623A"/>
    <w:rsid w:val="006A6264"/>
    <w:rsid w:val="006A631E"/>
    <w:rsid w:val="006A64AC"/>
    <w:rsid w:val="006A64FE"/>
    <w:rsid w:val="006A6781"/>
    <w:rsid w:val="006A6A02"/>
    <w:rsid w:val="006A6E4B"/>
    <w:rsid w:val="006A6F86"/>
    <w:rsid w:val="006A70B1"/>
    <w:rsid w:val="006A72AB"/>
    <w:rsid w:val="006A75DC"/>
    <w:rsid w:val="006A7D95"/>
    <w:rsid w:val="006B0162"/>
    <w:rsid w:val="006B04A7"/>
    <w:rsid w:val="006B04E5"/>
    <w:rsid w:val="006B057C"/>
    <w:rsid w:val="006B08B2"/>
    <w:rsid w:val="006B09D7"/>
    <w:rsid w:val="006B0E2C"/>
    <w:rsid w:val="006B10A2"/>
    <w:rsid w:val="006B11A5"/>
    <w:rsid w:val="006B120D"/>
    <w:rsid w:val="006B13C1"/>
    <w:rsid w:val="006B1459"/>
    <w:rsid w:val="006B18AE"/>
    <w:rsid w:val="006B251F"/>
    <w:rsid w:val="006B252C"/>
    <w:rsid w:val="006B2530"/>
    <w:rsid w:val="006B2746"/>
    <w:rsid w:val="006B29F0"/>
    <w:rsid w:val="006B2CC7"/>
    <w:rsid w:val="006B2D83"/>
    <w:rsid w:val="006B3AF9"/>
    <w:rsid w:val="006B3DC1"/>
    <w:rsid w:val="006B4118"/>
    <w:rsid w:val="006B4166"/>
    <w:rsid w:val="006B417C"/>
    <w:rsid w:val="006B448F"/>
    <w:rsid w:val="006B44C5"/>
    <w:rsid w:val="006B499A"/>
    <w:rsid w:val="006B5101"/>
    <w:rsid w:val="006B5277"/>
    <w:rsid w:val="006B52B0"/>
    <w:rsid w:val="006B555F"/>
    <w:rsid w:val="006B55E5"/>
    <w:rsid w:val="006B5881"/>
    <w:rsid w:val="006B5884"/>
    <w:rsid w:val="006B5C2B"/>
    <w:rsid w:val="006B5CFC"/>
    <w:rsid w:val="006B5E27"/>
    <w:rsid w:val="006B6242"/>
    <w:rsid w:val="006B63ED"/>
    <w:rsid w:val="006B6673"/>
    <w:rsid w:val="006B699B"/>
    <w:rsid w:val="006B6C7C"/>
    <w:rsid w:val="006B6D56"/>
    <w:rsid w:val="006B6EA4"/>
    <w:rsid w:val="006B714B"/>
    <w:rsid w:val="006B77BB"/>
    <w:rsid w:val="006B7F8F"/>
    <w:rsid w:val="006B7FC5"/>
    <w:rsid w:val="006C02D9"/>
    <w:rsid w:val="006C055E"/>
    <w:rsid w:val="006C08D0"/>
    <w:rsid w:val="006C0AB9"/>
    <w:rsid w:val="006C0D13"/>
    <w:rsid w:val="006C0DA9"/>
    <w:rsid w:val="006C0EA8"/>
    <w:rsid w:val="006C187F"/>
    <w:rsid w:val="006C1908"/>
    <w:rsid w:val="006C19BC"/>
    <w:rsid w:val="006C19D5"/>
    <w:rsid w:val="006C1B44"/>
    <w:rsid w:val="006C1ED9"/>
    <w:rsid w:val="006C1F77"/>
    <w:rsid w:val="006C2144"/>
    <w:rsid w:val="006C2211"/>
    <w:rsid w:val="006C25EF"/>
    <w:rsid w:val="006C28E3"/>
    <w:rsid w:val="006C29B6"/>
    <w:rsid w:val="006C29E7"/>
    <w:rsid w:val="006C2B45"/>
    <w:rsid w:val="006C2BB7"/>
    <w:rsid w:val="006C3031"/>
    <w:rsid w:val="006C311A"/>
    <w:rsid w:val="006C34D0"/>
    <w:rsid w:val="006C3607"/>
    <w:rsid w:val="006C36DA"/>
    <w:rsid w:val="006C3990"/>
    <w:rsid w:val="006C3A55"/>
    <w:rsid w:val="006C3B2C"/>
    <w:rsid w:val="006C3ED2"/>
    <w:rsid w:val="006C4233"/>
    <w:rsid w:val="006C42E7"/>
    <w:rsid w:val="006C4353"/>
    <w:rsid w:val="006C4422"/>
    <w:rsid w:val="006C4467"/>
    <w:rsid w:val="006C468E"/>
    <w:rsid w:val="006C476F"/>
    <w:rsid w:val="006C485E"/>
    <w:rsid w:val="006C48AA"/>
    <w:rsid w:val="006C4F13"/>
    <w:rsid w:val="006C579F"/>
    <w:rsid w:val="006C59A4"/>
    <w:rsid w:val="006C5CCA"/>
    <w:rsid w:val="006C5FA3"/>
    <w:rsid w:val="006C625F"/>
    <w:rsid w:val="006C6979"/>
    <w:rsid w:val="006C72E5"/>
    <w:rsid w:val="006C7737"/>
    <w:rsid w:val="006C78A6"/>
    <w:rsid w:val="006C79C7"/>
    <w:rsid w:val="006C7AB4"/>
    <w:rsid w:val="006C7C19"/>
    <w:rsid w:val="006C7F64"/>
    <w:rsid w:val="006D006B"/>
    <w:rsid w:val="006D041B"/>
    <w:rsid w:val="006D06C8"/>
    <w:rsid w:val="006D0B55"/>
    <w:rsid w:val="006D0BCA"/>
    <w:rsid w:val="006D0DA4"/>
    <w:rsid w:val="006D105C"/>
    <w:rsid w:val="006D12E9"/>
    <w:rsid w:val="006D150F"/>
    <w:rsid w:val="006D19D0"/>
    <w:rsid w:val="006D1EDC"/>
    <w:rsid w:val="006D23F3"/>
    <w:rsid w:val="006D24B2"/>
    <w:rsid w:val="006D24E5"/>
    <w:rsid w:val="006D2C9A"/>
    <w:rsid w:val="006D2F6C"/>
    <w:rsid w:val="006D30E7"/>
    <w:rsid w:val="006D38CD"/>
    <w:rsid w:val="006D3B95"/>
    <w:rsid w:val="006D43F2"/>
    <w:rsid w:val="006D472E"/>
    <w:rsid w:val="006D48E7"/>
    <w:rsid w:val="006D4947"/>
    <w:rsid w:val="006D4CAE"/>
    <w:rsid w:val="006D4DE5"/>
    <w:rsid w:val="006D4E5E"/>
    <w:rsid w:val="006D4EB2"/>
    <w:rsid w:val="006D4F28"/>
    <w:rsid w:val="006D525A"/>
    <w:rsid w:val="006D54D4"/>
    <w:rsid w:val="006D596D"/>
    <w:rsid w:val="006D5ACE"/>
    <w:rsid w:val="006D5CA2"/>
    <w:rsid w:val="006D5DCB"/>
    <w:rsid w:val="006D5E4F"/>
    <w:rsid w:val="006D5F16"/>
    <w:rsid w:val="006D623F"/>
    <w:rsid w:val="006D63AD"/>
    <w:rsid w:val="006D6764"/>
    <w:rsid w:val="006D67D9"/>
    <w:rsid w:val="006D6C93"/>
    <w:rsid w:val="006D72F3"/>
    <w:rsid w:val="006D7378"/>
    <w:rsid w:val="006D7573"/>
    <w:rsid w:val="006D76E8"/>
    <w:rsid w:val="006D78A6"/>
    <w:rsid w:val="006D7D6F"/>
    <w:rsid w:val="006E014C"/>
    <w:rsid w:val="006E018C"/>
    <w:rsid w:val="006E0340"/>
    <w:rsid w:val="006E06F9"/>
    <w:rsid w:val="006E0707"/>
    <w:rsid w:val="006E07A9"/>
    <w:rsid w:val="006E0D91"/>
    <w:rsid w:val="006E0ECE"/>
    <w:rsid w:val="006E1654"/>
    <w:rsid w:val="006E1706"/>
    <w:rsid w:val="006E20E9"/>
    <w:rsid w:val="006E23C3"/>
    <w:rsid w:val="006E245E"/>
    <w:rsid w:val="006E262B"/>
    <w:rsid w:val="006E280D"/>
    <w:rsid w:val="006E2A6B"/>
    <w:rsid w:val="006E2EAE"/>
    <w:rsid w:val="006E31B9"/>
    <w:rsid w:val="006E3280"/>
    <w:rsid w:val="006E3328"/>
    <w:rsid w:val="006E3546"/>
    <w:rsid w:val="006E36CD"/>
    <w:rsid w:val="006E3CB2"/>
    <w:rsid w:val="006E3DA8"/>
    <w:rsid w:val="006E405D"/>
    <w:rsid w:val="006E4264"/>
    <w:rsid w:val="006E427D"/>
    <w:rsid w:val="006E44DF"/>
    <w:rsid w:val="006E4AE8"/>
    <w:rsid w:val="006E4DE6"/>
    <w:rsid w:val="006E509C"/>
    <w:rsid w:val="006E51D5"/>
    <w:rsid w:val="006E5ABF"/>
    <w:rsid w:val="006E5DAA"/>
    <w:rsid w:val="006E5F99"/>
    <w:rsid w:val="006E636F"/>
    <w:rsid w:val="006E6441"/>
    <w:rsid w:val="006E644B"/>
    <w:rsid w:val="006E7006"/>
    <w:rsid w:val="006E708D"/>
    <w:rsid w:val="006E71B0"/>
    <w:rsid w:val="006E71CB"/>
    <w:rsid w:val="006E742E"/>
    <w:rsid w:val="006E7BB5"/>
    <w:rsid w:val="006E7C54"/>
    <w:rsid w:val="006E7E2E"/>
    <w:rsid w:val="006E7EFC"/>
    <w:rsid w:val="006E7F28"/>
    <w:rsid w:val="006F00E7"/>
    <w:rsid w:val="006F02D4"/>
    <w:rsid w:val="006F0A09"/>
    <w:rsid w:val="006F0C71"/>
    <w:rsid w:val="006F0F6E"/>
    <w:rsid w:val="006F134A"/>
    <w:rsid w:val="006F1B22"/>
    <w:rsid w:val="006F1BA4"/>
    <w:rsid w:val="006F1D66"/>
    <w:rsid w:val="006F2259"/>
    <w:rsid w:val="006F231D"/>
    <w:rsid w:val="006F23E1"/>
    <w:rsid w:val="006F24FF"/>
    <w:rsid w:val="006F258E"/>
    <w:rsid w:val="006F26F1"/>
    <w:rsid w:val="006F2F8F"/>
    <w:rsid w:val="006F2FDA"/>
    <w:rsid w:val="006F2FE5"/>
    <w:rsid w:val="006F309C"/>
    <w:rsid w:val="006F3280"/>
    <w:rsid w:val="006F3460"/>
    <w:rsid w:val="006F34FE"/>
    <w:rsid w:val="006F3615"/>
    <w:rsid w:val="006F3B3F"/>
    <w:rsid w:val="006F3D38"/>
    <w:rsid w:val="006F3D80"/>
    <w:rsid w:val="006F3D99"/>
    <w:rsid w:val="006F3FA3"/>
    <w:rsid w:val="006F443D"/>
    <w:rsid w:val="006F4606"/>
    <w:rsid w:val="006F48BA"/>
    <w:rsid w:val="006F4AF9"/>
    <w:rsid w:val="006F54EB"/>
    <w:rsid w:val="006F5CC1"/>
    <w:rsid w:val="006F61FB"/>
    <w:rsid w:val="006F6301"/>
    <w:rsid w:val="006F665E"/>
    <w:rsid w:val="006F67A5"/>
    <w:rsid w:val="006F701B"/>
    <w:rsid w:val="006F729F"/>
    <w:rsid w:val="006F762D"/>
    <w:rsid w:val="006F7891"/>
    <w:rsid w:val="00700267"/>
    <w:rsid w:val="00700492"/>
    <w:rsid w:val="007009AC"/>
    <w:rsid w:val="00701095"/>
    <w:rsid w:val="0070167E"/>
    <w:rsid w:val="007016EE"/>
    <w:rsid w:val="00701C48"/>
    <w:rsid w:val="00701CEB"/>
    <w:rsid w:val="00701E1B"/>
    <w:rsid w:val="00702C9B"/>
    <w:rsid w:val="00702ED0"/>
    <w:rsid w:val="00703227"/>
    <w:rsid w:val="00703B9B"/>
    <w:rsid w:val="00703C09"/>
    <w:rsid w:val="0070434A"/>
    <w:rsid w:val="007048C4"/>
    <w:rsid w:val="00704B63"/>
    <w:rsid w:val="00704CC4"/>
    <w:rsid w:val="00705345"/>
    <w:rsid w:val="007054D9"/>
    <w:rsid w:val="00705A9B"/>
    <w:rsid w:val="0070638D"/>
    <w:rsid w:val="00706B73"/>
    <w:rsid w:val="00706CF5"/>
    <w:rsid w:val="00706DBF"/>
    <w:rsid w:val="0070709A"/>
    <w:rsid w:val="007076F2"/>
    <w:rsid w:val="007078C3"/>
    <w:rsid w:val="007079B8"/>
    <w:rsid w:val="00707A59"/>
    <w:rsid w:val="00707C47"/>
    <w:rsid w:val="00707C5B"/>
    <w:rsid w:val="00710287"/>
    <w:rsid w:val="0071046B"/>
    <w:rsid w:val="00710879"/>
    <w:rsid w:val="00710A42"/>
    <w:rsid w:val="00710AC6"/>
    <w:rsid w:val="00710C1D"/>
    <w:rsid w:val="00710D08"/>
    <w:rsid w:val="00710E79"/>
    <w:rsid w:val="007110A3"/>
    <w:rsid w:val="00711108"/>
    <w:rsid w:val="00711213"/>
    <w:rsid w:val="007112A1"/>
    <w:rsid w:val="007115A1"/>
    <w:rsid w:val="007115FD"/>
    <w:rsid w:val="007117E0"/>
    <w:rsid w:val="00711996"/>
    <w:rsid w:val="00711AB3"/>
    <w:rsid w:val="00711B3B"/>
    <w:rsid w:val="00711BA3"/>
    <w:rsid w:val="00711C9D"/>
    <w:rsid w:val="00712141"/>
    <w:rsid w:val="00712205"/>
    <w:rsid w:val="00712B71"/>
    <w:rsid w:val="00712C2D"/>
    <w:rsid w:val="00712E55"/>
    <w:rsid w:val="00712FEC"/>
    <w:rsid w:val="00713023"/>
    <w:rsid w:val="0071322C"/>
    <w:rsid w:val="00713745"/>
    <w:rsid w:val="00713779"/>
    <w:rsid w:val="00713989"/>
    <w:rsid w:val="00713DCF"/>
    <w:rsid w:val="00714004"/>
    <w:rsid w:val="0071436D"/>
    <w:rsid w:val="0071458E"/>
    <w:rsid w:val="007145C9"/>
    <w:rsid w:val="00714631"/>
    <w:rsid w:val="00714B6E"/>
    <w:rsid w:val="00714C32"/>
    <w:rsid w:val="00714D9E"/>
    <w:rsid w:val="00714F4A"/>
    <w:rsid w:val="0071512F"/>
    <w:rsid w:val="00716095"/>
    <w:rsid w:val="007165B8"/>
    <w:rsid w:val="007165BF"/>
    <w:rsid w:val="007167E2"/>
    <w:rsid w:val="007169AC"/>
    <w:rsid w:val="007169DD"/>
    <w:rsid w:val="00716B38"/>
    <w:rsid w:val="00716F68"/>
    <w:rsid w:val="007174B5"/>
    <w:rsid w:val="007174FB"/>
    <w:rsid w:val="00717679"/>
    <w:rsid w:val="0071769F"/>
    <w:rsid w:val="007178FD"/>
    <w:rsid w:val="00717B51"/>
    <w:rsid w:val="00717B67"/>
    <w:rsid w:val="00717D29"/>
    <w:rsid w:val="007200E8"/>
    <w:rsid w:val="007206A2"/>
    <w:rsid w:val="007209D6"/>
    <w:rsid w:val="00720B38"/>
    <w:rsid w:val="00720CA7"/>
    <w:rsid w:val="00720D7C"/>
    <w:rsid w:val="00720D85"/>
    <w:rsid w:val="00720EF1"/>
    <w:rsid w:val="007212DA"/>
    <w:rsid w:val="0072147B"/>
    <w:rsid w:val="00721779"/>
    <w:rsid w:val="0072181E"/>
    <w:rsid w:val="00721831"/>
    <w:rsid w:val="00721A69"/>
    <w:rsid w:val="00722267"/>
    <w:rsid w:val="0072260A"/>
    <w:rsid w:val="0072285E"/>
    <w:rsid w:val="00722C62"/>
    <w:rsid w:val="00722FBF"/>
    <w:rsid w:val="007230D0"/>
    <w:rsid w:val="0072321F"/>
    <w:rsid w:val="00723234"/>
    <w:rsid w:val="00723295"/>
    <w:rsid w:val="007237F4"/>
    <w:rsid w:val="007238E2"/>
    <w:rsid w:val="00723943"/>
    <w:rsid w:val="007239B4"/>
    <w:rsid w:val="007240E8"/>
    <w:rsid w:val="00724155"/>
    <w:rsid w:val="007241A2"/>
    <w:rsid w:val="007243DF"/>
    <w:rsid w:val="007243E2"/>
    <w:rsid w:val="00724446"/>
    <w:rsid w:val="00724584"/>
    <w:rsid w:val="007245DE"/>
    <w:rsid w:val="00724653"/>
    <w:rsid w:val="00724AA1"/>
    <w:rsid w:val="00724BF9"/>
    <w:rsid w:val="00724D39"/>
    <w:rsid w:val="007254AD"/>
    <w:rsid w:val="007256EB"/>
    <w:rsid w:val="007257B3"/>
    <w:rsid w:val="00725A19"/>
    <w:rsid w:val="00725BC2"/>
    <w:rsid w:val="00725D20"/>
    <w:rsid w:val="00725DED"/>
    <w:rsid w:val="00726356"/>
    <w:rsid w:val="00726810"/>
    <w:rsid w:val="007268C7"/>
    <w:rsid w:val="00726AAB"/>
    <w:rsid w:val="00727077"/>
    <w:rsid w:val="00727990"/>
    <w:rsid w:val="00727D7C"/>
    <w:rsid w:val="00727EFC"/>
    <w:rsid w:val="00730717"/>
    <w:rsid w:val="00730EA6"/>
    <w:rsid w:val="00731C15"/>
    <w:rsid w:val="00731F52"/>
    <w:rsid w:val="00732045"/>
    <w:rsid w:val="007321D6"/>
    <w:rsid w:val="007322A0"/>
    <w:rsid w:val="007325CA"/>
    <w:rsid w:val="00732C1A"/>
    <w:rsid w:val="00732CC8"/>
    <w:rsid w:val="00732F2D"/>
    <w:rsid w:val="0073342A"/>
    <w:rsid w:val="007334D3"/>
    <w:rsid w:val="007334E9"/>
    <w:rsid w:val="00733708"/>
    <w:rsid w:val="0073387B"/>
    <w:rsid w:val="00733CDC"/>
    <w:rsid w:val="00734197"/>
    <w:rsid w:val="00734223"/>
    <w:rsid w:val="007344C8"/>
    <w:rsid w:val="00734A3E"/>
    <w:rsid w:val="00734AE2"/>
    <w:rsid w:val="00734B9A"/>
    <w:rsid w:val="00734BE2"/>
    <w:rsid w:val="00734E48"/>
    <w:rsid w:val="007350B6"/>
    <w:rsid w:val="00735695"/>
    <w:rsid w:val="007359DD"/>
    <w:rsid w:val="00735A8A"/>
    <w:rsid w:val="007360CB"/>
    <w:rsid w:val="0073679A"/>
    <w:rsid w:val="0073683B"/>
    <w:rsid w:val="007369F5"/>
    <w:rsid w:val="00736E2C"/>
    <w:rsid w:val="00737002"/>
    <w:rsid w:val="0073710B"/>
    <w:rsid w:val="0073739E"/>
    <w:rsid w:val="0073741F"/>
    <w:rsid w:val="00737566"/>
    <w:rsid w:val="0073763C"/>
    <w:rsid w:val="00737A9E"/>
    <w:rsid w:val="00737AF2"/>
    <w:rsid w:val="00740531"/>
    <w:rsid w:val="00740ACE"/>
    <w:rsid w:val="00740B71"/>
    <w:rsid w:val="00740D7F"/>
    <w:rsid w:val="00741A30"/>
    <w:rsid w:val="00741BA2"/>
    <w:rsid w:val="00741CF4"/>
    <w:rsid w:val="00741DCC"/>
    <w:rsid w:val="00741DE2"/>
    <w:rsid w:val="00741E17"/>
    <w:rsid w:val="007421A1"/>
    <w:rsid w:val="007427F5"/>
    <w:rsid w:val="007427FE"/>
    <w:rsid w:val="0074289A"/>
    <w:rsid w:val="00742AA9"/>
    <w:rsid w:val="00742C51"/>
    <w:rsid w:val="00742EFD"/>
    <w:rsid w:val="00743145"/>
    <w:rsid w:val="0074329E"/>
    <w:rsid w:val="00743445"/>
    <w:rsid w:val="00743A95"/>
    <w:rsid w:val="00743C41"/>
    <w:rsid w:val="00743CE9"/>
    <w:rsid w:val="00743D43"/>
    <w:rsid w:val="00743E83"/>
    <w:rsid w:val="007443D2"/>
    <w:rsid w:val="007446D5"/>
    <w:rsid w:val="00744712"/>
    <w:rsid w:val="00744A41"/>
    <w:rsid w:val="00744A97"/>
    <w:rsid w:val="007450E8"/>
    <w:rsid w:val="007456C0"/>
    <w:rsid w:val="00745E01"/>
    <w:rsid w:val="007461A3"/>
    <w:rsid w:val="0074666B"/>
    <w:rsid w:val="007466CA"/>
    <w:rsid w:val="007468D6"/>
    <w:rsid w:val="00746901"/>
    <w:rsid w:val="00746BFF"/>
    <w:rsid w:val="00746C68"/>
    <w:rsid w:val="00746E81"/>
    <w:rsid w:val="007473E1"/>
    <w:rsid w:val="00747897"/>
    <w:rsid w:val="00747BEB"/>
    <w:rsid w:val="00747C1E"/>
    <w:rsid w:val="00747E47"/>
    <w:rsid w:val="00747F3F"/>
    <w:rsid w:val="00747F4C"/>
    <w:rsid w:val="00747F93"/>
    <w:rsid w:val="00748EAF"/>
    <w:rsid w:val="00750192"/>
    <w:rsid w:val="007502F0"/>
    <w:rsid w:val="007504E1"/>
    <w:rsid w:val="00750544"/>
    <w:rsid w:val="00750804"/>
    <w:rsid w:val="00750994"/>
    <w:rsid w:val="007509AB"/>
    <w:rsid w:val="00750A12"/>
    <w:rsid w:val="00750B47"/>
    <w:rsid w:val="007512C1"/>
    <w:rsid w:val="00751689"/>
    <w:rsid w:val="007519F8"/>
    <w:rsid w:val="00751E2F"/>
    <w:rsid w:val="00751FEE"/>
    <w:rsid w:val="00752393"/>
    <w:rsid w:val="007523A7"/>
    <w:rsid w:val="007524AA"/>
    <w:rsid w:val="007527AE"/>
    <w:rsid w:val="00752B9D"/>
    <w:rsid w:val="0075328A"/>
    <w:rsid w:val="00753744"/>
    <w:rsid w:val="00753A93"/>
    <w:rsid w:val="00753B08"/>
    <w:rsid w:val="007547ED"/>
    <w:rsid w:val="00754C9A"/>
    <w:rsid w:val="00755066"/>
    <w:rsid w:val="0075521A"/>
    <w:rsid w:val="0075545E"/>
    <w:rsid w:val="00755663"/>
    <w:rsid w:val="0075586A"/>
    <w:rsid w:val="00755B32"/>
    <w:rsid w:val="00755B61"/>
    <w:rsid w:val="00755BBF"/>
    <w:rsid w:val="00755EE0"/>
    <w:rsid w:val="00756026"/>
    <w:rsid w:val="00756386"/>
    <w:rsid w:val="00756603"/>
    <w:rsid w:val="00756671"/>
    <w:rsid w:val="00756700"/>
    <w:rsid w:val="0075697F"/>
    <w:rsid w:val="00756DC4"/>
    <w:rsid w:val="007575C0"/>
    <w:rsid w:val="00757739"/>
    <w:rsid w:val="00757867"/>
    <w:rsid w:val="007579B6"/>
    <w:rsid w:val="00757D2F"/>
    <w:rsid w:val="00757E95"/>
    <w:rsid w:val="0076000E"/>
    <w:rsid w:val="00760190"/>
    <w:rsid w:val="00760C00"/>
    <w:rsid w:val="007610E9"/>
    <w:rsid w:val="007612B7"/>
    <w:rsid w:val="00761596"/>
    <w:rsid w:val="00761728"/>
    <w:rsid w:val="00761A8B"/>
    <w:rsid w:val="00761C6C"/>
    <w:rsid w:val="00761ED8"/>
    <w:rsid w:val="007620A8"/>
    <w:rsid w:val="00762129"/>
    <w:rsid w:val="0076226F"/>
    <w:rsid w:val="007628F9"/>
    <w:rsid w:val="00762B72"/>
    <w:rsid w:val="00762BE0"/>
    <w:rsid w:val="007633F0"/>
    <w:rsid w:val="007635F6"/>
    <w:rsid w:val="00763882"/>
    <w:rsid w:val="00763A8A"/>
    <w:rsid w:val="00763CCB"/>
    <w:rsid w:val="00763DC9"/>
    <w:rsid w:val="007642B4"/>
    <w:rsid w:val="00764910"/>
    <w:rsid w:val="00764B4D"/>
    <w:rsid w:val="00764C45"/>
    <w:rsid w:val="00764C7F"/>
    <w:rsid w:val="00764E01"/>
    <w:rsid w:val="0076503D"/>
    <w:rsid w:val="00765DED"/>
    <w:rsid w:val="00766277"/>
    <w:rsid w:val="0076656A"/>
    <w:rsid w:val="00766701"/>
    <w:rsid w:val="00766717"/>
    <w:rsid w:val="00766911"/>
    <w:rsid w:val="00766CC3"/>
    <w:rsid w:val="00766CDC"/>
    <w:rsid w:val="00766D2E"/>
    <w:rsid w:val="0076748F"/>
    <w:rsid w:val="007676A7"/>
    <w:rsid w:val="007676F0"/>
    <w:rsid w:val="00767793"/>
    <w:rsid w:val="0076784B"/>
    <w:rsid w:val="007679D8"/>
    <w:rsid w:val="007679F4"/>
    <w:rsid w:val="00767CE2"/>
    <w:rsid w:val="007705F6"/>
    <w:rsid w:val="00770724"/>
    <w:rsid w:val="00770803"/>
    <w:rsid w:val="007708D3"/>
    <w:rsid w:val="007708EC"/>
    <w:rsid w:val="0077103C"/>
    <w:rsid w:val="00771319"/>
    <w:rsid w:val="007713E8"/>
    <w:rsid w:val="0077150E"/>
    <w:rsid w:val="00771794"/>
    <w:rsid w:val="00771BCD"/>
    <w:rsid w:val="00771CCF"/>
    <w:rsid w:val="00771DC1"/>
    <w:rsid w:val="00771E55"/>
    <w:rsid w:val="00771F7D"/>
    <w:rsid w:val="0077220E"/>
    <w:rsid w:val="007722AA"/>
    <w:rsid w:val="007727F9"/>
    <w:rsid w:val="00772A4E"/>
    <w:rsid w:val="00772ADF"/>
    <w:rsid w:val="00772C3E"/>
    <w:rsid w:val="00773214"/>
    <w:rsid w:val="007733C0"/>
    <w:rsid w:val="00773567"/>
    <w:rsid w:val="007736E8"/>
    <w:rsid w:val="0077375B"/>
    <w:rsid w:val="00774270"/>
    <w:rsid w:val="0077435A"/>
    <w:rsid w:val="00774400"/>
    <w:rsid w:val="00774418"/>
    <w:rsid w:val="007744BF"/>
    <w:rsid w:val="00774844"/>
    <w:rsid w:val="00774A71"/>
    <w:rsid w:val="00774ACE"/>
    <w:rsid w:val="00774BCA"/>
    <w:rsid w:val="00774F65"/>
    <w:rsid w:val="00774FED"/>
    <w:rsid w:val="0077517E"/>
    <w:rsid w:val="0077578E"/>
    <w:rsid w:val="00775823"/>
    <w:rsid w:val="00775B06"/>
    <w:rsid w:val="00775F57"/>
    <w:rsid w:val="007761B8"/>
    <w:rsid w:val="007764C8"/>
    <w:rsid w:val="00776584"/>
    <w:rsid w:val="007769EF"/>
    <w:rsid w:val="00776A93"/>
    <w:rsid w:val="00776D4F"/>
    <w:rsid w:val="00776DDC"/>
    <w:rsid w:val="00776F5A"/>
    <w:rsid w:val="007770F9"/>
    <w:rsid w:val="00777179"/>
    <w:rsid w:val="007772B4"/>
    <w:rsid w:val="007776C6"/>
    <w:rsid w:val="007777EC"/>
    <w:rsid w:val="00777945"/>
    <w:rsid w:val="00777D40"/>
    <w:rsid w:val="00777FDE"/>
    <w:rsid w:val="007806BC"/>
    <w:rsid w:val="007807BF"/>
    <w:rsid w:val="00780B8D"/>
    <w:rsid w:val="00780B8E"/>
    <w:rsid w:val="00780DDB"/>
    <w:rsid w:val="007812A7"/>
    <w:rsid w:val="00781649"/>
    <w:rsid w:val="00781B22"/>
    <w:rsid w:val="00781E39"/>
    <w:rsid w:val="00781E45"/>
    <w:rsid w:val="00782001"/>
    <w:rsid w:val="007823D6"/>
    <w:rsid w:val="0078254E"/>
    <w:rsid w:val="0078255A"/>
    <w:rsid w:val="0078257E"/>
    <w:rsid w:val="00782628"/>
    <w:rsid w:val="007826AB"/>
    <w:rsid w:val="007827D5"/>
    <w:rsid w:val="0078349E"/>
    <w:rsid w:val="007835A7"/>
    <w:rsid w:val="00783759"/>
    <w:rsid w:val="00784085"/>
    <w:rsid w:val="007840E2"/>
    <w:rsid w:val="007844BD"/>
    <w:rsid w:val="007844FE"/>
    <w:rsid w:val="00784955"/>
    <w:rsid w:val="00784A32"/>
    <w:rsid w:val="00784C43"/>
    <w:rsid w:val="00784D94"/>
    <w:rsid w:val="00784F5D"/>
    <w:rsid w:val="0078555E"/>
    <w:rsid w:val="00785570"/>
    <w:rsid w:val="0078569F"/>
    <w:rsid w:val="0078574B"/>
    <w:rsid w:val="00785803"/>
    <w:rsid w:val="00785A1F"/>
    <w:rsid w:val="00785A5B"/>
    <w:rsid w:val="00785A82"/>
    <w:rsid w:val="00785EB4"/>
    <w:rsid w:val="0078609A"/>
    <w:rsid w:val="007865CC"/>
    <w:rsid w:val="00786912"/>
    <w:rsid w:val="00786C0B"/>
    <w:rsid w:val="00786C8E"/>
    <w:rsid w:val="00786D8B"/>
    <w:rsid w:val="00786F85"/>
    <w:rsid w:val="007870B1"/>
    <w:rsid w:val="0078731A"/>
    <w:rsid w:val="007873C5"/>
    <w:rsid w:val="00787487"/>
    <w:rsid w:val="00787540"/>
    <w:rsid w:val="007875D6"/>
    <w:rsid w:val="0078776D"/>
    <w:rsid w:val="0078778C"/>
    <w:rsid w:val="00787901"/>
    <w:rsid w:val="00787F19"/>
    <w:rsid w:val="00790655"/>
    <w:rsid w:val="007906F1"/>
    <w:rsid w:val="00790B4E"/>
    <w:rsid w:val="00790C7A"/>
    <w:rsid w:val="00790EDA"/>
    <w:rsid w:val="007910DB"/>
    <w:rsid w:val="00791349"/>
    <w:rsid w:val="007913BF"/>
    <w:rsid w:val="0079187F"/>
    <w:rsid w:val="00791D85"/>
    <w:rsid w:val="00791DAF"/>
    <w:rsid w:val="00791E10"/>
    <w:rsid w:val="007922B9"/>
    <w:rsid w:val="0079244F"/>
    <w:rsid w:val="007924CA"/>
    <w:rsid w:val="00792592"/>
    <w:rsid w:val="00792A0A"/>
    <w:rsid w:val="00792C58"/>
    <w:rsid w:val="00792FE0"/>
    <w:rsid w:val="00793303"/>
    <w:rsid w:val="00793324"/>
    <w:rsid w:val="0079342A"/>
    <w:rsid w:val="00793827"/>
    <w:rsid w:val="00793B01"/>
    <w:rsid w:val="00793FB4"/>
    <w:rsid w:val="00793FE9"/>
    <w:rsid w:val="0079419D"/>
    <w:rsid w:val="007949E2"/>
    <w:rsid w:val="00794CBF"/>
    <w:rsid w:val="00794DDE"/>
    <w:rsid w:val="00794F70"/>
    <w:rsid w:val="007951B9"/>
    <w:rsid w:val="00795365"/>
    <w:rsid w:val="0079567E"/>
    <w:rsid w:val="00795952"/>
    <w:rsid w:val="007959B5"/>
    <w:rsid w:val="00795B19"/>
    <w:rsid w:val="00795ED0"/>
    <w:rsid w:val="007961D5"/>
    <w:rsid w:val="0079639D"/>
    <w:rsid w:val="007966AD"/>
    <w:rsid w:val="00796780"/>
    <w:rsid w:val="00796A6F"/>
    <w:rsid w:val="00796C5D"/>
    <w:rsid w:val="00797250"/>
    <w:rsid w:val="00797348"/>
    <w:rsid w:val="00797521"/>
    <w:rsid w:val="00797850"/>
    <w:rsid w:val="00797B06"/>
    <w:rsid w:val="00797B9C"/>
    <w:rsid w:val="00797CDC"/>
    <w:rsid w:val="00797D25"/>
    <w:rsid w:val="007A007F"/>
    <w:rsid w:val="007A00DD"/>
    <w:rsid w:val="007A0483"/>
    <w:rsid w:val="007A0E56"/>
    <w:rsid w:val="007A0EE3"/>
    <w:rsid w:val="007A1065"/>
    <w:rsid w:val="007A1103"/>
    <w:rsid w:val="007A1804"/>
    <w:rsid w:val="007A1B62"/>
    <w:rsid w:val="007A1C88"/>
    <w:rsid w:val="007A1D86"/>
    <w:rsid w:val="007A2375"/>
    <w:rsid w:val="007A25E8"/>
    <w:rsid w:val="007A2942"/>
    <w:rsid w:val="007A2A97"/>
    <w:rsid w:val="007A2C56"/>
    <w:rsid w:val="007A2CDC"/>
    <w:rsid w:val="007A3185"/>
    <w:rsid w:val="007A33F0"/>
    <w:rsid w:val="007A3576"/>
    <w:rsid w:val="007A371B"/>
    <w:rsid w:val="007A3832"/>
    <w:rsid w:val="007A388B"/>
    <w:rsid w:val="007A3A0F"/>
    <w:rsid w:val="007A3E60"/>
    <w:rsid w:val="007A407D"/>
    <w:rsid w:val="007A40D2"/>
    <w:rsid w:val="007A42C3"/>
    <w:rsid w:val="007A464F"/>
    <w:rsid w:val="007A4D2E"/>
    <w:rsid w:val="007A4E09"/>
    <w:rsid w:val="007A4F4F"/>
    <w:rsid w:val="007A5203"/>
    <w:rsid w:val="007A5B2B"/>
    <w:rsid w:val="007A5CC9"/>
    <w:rsid w:val="007A5D54"/>
    <w:rsid w:val="007A6196"/>
    <w:rsid w:val="007A61DC"/>
    <w:rsid w:val="007A63D5"/>
    <w:rsid w:val="007A6786"/>
    <w:rsid w:val="007A67B7"/>
    <w:rsid w:val="007A689A"/>
    <w:rsid w:val="007A68C4"/>
    <w:rsid w:val="007A68EA"/>
    <w:rsid w:val="007A68F8"/>
    <w:rsid w:val="007A6B7D"/>
    <w:rsid w:val="007A6FB8"/>
    <w:rsid w:val="007A70B1"/>
    <w:rsid w:val="007A7314"/>
    <w:rsid w:val="007A7353"/>
    <w:rsid w:val="007A7629"/>
    <w:rsid w:val="007A7A77"/>
    <w:rsid w:val="007A7CAE"/>
    <w:rsid w:val="007A7D0C"/>
    <w:rsid w:val="007B027A"/>
    <w:rsid w:val="007B0350"/>
    <w:rsid w:val="007B0A6F"/>
    <w:rsid w:val="007B0CBB"/>
    <w:rsid w:val="007B1027"/>
    <w:rsid w:val="007B1197"/>
    <w:rsid w:val="007B1232"/>
    <w:rsid w:val="007B1288"/>
    <w:rsid w:val="007B1487"/>
    <w:rsid w:val="007B1691"/>
    <w:rsid w:val="007B1739"/>
    <w:rsid w:val="007B174F"/>
    <w:rsid w:val="007B1863"/>
    <w:rsid w:val="007B191B"/>
    <w:rsid w:val="007B19D2"/>
    <w:rsid w:val="007B1BD0"/>
    <w:rsid w:val="007B1D8E"/>
    <w:rsid w:val="007B22E0"/>
    <w:rsid w:val="007B245E"/>
    <w:rsid w:val="007B27E5"/>
    <w:rsid w:val="007B28CA"/>
    <w:rsid w:val="007B3292"/>
    <w:rsid w:val="007B358D"/>
    <w:rsid w:val="007B3A4A"/>
    <w:rsid w:val="007B3D4B"/>
    <w:rsid w:val="007B3EAC"/>
    <w:rsid w:val="007B3F41"/>
    <w:rsid w:val="007B3F87"/>
    <w:rsid w:val="007B4B22"/>
    <w:rsid w:val="007B4F1C"/>
    <w:rsid w:val="007B5401"/>
    <w:rsid w:val="007B5589"/>
    <w:rsid w:val="007B55A9"/>
    <w:rsid w:val="007B575E"/>
    <w:rsid w:val="007B5946"/>
    <w:rsid w:val="007B5FB4"/>
    <w:rsid w:val="007B6502"/>
    <w:rsid w:val="007B6B2B"/>
    <w:rsid w:val="007B6DEA"/>
    <w:rsid w:val="007B7949"/>
    <w:rsid w:val="007B7B04"/>
    <w:rsid w:val="007B7D30"/>
    <w:rsid w:val="007B7FB2"/>
    <w:rsid w:val="007C0224"/>
    <w:rsid w:val="007C09D2"/>
    <w:rsid w:val="007C0EC3"/>
    <w:rsid w:val="007C0FA9"/>
    <w:rsid w:val="007C10D0"/>
    <w:rsid w:val="007C13CC"/>
    <w:rsid w:val="007C1552"/>
    <w:rsid w:val="007C1801"/>
    <w:rsid w:val="007C1844"/>
    <w:rsid w:val="007C1B3A"/>
    <w:rsid w:val="007C220D"/>
    <w:rsid w:val="007C2413"/>
    <w:rsid w:val="007C2476"/>
    <w:rsid w:val="007C24A1"/>
    <w:rsid w:val="007C25AE"/>
    <w:rsid w:val="007C268A"/>
    <w:rsid w:val="007C3152"/>
    <w:rsid w:val="007C3210"/>
    <w:rsid w:val="007C3267"/>
    <w:rsid w:val="007C333B"/>
    <w:rsid w:val="007C3409"/>
    <w:rsid w:val="007C383A"/>
    <w:rsid w:val="007C3914"/>
    <w:rsid w:val="007C3A9F"/>
    <w:rsid w:val="007C3C50"/>
    <w:rsid w:val="007C3CEA"/>
    <w:rsid w:val="007C3D92"/>
    <w:rsid w:val="007C3E98"/>
    <w:rsid w:val="007C3F00"/>
    <w:rsid w:val="007C3F76"/>
    <w:rsid w:val="007C3F8F"/>
    <w:rsid w:val="007C423D"/>
    <w:rsid w:val="007C45AF"/>
    <w:rsid w:val="007C5121"/>
    <w:rsid w:val="007C5329"/>
    <w:rsid w:val="007C543B"/>
    <w:rsid w:val="007C55CE"/>
    <w:rsid w:val="007C5A8F"/>
    <w:rsid w:val="007C5B38"/>
    <w:rsid w:val="007C5D5A"/>
    <w:rsid w:val="007C5E9B"/>
    <w:rsid w:val="007C6469"/>
    <w:rsid w:val="007C6630"/>
    <w:rsid w:val="007C6BE6"/>
    <w:rsid w:val="007C6E7E"/>
    <w:rsid w:val="007C752B"/>
    <w:rsid w:val="007C76E0"/>
    <w:rsid w:val="007C76E8"/>
    <w:rsid w:val="007C7C81"/>
    <w:rsid w:val="007D01C2"/>
    <w:rsid w:val="007D01E6"/>
    <w:rsid w:val="007D0228"/>
    <w:rsid w:val="007D035E"/>
    <w:rsid w:val="007D0396"/>
    <w:rsid w:val="007D0415"/>
    <w:rsid w:val="007D0644"/>
    <w:rsid w:val="007D082A"/>
    <w:rsid w:val="007D0E08"/>
    <w:rsid w:val="007D1047"/>
    <w:rsid w:val="007D1801"/>
    <w:rsid w:val="007D1842"/>
    <w:rsid w:val="007D1FE0"/>
    <w:rsid w:val="007D20BB"/>
    <w:rsid w:val="007D223B"/>
    <w:rsid w:val="007D228B"/>
    <w:rsid w:val="007D261E"/>
    <w:rsid w:val="007D291C"/>
    <w:rsid w:val="007D2AC6"/>
    <w:rsid w:val="007D2CF6"/>
    <w:rsid w:val="007D2F61"/>
    <w:rsid w:val="007D3004"/>
    <w:rsid w:val="007D318A"/>
    <w:rsid w:val="007D3664"/>
    <w:rsid w:val="007D3C6B"/>
    <w:rsid w:val="007D3D0E"/>
    <w:rsid w:val="007D3D33"/>
    <w:rsid w:val="007D41C2"/>
    <w:rsid w:val="007D4C74"/>
    <w:rsid w:val="007D4E04"/>
    <w:rsid w:val="007D4F02"/>
    <w:rsid w:val="007D5097"/>
    <w:rsid w:val="007D5237"/>
    <w:rsid w:val="007D564C"/>
    <w:rsid w:val="007D5D60"/>
    <w:rsid w:val="007D5DA1"/>
    <w:rsid w:val="007D6003"/>
    <w:rsid w:val="007D616B"/>
    <w:rsid w:val="007D6241"/>
    <w:rsid w:val="007D6455"/>
    <w:rsid w:val="007D65BB"/>
    <w:rsid w:val="007D674C"/>
    <w:rsid w:val="007D6841"/>
    <w:rsid w:val="007D68BB"/>
    <w:rsid w:val="007D6B7B"/>
    <w:rsid w:val="007D6CF1"/>
    <w:rsid w:val="007D6F42"/>
    <w:rsid w:val="007D7131"/>
    <w:rsid w:val="007D7676"/>
    <w:rsid w:val="007D7BEC"/>
    <w:rsid w:val="007D7CE3"/>
    <w:rsid w:val="007E02D4"/>
    <w:rsid w:val="007E040E"/>
    <w:rsid w:val="007E045B"/>
    <w:rsid w:val="007E051A"/>
    <w:rsid w:val="007E0798"/>
    <w:rsid w:val="007E0B53"/>
    <w:rsid w:val="007E0D99"/>
    <w:rsid w:val="007E134D"/>
    <w:rsid w:val="007E1A65"/>
    <w:rsid w:val="007E1A98"/>
    <w:rsid w:val="007E1B72"/>
    <w:rsid w:val="007E1C76"/>
    <w:rsid w:val="007E1CBA"/>
    <w:rsid w:val="007E1CCD"/>
    <w:rsid w:val="007E1E43"/>
    <w:rsid w:val="007E22B4"/>
    <w:rsid w:val="007E247D"/>
    <w:rsid w:val="007E24BF"/>
    <w:rsid w:val="007E29D3"/>
    <w:rsid w:val="007E2DDA"/>
    <w:rsid w:val="007E2F63"/>
    <w:rsid w:val="007E33E6"/>
    <w:rsid w:val="007E3527"/>
    <w:rsid w:val="007E3EE3"/>
    <w:rsid w:val="007E42D9"/>
    <w:rsid w:val="007E462F"/>
    <w:rsid w:val="007E4A65"/>
    <w:rsid w:val="007E4D26"/>
    <w:rsid w:val="007E506A"/>
    <w:rsid w:val="007E52A3"/>
    <w:rsid w:val="007E5483"/>
    <w:rsid w:val="007E57DE"/>
    <w:rsid w:val="007E5902"/>
    <w:rsid w:val="007E5C47"/>
    <w:rsid w:val="007E614B"/>
    <w:rsid w:val="007E63AD"/>
    <w:rsid w:val="007E6453"/>
    <w:rsid w:val="007E64BF"/>
    <w:rsid w:val="007E65EF"/>
    <w:rsid w:val="007E670C"/>
    <w:rsid w:val="007E6719"/>
    <w:rsid w:val="007E68ED"/>
    <w:rsid w:val="007E69ED"/>
    <w:rsid w:val="007E76C1"/>
    <w:rsid w:val="007E796B"/>
    <w:rsid w:val="007E7B2D"/>
    <w:rsid w:val="007E7B84"/>
    <w:rsid w:val="007E7C53"/>
    <w:rsid w:val="007F014A"/>
    <w:rsid w:val="007F0221"/>
    <w:rsid w:val="007F034B"/>
    <w:rsid w:val="007F03BB"/>
    <w:rsid w:val="007F04D2"/>
    <w:rsid w:val="007F07B9"/>
    <w:rsid w:val="007F0928"/>
    <w:rsid w:val="007F0C5E"/>
    <w:rsid w:val="007F0F43"/>
    <w:rsid w:val="007F0F7C"/>
    <w:rsid w:val="007F12FD"/>
    <w:rsid w:val="007F15CE"/>
    <w:rsid w:val="007F1CA7"/>
    <w:rsid w:val="007F1E88"/>
    <w:rsid w:val="007F2122"/>
    <w:rsid w:val="007F2152"/>
    <w:rsid w:val="007F2567"/>
    <w:rsid w:val="007F2A58"/>
    <w:rsid w:val="007F2A8D"/>
    <w:rsid w:val="007F2B96"/>
    <w:rsid w:val="007F2CD7"/>
    <w:rsid w:val="007F3196"/>
    <w:rsid w:val="007F3411"/>
    <w:rsid w:val="007F3568"/>
    <w:rsid w:val="007F3958"/>
    <w:rsid w:val="007F3A1A"/>
    <w:rsid w:val="007F3AE2"/>
    <w:rsid w:val="007F40FA"/>
    <w:rsid w:val="007F422D"/>
    <w:rsid w:val="007F4381"/>
    <w:rsid w:val="007F4913"/>
    <w:rsid w:val="007F4CF1"/>
    <w:rsid w:val="007F4D7E"/>
    <w:rsid w:val="007F4DBA"/>
    <w:rsid w:val="007F4FA2"/>
    <w:rsid w:val="007F519C"/>
    <w:rsid w:val="007F534D"/>
    <w:rsid w:val="007F54A2"/>
    <w:rsid w:val="007F54FE"/>
    <w:rsid w:val="007F5535"/>
    <w:rsid w:val="007F5BF0"/>
    <w:rsid w:val="007F5C7D"/>
    <w:rsid w:val="007F5D32"/>
    <w:rsid w:val="007F5F64"/>
    <w:rsid w:val="007F6942"/>
    <w:rsid w:val="007F6C69"/>
    <w:rsid w:val="007F70A5"/>
    <w:rsid w:val="007F72DC"/>
    <w:rsid w:val="007F769D"/>
    <w:rsid w:val="007F795F"/>
    <w:rsid w:val="007F7A76"/>
    <w:rsid w:val="007F7AC8"/>
    <w:rsid w:val="007F7BD9"/>
    <w:rsid w:val="007F7DF9"/>
    <w:rsid w:val="007F7EA4"/>
    <w:rsid w:val="0080003E"/>
    <w:rsid w:val="00800572"/>
    <w:rsid w:val="0080069C"/>
    <w:rsid w:val="008006FD"/>
    <w:rsid w:val="00800835"/>
    <w:rsid w:val="00801435"/>
    <w:rsid w:val="0080148D"/>
    <w:rsid w:val="0080156B"/>
    <w:rsid w:val="00801A3A"/>
    <w:rsid w:val="00801DD1"/>
    <w:rsid w:val="00802324"/>
    <w:rsid w:val="0080274C"/>
    <w:rsid w:val="00802BF2"/>
    <w:rsid w:val="00803179"/>
    <w:rsid w:val="008031FB"/>
    <w:rsid w:val="0080351D"/>
    <w:rsid w:val="008040EB"/>
    <w:rsid w:val="00804114"/>
    <w:rsid w:val="00804634"/>
    <w:rsid w:val="008047E8"/>
    <w:rsid w:val="008048A9"/>
    <w:rsid w:val="00804ED1"/>
    <w:rsid w:val="0080531E"/>
    <w:rsid w:val="008056E4"/>
    <w:rsid w:val="008058C8"/>
    <w:rsid w:val="00805C3D"/>
    <w:rsid w:val="00805FA6"/>
    <w:rsid w:val="00805FCC"/>
    <w:rsid w:val="008061FA"/>
    <w:rsid w:val="00806379"/>
    <w:rsid w:val="008065EE"/>
    <w:rsid w:val="00806700"/>
    <w:rsid w:val="00806F1D"/>
    <w:rsid w:val="00807445"/>
    <w:rsid w:val="008077ED"/>
    <w:rsid w:val="0080784A"/>
    <w:rsid w:val="00807922"/>
    <w:rsid w:val="00807AE6"/>
    <w:rsid w:val="00807B6F"/>
    <w:rsid w:val="00807C91"/>
    <w:rsid w:val="00807E93"/>
    <w:rsid w:val="00810172"/>
    <w:rsid w:val="008102BA"/>
    <w:rsid w:val="0081072C"/>
    <w:rsid w:val="00810762"/>
    <w:rsid w:val="00810819"/>
    <w:rsid w:val="00810858"/>
    <w:rsid w:val="00810AEA"/>
    <w:rsid w:val="00810C1E"/>
    <w:rsid w:val="00810C92"/>
    <w:rsid w:val="00810EFF"/>
    <w:rsid w:val="0081114C"/>
    <w:rsid w:val="00811314"/>
    <w:rsid w:val="00811A39"/>
    <w:rsid w:val="00812660"/>
    <w:rsid w:val="0081291B"/>
    <w:rsid w:val="00813202"/>
    <w:rsid w:val="00813622"/>
    <w:rsid w:val="00813DCF"/>
    <w:rsid w:val="00813FAB"/>
    <w:rsid w:val="0081450D"/>
    <w:rsid w:val="0081498C"/>
    <w:rsid w:val="008149C0"/>
    <w:rsid w:val="00814AE1"/>
    <w:rsid w:val="00814DAB"/>
    <w:rsid w:val="00814DC3"/>
    <w:rsid w:val="00814E62"/>
    <w:rsid w:val="00815224"/>
    <w:rsid w:val="00815D31"/>
    <w:rsid w:val="00815DE4"/>
    <w:rsid w:val="0081601F"/>
    <w:rsid w:val="00816064"/>
    <w:rsid w:val="008162EA"/>
    <w:rsid w:val="00816757"/>
    <w:rsid w:val="008167C7"/>
    <w:rsid w:val="008169D2"/>
    <w:rsid w:val="00816B7D"/>
    <w:rsid w:val="00816C92"/>
    <w:rsid w:val="00816E02"/>
    <w:rsid w:val="00816F70"/>
    <w:rsid w:val="008173A1"/>
    <w:rsid w:val="008174B2"/>
    <w:rsid w:val="00817CFF"/>
    <w:rsid w:val="0082000D"/>
    <w:rsid w:val="0082031B"/>
    <w:rsid w:val="0082037E"/>
    <w:rsid w:val="008204B4"/>
    <w:rsid w:val="00820A1D"/>
    <w:rsid w:val="00820C9C"/>
    <w:rsid w:val="00820EC5"/>
    <w:rsid w:val="00820F55"/>
    <w:rsid w:val="00821572"/>
    <w:rsid w:val="00822310"/>
    <w:rsid w:val="008228E1"/>
    <w:rsid w:val="00822F12"/>
    <w:rsid w:val="00823794"/>
    <w:rsid w:val="0082379A"/>
    <w:rsid w:val="008237F4"/>
    <w:rsid w:val="00823A9D"/>
    <w:rsid w:val="00823EA2"/>
    <w:rsid w:val="00823F67"/>
    <w:rsid w:val="00824022"/>
    <w:rsid w:val="008243E5"/>
    <w:rsid w:val="008245BE"/>
    <w:rsid w:val="0082466E"/>
    <w:rsid w:val="0082483A"/>
    <w:rsid w:val="00824A39"/>
    <w:rsid w:val="00824A81"/>
    <w:rsid w:val="00824CB5"/>
    <w:rsid w:val="0082513F"/>
    <w:rsid w:val="0082551F"/>
    <w:rsid w:val="008257B8"/>
    <w:rsid w:val="00825933"/>
    <w:rsid w:val="00825AC3"/>
    <w:rsid w:val="00825B5B"/>
    <w:rsid w:val="00825FC2"/>
    <w:rsid w:val="008260ED"/>
    <w:rsid w:val="0082686A"/>
    <w:rsid w:val="00826928"/>
    <w:rsid w:val="0082699D"/>
    <w:rsid w:val="00826E6B"/>
    <w:rsid w:val="00827034"/>
    <w:rsid w:val="008270DB"/>
    <w:rsid w:val="008275FD"/>
    <w:rsid w:val="0082760A"/>
    <w:rsid w:val="00827971"/>
    <w:rsid w:val="00830327"/>
    <w:rsid w:val="0083032F"/>
    <w:rsid w:val="00830A37"/>
    <w:rsid w:val="00830BA1"/>
    <w:rsid w:val="00830EB2"/>
    <w:rsid w:val="00830F5D"/>
    <w:rsid w:val="00831652"/>
    <w:rsid w:val="008318F4"/>
    <w:rsid w:val="0083202E"/>
    <w:rsid w:val="00832366"/>
    <w:rsid w:val="00832FA6"/>
    <w:rsid w:val="0083304F"/>
    <w:rsid w:val="008330E6"/>
    <w:rsid w:val="00833150"/>
    <w:rsid w:val="008334C9"/>
    <w:rsid w:val="00833534"/>
    <w:rsid w:val="008336FE"/>
    <w:rsid w:val="00833822"/>
    <w:rsid w:val="00833C25"/>
    <w:rsid w:val="00834122"/>
    <w:rsid w:val="00834135"/>
    <w:rsid w:val="008341AE"/>
    <w:rsid w:val="00834343"/>
    <w:rsid w:val="008347C4"/>
    <w:rsid w:val="00834E16"/>
    <w:rsid w:val="008352C5"/>
    <w:rsid w:val="00835868"/>
    <w:rsid w:val="008358A6"/>
    <w:rsid w:val="008359FB"/>
    <w:rsid w:val="00835ABB"/>
    <w:rsid w:val="00835C56"/>
    <w:rsid w:val="00835D92"/>
    <w:rsid w:val="00835E0B"/>
    <w:rsid w:val="00835FB7"/>
    <w:rsid w:val="008360FC"/>
    <w:rsid w:val="00836147"/>
    <w:rsid w:val="008362B2"/>
    <w:rsid w:val="008362C5"/>
    <w:rsid w:val="008363BF"/>
    <w:rsid w:val="00836532"/>
    <w:rsid w:val="00836E81"/>
    <w:rsid w:val="0083733D"/>
    <w:rsid w:val="0083736D"/>
    <w:rsid w:val="00837479"/>
    <w:rsid w:val="008377C1"/>
    <w:rsid w:val="00837870"/>
    <w:rsid w:val="00837B07"/>
    <w:rsid w:val="00837C90"/>
    <w:rsid w:val="00837DAD"/>
    <w:rsid w:val="00837EB1"/>
    <w:rsid w:val="00837F85"/>
    <w:rsid w:val="0084042B"/>
    <w:rsid w:val="008404FB"/>
    <w:rsid w:val="008406A4"/>
    <w:rsid w:val="008407C3"/>
    <w:rsid w:val="00840851"/>
    <w:rsid w:val="008409BB"/>
    <w:rsid w:val="00840A72"/>
    <w:rsid w:val="008410DB"/>
    <w:rsid w:val="008413A7"/>
    <w:rsid w:val="0084184A"/>
    <w:rsid w:val="00841F54"/>
    <w:rsid w:val="008423F2"/>
    <w:rsid w:val="008424EF"/>
    <w:rsid w:val="00842689"/>
    <w:rsid w:val="00842A30"/>
    <w:rsid w:val="00842A38"/>
    <w:rsid w:val="00842AE0"/>
    <w:rsid w:val="00842E25"/>
    <w:rsid w:val="00842F2E"/>
    <w:rsid w:val="00842F71"/>
    <w:rsid w:val="0084312C"/>
    <w:rsid w:val="00843139"/>
    <w:rsid w:val="00843179"/>
    <w:rsid w:val="008435BA"/>
    <w:rsid w:val="008436C7"/>
    <w:rsid w:val="0084386A"/>
    <w:rsid w:val="008438B2"/>
    <w:rsid w:val="00843B76"/>
    <w:rsid w:val="00843CE3"/>
    <w:rsid w:val="00843E0E"/>
    <w:rsid w:val="0084428F"/>
    <w:rsid w:val="008442EA"/>
    <w:rsid w:val="00844589"/>
    <w:rsid w:val="008445B7"/>
    <w:rsid w:val="00844794"/>
    <w:rsid w:val="008449FF"/>
    <w:rsid w:val="00844C06"/>
    <w:rsid w:val="00844E20"/>
    <w:rsid w:val="00844FE7"/>
    <w:rsid w:val="008451BC"/>
    <w:rsid w:val="0084534C"/>
    <w:rsid w:val="00845572"/>
    <w:rsid w:val="00845969"/>
    <w:rsid w:val="00845A7F"/>
    <w:rsid w:val="00845E45"/>
    <w:rsid w:val="00845F37"/>
    <w:rsid w:val="00845FF5"/>
    <w:rsid w:val="00846001"/>
    <w:rsid w:val="0084615D"/>
    <w:rsid w:val="00846279"/>
    <w:rsid w:val="008463EF"/>
    <w:rsid w:val="0084642A"/>
    <w:rsid w:val="008465C4"/>
    <w:rsid w:val="00846710"/>
    <w:rsid w:val="00846778"/>
    <w:rsid w:val="00846A5E"/>
    <w:rsid w:val="008472B1"/>
    <w:rsid w:val="00847842"/>
    <w:rsid w:val="008478ED"/>
    <w:rsid w:val="00847982"/>
    <w:rsid w:val="00847CA5"/>
    <w:rsid w:val="00850086"/>
    <w:rsid w:val="008501CA"/>
    <w:rsid w:val="00850792"/>
    <w:rsid w:val="008508A7"/>
    <w:rsid w:val="00850936"/>
    <w:rsid w:val="00850BC1"/>
    <w:rsid w:val="00850BC2"/>
    <w:rsid w:val="00850ECD"/>
    <w:rsid w:val="00851728"/>
    <w:rsid w:val="00851DFF"/>
    <w:rsid w:val="00851F2C"/>
    <w:rsid w:val="00851FC2"/>
    <w:rsid w:val="008520C8"/>
    <w:rsid w:val="008524F8"/>
    <w:rsid w:val="00852746"/>
    <w:rsid w:val="00853084"/>
    <w:rsid w:val="00853142"/>
    <w:rsid w:val="0085384D"/>
    <w:rsid w:val="00853BA1"/>
    <w:rsid w:val="00853FE2"/>
    <w:rsid w:val="008540A6"/>
    <w:rsid w:val="008541AC"/>
    <w:rsid w:val="00854420"/>
    <w:rsid w:val="00854481"/>
    <w:rsid w:val="00855422"/>
    <w:rsid w:val="00855556"/>
    <w:rsid w:val="008555EF"/>
    <w:rsid w:val="008557CB"/>
    <w:rsid w:val="00855BE9"/>
    <w:rsid w:val="0085617F"/>
    <w:rsid w:val="008561CE"/>
    <w:rsid w:val="00856255"/>
    <w:rsid w:val="00856AE9"/>
    <w:rsid w:val="008571AB"/>
    <w:rsid w:val="008571E0"/>
    <w:rsid w:val="00857506"/>
    <w:rsid w:val="00857591"/>
    <w:rsid w:val="0085776B"/>
    <w:rsid w:val="00857E88"/>
    <w:rsid w:val="00860101"/>
    <w:rsid w:val="008603B7"/>
    <w:rsid w:val="00860404"/>
    <w:rsid w:val="008604C7"/>
    <w:rsid w:val="00860FCD"/>
    <w:rsid w:val="0086106E"/>
    <w:rsid w:val="00861226"/>
    <w:rsid w:val="008612DB"/>
    <w:rsid w:val="00861396"/>
    <w:rsid w:val="00861472"/>
    <w:rsid w:val="00861777"/>
    <w:rsid w:val="008617F5"/>
    <w:rsid w:val="0086188D"/>
    <w:rsid w:val="00861B57"/>
    <w:rsid w:val="00862408"/>
    <w:rsid w:val="00862803"/>
    <w:rsid w:val="00862AC4"/>
    <w:rsid w:val="00863266"/>
    <w:rsid w:val="008633AC"/>
    <w:rsid w:val="008634E3"/>
    <w:rsid w:val="00863578"/>
    <w:rsid w:val="00863767"/>
    <w:rsid w:val="0086401C"/>
    <w:rsid w:val="00864025"/>
    <w:rsid w:val="00864627"/>
    <w:rsid w:val="00864635"/>
    <w:rsid w:val="00864678"/>
    <w:rsid w:val="008646E9"/>
    <w:rsid w:val="00864BB5"/>
    <w:rsid w:val="00864C1A"/>
    <w:rsid w:val="00865096"/>
    <w:rsid w:val="00865217"/>
    <w:rsid w:val="0086554A"/>
    <w:rsid w:val="008655CC"/>
    <w:rsid w:val="008656C9"/>
    <w:rsid w:val="0086574F"/>
    <w:rsid w:val="008658AA"/>
    <w:rsid w:val="00865A78"/>
    <w:rsid w:val="00865BBC"/>
    <w:rsid w:val="00865CBD"/>
    <w:rsid w:val="00866BF5"/>
    <w:rsid w:val="00866E37"/>
    <w:rsid w:val="00866F9E"/>
    <w:rsid w:val="008672E2"/>
    <w:rsid w:val="008672F4"/>
    <w:rsid w:val="0086747E"/>
    <w:rsid w:val="008676C6"/>
    <w:rsid w:val="0086793D"/>
    <w:rsid w:val="008679E5"/>
    <w:rsid w:val="00867B1C"/>
    <w:rsid w:val="00867B5D"/>
    <w:rsid w:val="00867BB0"/>
    <w:rsid w:val="00867C34"/>
    <w:rsid w:val="0087022C"/>
    <w:rsid w:val="008702BE"/>
    <w:rsid w:val="00870B8E"/>
    <w:rsid w:val="00870F55"/>
    <w:rsid w:val="00871358"/>
    <w:rsid w:val="008713D6"/>
    <w:rsid w:val="008714B9"/>
    <w:rsid w:val="00871504"/>
    <w:rsid w:val="00871532"/>
    <w:rsid w:val="00871643"/>
    <w:rsid w:val="00871B47"/>
    <w:rsid w:val="0087281D"/>
    <w:rsid w:val="00872AD2"/>
    <w:rsid w:val="00872AF9"/>
    <w:rsid w:val="00872BD5"/>
    <w:rsid w:val="00873295"/>
    <w:rsid w:val="008732D8"/>
    <w:rsid w:val="00873377"/>
    <w:rsid w:val="00873577"/>
    <w:rsid w:val="0087360C"/>
    <w:rsid w:val="0087388F"/>
    <w:rsid w:val="0087409F"/>
    <w:rsid w:val="008745AE"/>
    <w:rsid w:val="008749C3"/>
    <w:rsid w:val="00874A21"/>
    <w:rsid w:val="00874D2B"/>
    <w:rsid w:val="00874D58"/>
    <w:rsid w:val="00874EAB"/>
    <w:rsid w:val="00874F8D"/>
    <w:rsid w:val="00875002"/>
    <w:rsid w:val="008750BB"/>
    <w:rsid w:val="008750D2"/>
    <w:rsid w:val="0087575F"/>
    <w:rsid w:val="008757B5"/>
    <w:rsid w:val="00875AB5"/>
    <w:rsid w:val="00875C6C"/>
    <w:rsid w:val="00875C91"/>
    <w:rsid w:val="00875EA6"/>
    <w:rsid w:val="00875F85"/>
    <w:rsid w:val="00876041"/>
    <w:rsid w:val="0087658F"/>
    <w:rsid w:val="0087667D"/>
    <w:rsid w:val="008766F8"/>
    <w:rsid w:val="00876A6E"/>
    <w:rsid w:val="00876C6B"/>
    <w:rsid w:val="00876DC9"/>
    <w:rsid w:val="00876FD7"/>
    <w:rsid w:val="00877125"/>
    <w:rsid w:val="00877525"/>
    <w:rsid w:val="008775AA"/>
    <w:rsid w:val="008777C2"/>
    <w:rsid w:val="00877815"/>
    <w:rsid w:val="00877D50"/>
    <w:rsid w:val="00877E72"/>
    <w:rsid w:val="00880155"/>
    <w:rsid w:val="0088039E"/>
    <w:rsid w:val="008803A7"/>
    <w:rsid w:val="00880CE0"/>
    <w:rsid w:val="00880E55"/>
    <w:rsid w:val="00880FC0"/>
    <w:rsid w:val="00881149"/>
    <w:rsid w:val="008812DC"/>
    <w:rsid w:val="0088142E"/>
    <w:rsid w:val="008814D2"/>
    <w:rsid w:val="00881511"/>
    <w:rsid w:val="00881814"/>
    <w:rsid w:val="00881937"/>
    <w:rsid w:val="00881BE9"/>
    <w:rsid w:val="00881C0E"/>
    <w:rsid w:val="008823B9"/>
    <w:rsid w:val="00882448"/>
    <w:rsid w:val="008825F9"/>
    <w:rsid w:val="00882F1D"/>
    <w:rsid w:val="00883030"/>
    <w:rsid w:val="0088304F"/>
    <w:rsid w:val="00883085"/>
    <w:rsid w:val="00883102"/>
    <w:rsid w:val="00883149"/>
    <w:rsid w:val="008831A6"/>
    <w:rsid w:val="00883200"/>
    <w:rsid w:val="00883414"/>
    <w:rsid w:val="00883560"/>
    <w:rsid w:val="00883A4D"/>
    <w:rsid w:val="00883B21"/>
    <w:rsid w:val="00883DE2"/>
    <w:rsid w:val="00883F8F"/>
    <w:rsid w:val="00883FCC"/>
    <w:rsid w:val="00884235"/>
    <w:rsid w:val="0088453A"/>
    <w:rsid w:val="00884637"/>
    <w:rsid w:val="00884892"/>
    <w:rsid w:val="00884AB7"/>
    <w:rsid w:val="00884E8B"/>
    <w:rsid w:val="00885285"/>
    <w:rsid w:val="00885407"/>
    <w:rsid w:val="0088559E"/>
    <w:rsid w:val="00885686"/>
    <w:rsid w:val="008856A6"/>
    <w:rsid w:val="00885985"/>
    <w:rsid w:val="00885C2B"/>
    <w:rsid w:val="00885C32"/>
    <w:rsid w:val="00885DB4"/>
    <w:rsid w:val="008860DD"/>
    <w:rsid w:val="00886699"/>
    <w:rsid w:val="00886BE7"/>
    <w:rsid w:val="00886D35"/>
    <w:rsid w:val="0088709A"/>
    <w:rsid w:val="0088711D"/>
    <w:rsid w:val="008871ED"/>
    <w:rsid w:val="00887280"/>
    <w:rsid w:val="0088753D"/>
    <w:rsid w:val="008876EF"/>
    <w:rsid w:val="00887CAA"/>
    <w:rsid w:val="008903FF"/>
    <w:rsid w:val="00890C21"/>
    <w:rsid w:val="00890CA6"/>
    <w:rsid w:val="00890CB0"/>
    <w:rsid w:val="00891188"/>
    <w:rsid w:val="008912EB"/>
    <w:rsid w:val="0089199F"/>
    <w:rsid w:val="00891C32"/>
    <w:rsid w:val="00891C54"/>
    <w:rsid w:val="00891D57"/>
    <w:rsid w:val="00891D7F"/>
    <w:rsid w:val="00891E76"/>
    <w:rsid w:val="00892192"/>
    <w:rsid w:val="0089224F"/>
    <w:rsid w:val="00892265"/>
    <w:rsid w:val="0089233E"/>
    <w:rsid w:val="00892656"/>
    <w:rsid w:val="008927EF"/>
    <w:rsid w:val="00892C24"/>
    <w:rsid w:val="00892E99"/>
    <w:rsid w:val="00892EB6"/>
    <w:rsid w:val="00893136"/>
    <w:rsid w:val="00893158"/>
    <w:rsid w:val="0089330E"/>
    <w:rsid w:val="008935D5"/>
    <w:rsid w:val="00893A61"/>
    <w:rsid w:val="00893A8E"/>
    <w:rsid w:val="00893E27"/>
    <w:rsid w:val="00893EA3"/>
    <w:rsid w:val="00893FB4"/>
    <w:rsid w:val="008942D6"/>
    <w:rsid w:val="008945F7"/>
    <w:rsid w:val="0089463D"/>
    <w:rsid w:val="0089542C"/>
    <w:rsid w:val="0089554F"/>
    <w:rsid w:val="008955E6"/>
    <w:rsid w:val="00895B5F"/>
    <w:rsid w:val="0089600A"/>
    <w:rsid w:val="0089633E"/>
    <w:rsid w:val="0089637C"/>
    <w:rsid w:val="00896573"/>
    <w:rsid w:val="00896712"/>
    <w:rsid w:val="00896870"/>
    <w:rsid w:val="008969BD"/>
    <w:rsid w:val="008969C5"/>
    <w:rsid w:val="00896B01"/>
    <w:rsid w:val="00897F56"/>
    <w:rsid w:val="008A00D5"/>
    <w:rsid w:val="008A05BB"/>
    <w:rsid w:val="008A1339"/>
    <w:rsid w:val="008A13BD"/>
    <w:rsid w:val="008A1596"/>
    <w:rsid w:val="008A184D"/>
    <w:rsid w:val="008A1870"/>
    <w:rsid w:val="008A1EDF"/>
    <w:rsid w:val="008A222E"/>
    <w:rsid w:val="008A2467"/>
    <w:rsid w:val="008A2646"/>
    <w:rsid w:val="008A2695"/>
    <w:rsid w:val="008A26C5"/>
    <w:rsid w:val="008A28D9"/>
    <w:rsid w:val="008A294E"/>
    <w:rsid w:val="008A2DC9"/>
    <w:rsid w:val="008A2FF1"/>
    <w:rsid w:val="008A32D4"/>
    <w:rsid w:val="008A367F"/>
    <w:rsid w:val="008A37AF"/>
    <w:rsid w:val="008A37C2"/>
    <w:rsid w:val="008A3AD3"/>
    <w:rsid w:val="008A3D62"/>
    <w:rsid w:val="008A3E37"/>
    <w:rsid w:val="008A405B"/>
    <w:rsid w:val="008A4248"/>
    <w:rsid w:val="008A448D"/>
    <w:rsid w:val="008A44E6"/>
    <w:rsid w:val="008A4641"/>
    <w:rsid w:val="008A4A55"/>
    <w:rsid w:val="008A4BAF"/>
    <w:rsid w:val="008A506F"/>
    <w:rsid w:val="008A528A"/>
    <w:rsid w:val="008A5298"/>
    <w:rsid w:val="008A535A"/>
    <w:rsid w:val="008A5C18"/>
    <w:rsid w:val="008A60D3"/>
    <w:rsid w:val="008A6479"/>
    <w:rsid w:val="008A66AB"/>
    <w:rsid w:val="008A67AA"/>
    <w:rsid w:val="008A6B91"/>
    <w:rsid w:val="008A6EEA"/>
    <w:rsid w:val="008A6F06"/>
    <w:rsid w:val="008A720F"/>
    <w:rsid w:val="008A748E"/>
    <w:rsid w:val="008A7498"/>
    <w:rsid w:val="008A759A"/>
    <w:rsid w:val="008A78B0"/>
    <w:rsid w:val="008A7BD9"/>
    <w:rsid w:val="008A7C72"/>
    <w:rsid w:val="008A7DA0"/>
    <w:rsid w:val="008A7F27"/>
    <w:rsid w:val="008B002F"/>
    <w:rsid w:val="008B028F"/>
    <w:rsid w:val="008B0499"/>
    <w:rsid w:val="008B04F2"/>
    <w:rsid w:val="008B05A6"/>
    <w:rsid w:val="008B07DF"/>
    <w:rsid w:val="008B0D0E"/>
    <w:rsid w:val="008B0EC1"/>
    <w:rsid w:val="008B12BB"/>
    <w:rsid w:val="008B1411"/>
    <w:rsid w:val="008B17A2"/>
    <w:rsid w:val="008B1A9D"/>
    <w:rsid w:val="008B204C"/>
    <w:rsid w:val="008B20ED"/>
    <w:rsid w:val="008B225E"/>
    <w:rsid w:val="008B25F2"/>
    <w:rsid w:val="008B2643"/>
    <w:rsid w:val="008B2808"/>
    <w:rsid w:val="008B297B"/>
    <w:rsid w:val="008B2F9E"/>
    <w:rsid w:val="008B2FAE"/>
    <w:rsid w:val="008B314A"/>
    <w:rsid w:val="008B3317"/>
    <w:rsid w:val="008B396B"/>
    <w:rsid w:val="008B3F92"/>
    <w:rsid w:val="008B40AF"/>
    <w:rsid w:val="008B414B"/>
    <w:rsid w:val="008B433E"/>
    <w:rsid w:val="008B4B90"/>
    <w:rsid w:val="008B4E0E"/>
    <w:rsid w:val="008B4FB9"/>
    <w:rsid w:val="008B512D"/>
    <w:rsid w:val="008B51B2"/>
    <w:rsid w:val="008B524D"/>
    <w:rsid w:val="008B5715"/>
    <w:rsid w:val="008B5A2D"/>
    <w:rsid w:val="008B5BC2"/>
    <w:rsid w:val="008B5E54"/>
    <w:rsid w:val="008B60BB"/>
    <w:rsid w:val="008B62FC"/>
    <w:rsid w:val="008B64D2"/>
    <w:rsid w:val="008B650F"/>
    <w:rsid w:val="008B6732"/>
    <w:rsid w:val="008B682E"/>
    <w:rsid w:val="008B68EC"/>
    <w:rsid w:val="008B6A5A"/>
    <w:rsid w:val="008B6D5C"/>
    <w:rsid w:val="008B704C"/>
    <w:rsid w:val="008B706F"/>
    <w:rsid w:val="008B711E"/>
    <w:rsid w:val="008B73D0"/>
    <w:rsid w:val="008C00AD"/>
    <w:rsid w:val="008C042F"/>
    <w:rsid w:val="008C057B"/>
    <w:rsid w:val="008C0985"/>
    <w:rsid w:val="008C09C2"/>
    <w:rsid w:val="008C0CAC"/>
    <w:rsid w:val="008C0D77"/>
    <w:rsid w:val="008C0EA2"/>
    <w:rsid w:val="008C13B4"/>
    <w:rsid w:val="008C1557"/>
    <w:rsid w:val="008C1B8C"/>
    <w:rsid w:val="008C2306"/>
    <w:rsid w:val="008C26D1"/>
    <w:rsid w:val="008C2B7F"/>
    <w:rsid w:val="008C2EBA"/>
    <w:rsid w:val="008C35D9"/>
    <w:rsid w:val="008C36AC"/>
    <w:rsid w:val="008C46C0"/>
    <w:rsid w:val="008C4953"/>
    <w:rsid w:val="008C49F1"/>
    <w:rsid w:val="008C4E44"/>
    <w:rsid w:val="008C4FAB"/>
    <w:rsid w:val="008C53AF"/>
    <w:rsid w:val="008C59DF"/>
    <w:rsid w:val="008C5C08"/>
    <w:rsid w:val="008C5CE0"/>
    <w:rsid w:val="008C5DB1"/>
    <w:rsid w:val="008C6098"/>
    <w:rsid w:val="008C6199"/>
    <w:rsid w:val="008C6255"/>
    <w:rsid w:val="008C67CD"/>
    <w:rsid w:val="008C684B"/>
    <w:rsid w:val="008C6ABD"/>
    <w:rsid w:val="008C6F18"/>
    <w:rsid w:val="008C70A7"/>
    <w:rsid w:val="008C7135"/>
    <w:rsid w:val="008C7424"/>
    <w:rsid w:val="008C765B"/>
    <w:rsid w:val="008C7685"/>
    <w:rsid w:val="008C7C6B"/>
    <w:rsid w:val="008C7C77"/>
    <w:rsid w:val="008C7CA7"/>
    <w:rsid w:val="008C7D08"/>
    <w:rsid w:val="008C7E42"/>
    <w:rsid w:val="008C7E7F"/>
    <w:rsid w:val="008C7E99"/>
    <w:rsid w:val="008C7FEE"/>
    <w:rsid w:val="008D007A"/>
    <w:rsid w:val="008D07DE"/>
    <w:rsid w:val="008D0831"/>
    <w:rsid w:val="008D089A"/>
    <w:rsid w:val="008D09F9"/>
    <w:rsid w:val="008D0A07"/>
    <w:rsid w:val="008D0D34"/>
    <w:rsid w:val="008D0E40"/>
    <w:rsid w:val="008D0EA5"/>
    <w:rsid w:val="008D0F2F"/>
    <w:rsid w:val="008D0FDE"/>
    <w:rsid w:val="008D1330"/>
    <w:rsid w:val="008D13D5"/>
    <w:rsid w:val="008D1865"/>
    <w:rsid w:val="008D1AB7"/>
    <w:rsid w:val="008D1E7F"/>
    <w:rsid w:val="008D1EA5"/>
    <w:rsid w:val="008D2367"/>
    <w:rsid w:val="008D2994"/>
    <w:rsid w:val="008D2BAD"/>
    <w:rsid w:val="008D3135"/>
    <w:rsid w:val="008D340A"/>
    <w:rsid w:val="008D3498"/>
    <w:rsid w:val="008D34EA"/>
    <w:rsid w:val="008D3C8B"/>
    <w:rsid w:val="008D427A"/>
    <w:rsid w:val="008D4281"/>
    <w:rsid w:val="008D436E"/>
    <w:rsid w:val="008D4DD5"/>
    <w:rsid w:val="008D4EA5"/>
    <w:rsid w:val="008D531A"/>
    <w:rsid w:val="008D5330"/>
    <w:rsid w:val="008D5531"/>
    <w:rsid w:val="008D55E6"/>
    <w:rsid w:val="008D5657"/>
    <w:rsid w:val="008D5A5A"/>
    <w:rsid w:val="008D5B43"/>
    <w:rsid w:val="008D60FC"/>
    <w:rsid w:val="008D632C"/>
    <w:rsid w:val="008D63C8"/>
    <w:rsid w:val="008D6752"/>
    <w:rsid w:val="008D69E7"/>
    <w:rsid w:val="008D6DCA"/>
    <w:rsid w:val="008D6FC1"/>
    <w:rsid w:val="008D71A7"/>
    <w:rsid w:val="008D79EF"/>
    <w:rsid w:val="008E00C7"/>
    <w:rsid w:val="008E0140"/>
    <w:rsid w:val="008E0688"/>
    <w:rsid w:val="008E0A0B"/>
    <w:rsid w:val="008E0BEF"/>
    <w:rsid w:val="008E0BF2"/>
    <w:rsid w:val="008E103C"/>
    <w:rsid w:val="008E1395"/>
    <w:rsid w:val="008E15BD"/>
    <w:rsid w:val="008E1A58"/>
    <w:rsid w:val="008E1B6C"/>
    <w:rsid w:val="008E1CD7"/>
    <w:rsid w:val="008E1F90"/>
    <w:rsid w:val="008E266D"/>
    <w:rsid w:val="008E28C9"/>
    <w:rsid w:val="008E292F"/>
    <w:rsid w:val="008E29E7"/>
    <w:rsid w:val="008E2B20"/>
    <w:rsid w:val="008E2BF5"/>
    <w:rsid w:val="008E2D36"/>
    <w:rsid w:val="008E2F0C"/>
    <w:rsid w:val="008E2FE9"/>
    <w:rsid w:val="008E32BE"/>
    <w:rsid w:val="008E34A9"/>
    <w:rsid w:val="008E3E23"/>
    <w:rsid w:val="008E547B"/>
    <w:rsid w:val="008E555F"/>
    <w:rsid w:val="008E56EB"/>
    <w:rsid w:val="008E57FB"/>
    <w:rsid w:val="008E5D49"/>
    <w:rsid w:val="008E5DF8"/>
    <w:rsid w:val="008E6036"/>
    <w:rsid w:val="008E64E1"/>
    <w:rsid w:val="008E6764"/>
    <w:rsid w:val="008E69FE"/>
    <w:rsid w:val="008E6BAB"/>
    <w:rsid w:val="008E6D65"/>
    <w:rsid w:val="008E7010"/>
    <w:rsid w:val="008E71D3"/>
    <w:rsid w:val="008E74D3"/>
    <w:rsid w:val="008E786B"/>
    <w:rsid w:val="008E7AD9"/>
    <w:rsid w:val="008E7D3D"/>
    <w:rsid w:val="008E7EA9"/>
    <w:rsid w:val="008E7EE1"/>
    <w:rsid w:val="008F0002"/>
    <w:rsid w:val="008F0068"/>
    <w:rsid w:val="008F01BF"/>
    <w:rsid w:val="008F0250"/>
    <w:rsid w:val="008F031C"/>
    <w:rsid w:val="008F05D0"/>
    <w:rsid w:val="008F0A34"/>
    <w:rsid w:val="008F0F4A"/>
    <w:rsid w:val="008F0F6F"/>
    <w:rsid w:val="008F10AD"/>
    <w:rsid w:val="008F11F4"/>
    <w:rsid w:val="008F1952"/>
    <w:rsid w:val="008F2086"/>
    <w:rsid w:val="008F2498"/>
    <w:rsid w:val="008F254D"/>
    <w:rsid w:val="008F27EB"/>
    <w:rsid w:val="008F310B"/>
    <w:rsid w:val="008F322B"/>
    <w:rsid w:val="008F345F"/>
    <w:rsid w:val="008F34CB"/>
    <w:rsid w:val="008F3519"/>
    <w:rsid w:val="008F3AD3"/>
    <w:rsid w:val="008F3B17"/>
    <w:rsid w:val="008F3CA7"/>
    <w:rsid w:val="008F4010"/>
    <w:rsid w:val="008F443F"/>
    <w:rsid w:val="008F45B5"/>
    <w:rsid w:val="008F45C8"/>
    <w:rsid w:val="008F4DCF"/>
    <w:rsid w:val="008F502A"/>
    <w:rsid w:val="008F531C"/>
    <w:rsid w:val="008F546A"/>
    <w:rsid w:val="008F5DE5"/>
    <w:rsid w:val="008F5E42"/>
    <w:rsid w:val="008F6097"/>
    <w:rsid w:val="008F63B1"/>
    <w:rsid w:val="008F6973"/>
    <w:rsid w:val="008F6BD0"/>
    <w:rsid w:val="008F6DB2"/>
    <w:rsid w:val="008F6E51"/>
    <w:rsid w:val="008F6E6A"/>
    <w:rsid w:val="008F7132"/>
    <w:rsid w:val="008F718B"/>
    <w:rsid w:val="008F7641"/>
    <w:rsid w:val="008F7AA7"/>
    <w:rsid w:val="008F7B23"/>
    <w:rsid w:val="008F7B2C"/>
    <w:rsid w:val="008F7F94"/>
    <w:rsid w:val="008F7FB9"/>
    <w:rsid w:val="0090011C"/>
    <w:rsid w:val="009001F0"/>
    <w:rsid w:val="009004AA"/>
    <w:rsid w:val="00900576"/>
    <w:rsid w:val="00900730"/>
    <w:rsid w:val="00900947"/>
    <w:rsid w:val="00900D94"/>
    <w:rsid w:val="00900EB8"/>
    <w:rsid w:val="00900F1D"/>
    <w:rsid w:val="00900FBA"/>
    <w:rsid w:val="00901276"/>
    <w:rsid w:val="00901CDA"/>
    <w:rsid w:val="00902A8E"/>
    <w:rsid w:val="00902ACD"/>
    <w:rsid w:val="00902BB8"/>
    <w:rsid w:val="00902BBE"/>
    <w:rsid w:val="00902C34"/>
    <w:rsid w:val="00902CD5"/>
    <w:rsid w:val="00902E5B"/>
    <w:rsid w:val="00903277"/>
    <w:rsid w:val="00903663"/>
    <w:rsid w:val="00903BFA"/>
    <w:rsid w:val="00903FD9"/>
    <w:rsid w:val="00904229"/>
    <w:rsid w:val="009048DF"/>
    <w:rsid w:val="00904A82"/>
    <w:rsid w:val="00904BC4"/>
    <w:rsid w:val="00904CF5"/>
    <w:rsid w:val="00905259"/>
    <w:rsid w:val="0090556C"/>
    <w:rsid w:val="00905633"/>
    <w:rsid w:val="00905893"/>
    <w:rsid w:val="00905A95"/>
    <w:rsid w:val="00905E3D"/>
    <w:rsid w:val="00905EAE"/>
    <w:rsid w:val="009060C4"/>
    <w:rsid w:val="00906373"/>
    <w:rsid w:val="00906461"/>
    <w:rsid w:val="009065E3"/>
    <w:rsid w:val="009069DE"/>
    <w:rsid w:val="00906C91"/>
    <w:rsid w:val="00906C95"/>
    <w:rsid w:val="00906CD6"/>
    <w:rsid w:val="00907656"/>
    <w:rsid w:val="00907E47"/>
    <w:rsid w:val="00910045"/>
    <w:rsid w:val="009105EB"/>
    <w:rsid w:val="0091070C"/>
    <w:rsid w:val="00910CD6"/>
    <w:rsid w:val="00911389"/>
    <w:rsid w:val="009115EF"/>
    <w:rsid w:val="009116DD"/>
    <w:rsid w:val="0091192E"/>
    <w:rsid w:val="00911E7D"/>
    <w:rsid w:val="00911F98"/>
    <w:rsid w:val="009120BB"/>
    <w:rsid w:val="00912336"/>
    <w:rsid w:val="00912622"/>
    <w:rsid w:val="009126CE"/>
    <w:rsid w:val="00912A5E"/>
    <w:rsid w:val="00912D1C"/>
    <w:rsid w:val="00913019"/>
    <w:rsid w:val="00913079"/>
    <w:rsid w:val="009133BC"/>
    <w:rsid w:val="009134BF"/>
    <w:rsid w:val="00913537"/>
    <w:rsid w:val="0091365B"/>
    <w:rsid w:val="00913E6D"/>
    <w:rsid w:val="00913F1E"/>
    <w:rsid w:val="00913F5D"/>
    <w:rsid w:val="00913FB2"/>
    <w:rsid w:val="009140C4"/>
    <w:rsid w:val="0091421E"/>
    <w:rsid w:val="009144A9"/>
    <w:rsid w:val="0091468B"/>
    <w:rsid w:val="00914DD1"/>
    <w:rsid w:val="00914E72"/>
    <w:rsid w:val="00914E96"/>
    <w:rsid w:val="0091526F"/>
    <w:rsid w:val="009153D2"/>
    <w:rsid w:val="009159AC"/>
    <w:rsid w:val="009159BB"/>
    <w:rsid w:val="00916138"/>
    <w:rsid w:val="009161C1"/>
    <w:rsid w:val="00916286"/>
    <w:rsid w:val="00916298"/>
    <w:rsid w:val="00916595"/>
    <w:rsid w:val="00916C47"/>
    <w:rsid w:val="00916FA1"/>
    <w:rsid w:val="009171AD"/>
    <w:rsid w:val="009172B9"/>
    <w:rsid w:val="00917569"/>
    <w:rsid w:val="00917583"/>
    <w:rsid w:val="009176C8"/>
    <w:rsid w:val="0091783F"/>
    <w:rsid w:val="009200C8"/>
    <w:rsid w:val="00920174"/>
    <w:rsid w:val="009202DE"/>
    <w:rsid w:val="00920672"/>
    <w:rsid w:val="00920831"/>
    <w:rsid w:val="00920981"/>
    <w:rsid w:val="00921020"/>
    <w:rsid w:val="00921880"/>
    <w:rsid w:val="009219D2"/>
    <w:rsid w:val="00921A4E"/>
    <w:rsid w:val="00921A69"/>
    <w:rsid w:val="00921B16"/>
    <w:rsid w:val="00921C30"/>
    <w:rsid w:val="00921DD5"/>
    <w:rsid w:val="00921E37"/>
    <w:rsid w:val="009222DB"/>
    <w:rsid w:val="0092242B"/>
    <w:rsid w:val="009224E1"/>
    <w:rsid w:val="00922511"/>
    <w:rsid w:val="0092282E"/>
    <w:rsid w:val="00922BE7"/>
    <w:rsid w:val="00922F07"/>
    <w:rsid w:val="00922F6A"/>
    <w:rsid w:val="0092326F"/>
    <w:rsid w:val="00923463"/>
    <w:rsid w:val="009237DB"/>
    <w:rsid w:val="00923948"/>
    <w:rsid w:val="00923CE8"/>
    <w:rsid w:val="00923DE9"/>
    <w:rsid w:val="00923FF5"/>
    <w:rsid w:val="0092414E"/>
    <w:rsid w:val="00924427"/>
    <w:rsid w:val="009244EF"/>
    <w:rsid w:val="0092468D"/>
    <w:rsid w:val="0092478E"/>
    <w:rsid w:val="00925238"/>
    <w:rsid w:val="00925ABF"/>
    <w:rsid w:val="00925ACF"/>
    <w:rsid w:val="00925C1D"/>
    <w:rsid w:val="00925DA7"/>
    <w:rsid w:val="0092615D"/>
    <w:rsid w:val="00926241"/>
    <w:rsid w:val="0092632C"/>
    <w:rsid w:val="00926375"/>
    <w:rsid w:val="00926546"/>
    <w:rsid w:val="009265A1"/>
    <w:rsid w:val="00926AC2"/>
    <w:rsid w:val="00926F40"/>
    <w:rsid w:val="009272AD"/>
    <w:rsid w:val="009272CA"/>
    <w:rsid w:val="009273CC"/>
    <w:rsid w:val="00927700"/>
    <w:rsid w:val="00927AE8"/>
    <w:rsid w:val="00927CA3"/>
    <w:rsid w:val="00930105"/>
    <w:rsid w:val="0093036E"/>
    <w:rsid w:val="00930913"/>
    <w:rsid w:val="00930B8A"/>
    <w:rsid w:val="00930B95"/>
    <w:rsid w:val="00931224"/>
    <w:rsid w:val="00931378"/>
    <w:rsid w:val="0093171F"/>
    <w:rsid w:val="0093264C"/>
    <w:rsid w:val="00932E29"/>
    <w:rsid w:val="00932FC9"/>
    <w:rsid w:val="00933303"/>
    <w:rsid w:val="009333C6"/>
    <w:rsid w:val="009333D3"/>
    <w:rsid w:val="00933583"/>
    <w:rsid w:val="009335E6"/>
    <w:rsid w:val="0093365A"/>
    <w:rsid w:val="009337E4"/>
    <w:rsid w:val="009339B6"/>
    <w:rsid w:val="00933B4C"/>
    <w:rsid w:val="00933DC4"/>
    <w:rsid w:val="009341AE"/>
    <w:rsid w:val="0093431B"/>
    <w:rsid w:val="009346D6"/>
    <w:rsid w:val="00934743"/>
    <w:rsid w:val="009347AF"/>
    <w:rsid w:val="0093487E"/>
    <w:rsid w:val="00934B2D"/>
    <w:rsid w:val="00934D1B"/>
    <w:rsid w:val="00934FF3"/>
    <w:rsid w:val="00934FFE"/>
    <w:rsid w:val="00935291"/>
    <w:rsid w:val="00935459"/>
    <w:rsid w:val="0093557E"/>
    <w:rsid w:val="0093588B"/>
    <w:rsid w:val="00935B7C"/>
    <w:rsid w:val="00935BBD"/>
    <w:rsid w:val="00935E0C"/>
    <w:rsid w:val="0093613D"/>
    <w:rsid w:val="00936171"/>
    <w:rsid w:val="00936405"/>
    <w:rsid w:val="00936AA9"/>
    <w:rsid w:val="00936B2E"/>
    <w:rsid w:val="00936B64"/>
    <w:rsid w:val="00936BAC"/>
    <w:rsid w:val="00936BB3"/>
    <w:rsid w:val="00936C73"/>
    <w:rsid w:val="00936D91"/>
    <w:rsid w:val="009373F6"/>
    <w:rsid w:val="009374B9"/>
    <w:rsid w:val="00937711"/>
    <w:rsid w:val="00937868"/>
    <w:rsid w:val="0093786D"/>
    <w:rsid w:val="009379C4"/>
    <w:rsid w:val="0094005F"/>
    <w:rsid w:val="009400DD"/>
    <w:rsid w:val="0094041A"/>
    <w:rsid w:val="0094047C"/>
    <w:rsid w:val="009408F7"/>
    <w:rsid w:val="00940D32"/>
    <w:rsid w:val="009410C1"/>
    <w:rsid w:val="0094132F"/>
    <w:rsid w:val="0094190D"/>
    <w:rsid w:val="00941992"/>
    <w:rsid w:val="00941D41"/>
    <w:rsid w:val="00942354"/>
    <w:rsid w:val="009425D9"/>
    <w:rsid w:val="00942681"/>
    <w:rsid w:val="00942CFA"/>
    <w:rsid w:val="00942F22"/>
    <w:rsid w:val="00943158"/>
    <w:rsid w:val="0094322C"/>
    <w:rsid w:val="00943338"/>
    <w:rsid w:val="00943A7E"/>
    <w:rsid w:val="00943DA2"/>
    <w:rsid w:val="00943E42"/>
    <w:rsid w:val="00943E5D"/>
    <w:rsid w:val="00943FE1"/>
    <w:rsid w:val="009442EC"/>
    <w:rsid w:val="00944371"/>
    <w:rsid w:val="0094452F"/>
    <w:rsid w:val="00944728"/>
    <w:rsid w:val="00944B38"/>
    <w:rsid w:val="00944BBA"/>
    <w:rsid w:val="00944C16"/>
    <w:rsid w:val="00945079"/>
    <w:rsid w:val="009450A5"/>
    <w:rsid w:val="0094532F"/>
    <w:rsid w:val="00945392"/>
    <w:rsid w:val="009453E8"/>
    <w:rsid w:val="009455F9"/>
    <w:rsid w:val="00945664"/>
    <w:rsid w:val="00945AD1"/>
    <w:rsid w:val="00945F2A"/>
    <w:rsid w:val="00946063"/>
    <w:rsid w:val="0094639F"/>
    <w:rsid w:val="00946708"/>
    <w:rsid w:val="00946927"/>
    <w:rsid w:val="00946ECB"/>
    <w:rsid w:val="0094704F"/>
    <w:rsid w:val="00947144"/>
    <w:rsid w:val="00947268"/>
    <w:rsid w:val="0094750E"/>
    <w:rsid w:val="009477BA"/>
    <w:rsid w:val="00947981"/>
    <w:rsid w:val="00947B19"/>
    <w:rsid w:val="00947BC7"/>
    <w:rsid w:val="00947C94"/>
    <w:rsid w:val="009507C8"/>
    <w:rsid w:val="00950825"/>
    <w:rsid w:val="009508C0"/>
    <w:rsid w:val="0095095C"/>
    <w:rsid w:val="00950D96"/>
    <w:rsid w:val="00950E85"/>
    <w:rsid w:val="00951072"/>
    <w:rsid w:val="0095115E"/>
    <w:rsid w:val="0095118A"/>
    <w:rsid w:val="00951429"/>
    <w:rsid w:val="009517C4"/>
    <w:rsid w:val="00951F28"/>
    <w:rsid w:val="0095200B"/>
    <w:rsid w:val="00952468"/>
    <w:rsid w:val="00952A97"/>
    <w:rsid w:val="00952ACE"/>
    <w:rsid w:val="009530DE"/>
    <w:rsid w:val="00953358"/>
    <w:rsid w:val="009533D0"/>
    <w:rsid w:val="0095393E"/>
    <w:rsid w:val="009542FD"/>
    <w:rsid w:val="00954767"/>
    <w:rsid w:val="0095487A"/>
    <w:rsid w:val="009548FB"/>
    <w:rsid w:val="00954AFA"/>
    <w:rsid w:val="00954C7B"/>
    <w:rsid w:val="0095538B"/>
    <w:rsid w:val="00955419"/>
    <w:rsid w:val="009554F6"/>
    <w:rsid w:val="00955C6D"/>
    <w:rsid w:val="00955F46"/>
    <w:rsid w:val="009561F3"/>
    <w:rsid w:val="00956346"/>
    <w:rsid w:val="0095638F"/>
    <w:rsid w:val="0095657E"/>
    <w:rsid w:val="009566F9"/>
    <w:rsid w:val="00956943"/>
    <w:rsid w:val="009572A2"/>
    <w:rsid w:val="00957AF7"/>
    <w:rsid w:val="00957D01"/>
    <w:rsid w:val="00957EDA"/>
    <w:rsid w:val="00957F37"/>
    <w:rsid w:val="00957F62"/>
    <w:rsid w:val="00957F7B"/>
    <w:rsid w:val="00960005"/>
    <w:rsid w:val="00960420"/>
    <w:rsid w:val="00960ACA"/>
    <w:rsid w:val="00960C4F"/>
    <w:rsid w:val="00960D27"/>
    <w:rsid w:val="009610AE"/>
    <w:rsid w:val="00961117"/>
    <w:rsid w:val="009612EB"/>
    <w:rsid w:val="00961F0D"/>
    <w:rsid w:val="0096217C"/>
    <w:rsid w:val="00962441"/>
    <w:rsid w:val="00962E68"/>
    <w:rsid w:val="00963277"/>
    <w:rsid w:val="0096364B"/>
    <w:rsid w:val="00963970"/>
    <w:rsid w:val="00963BFC"/>
    <w:rsid w:val="00963CED"/>
    <w:rsid w:val="00963CEF"/>
    <w:rsid w:val="00963E68"/>
    <w:rsid w:val="00964129"/>
    <w:rsid w:val="009641F4"/>
    <w:rsid w:val="0096488B"/>
    <w:rsid w:val="00964B53"/>
    <w:rsid w:val="00964C3F"/>
    <w:rsid w:val="00964C6C"/>
    <w:rsid w:val="00964E0C"/>
    <w:rsid w:val="00965176"/>
    <w:rsid w:val="009651BD"/>
    <w:rsid w:val="00965240"/>
    <w:rsid w:val="00965847"/>
    <w:rsid w:val="00965A3E"/>
    <w:rsid w:val="00965C48"/>
    <w:rsid w:val="00965C85"/>
    <w:rsid w:val="00965EFA"/>
    <w:rsid w:val="00965F00"/>
    <w:rsid w:val="0096641D"/>
    <w:rsid w:val="009667FD"/>
    <w:rsid w:val="00966988"/>
    <w:rsid w:val="00966AD9"/>
    <w:rsid w:val="00966BB3"/>
    <w:rsid w:val="00966D9D"/>
    <w:rsid w:val="00966E4A"/>
    <w:rsid w:val="00967041"/>
    <w:rsid w:val="0096727F"/>
    <w:rsid w:val="00967F4B"/>
    <w:rsid w:val="00970918"/>
    <w:rsid w:val="0097099E"/>
    <w:rsid w:val="00970A5B"/>
    <w:rsid w:val="00970F27"/>
    <w:rsid w:val="0097100D"/>
    <w:rsid w:val="009711C5"/>
    <w:rsid w:val="009713A8"/>
    <w:rsid w:val="009715FE"/>
    <w:rsid w:val="00971761"/>
    <w:rsid w:val="009718A4"/>
    <w:rsid w:val="009718FB"/>
    <w:rsid w:val="0097197C"/>
    <w:rsid w:val="009719C6"/>
    <w:rsid w:val="00971ADD"/>
    <w:rsid w:val="00971BC5"/>
    <w:rsid w:val="00971C66"/>
    <w:rsid w:val="0097216F"/>
    <w:rsid w:val="0097228A"/>
    <w:rsid w:val="00972543"/>
    <w:rsid w:val="009726B1"/>
    <w:rsid w:val="009727A0"/>
    <w:rsid w:val="00972979"/>
    <w:rsid w:val="00972A97"/>
    <w:rsid w:val="00972C0D"/>
    <w:rsid w:val="00972C3B"/>
    <w:rsid w:val="00972CA7"/>
    <w:rsid w:val="00972D9F"/>
    <w:rsid w:val="00973057"/>
    <w:rsid w:val="009730AA"/>
    <w:rsid w:val="00973281"/>
    <w:rsid w:val="00973517"/>
    <w:rsid w:val="00973609"/>
    <w:rsid w:val="00973D01"/>
    <w:rsid w:val="00973F2B"/>
    <w:rsid w:val="00973F52"/>
    <w:rsid w:val="00974516"/>
    <w:rsid w:val="00974A94"/>
    <w:rsid w:val="00974D50"/>
    <w:rsid w:val="00974DBB"/>
    <w:rsid w:val="009751AF"/>
    <w:rsid w:val="00975326"/>
    <w:rsid w:val="00975541"/>
    <w:rsid w:val="0097566A"/>
    <w:rsid w:val="009756A5"/>
    <w:rsid w:val="009756B8"/>
    <w:rsid w:val="009758E2"/>
    <w:rsid w:val="00975C56"/>
    <w:rsid w:val="00975DDF"/>
    <w:rsid w:val="00975DEA"/>
    <w:rsid w:val="00976CE4"/>
    <w:rsid w:val="00976EAB"/>
    <w:rsid w:val="0097752C"/>
    <w:rsid w:val="00977700"/>
    <w:rsid w:val="0097798F"/>
    <w:rsid w:val="00977CDF"/>
    <w:rsid w:val="0098034A"/>
    <w:rsid w:val="0098043F"/>
    <w:rsid w:val="009804B8"/>
    <w:rsid w:val="00980ADF"/>
    <w:rsid w:val="00981038"/>
    <w:rsid w:val="0098106E"/>
    <w:rsid w:val="0098119E"/>
    <w:rsid w:val="00981307"/>
    <w:rsid w:val="00981511"/>
    <w:rsid w:val="00981802"/>
    <w:rsid w:val="009818BE"/>
    <w:rsid w:val="00981940"/>
    <w:rsid w:val="00981D1C"/>
    <w:rsid w:val="00981E1C"/>
    <w:rsid w:val="00982118"/>
    <w:rsid w:val="009821A2"/>
    <w:rsid w:val="0098291E"/>
    <w:rsid w:val="00982C62"/>
    <w:rsid w:val="00982C91"/>
    <w:rsid w:val="00982CD1"/>
    <w:rsid w:val="00982F76"/>
    <w:rsid w:val="00982FA3"/>
    <w:rsid w:val="00983926"/>
    <w:rsid w:val="009839C6"/>
    <w:rsid w:val="00983CE1"/>
    <w:rsid w:val="00983DF7"/>
    <w:rsid w:val="00983E84"/>
    <w:rsid w:val="009840F3"/>
    <w:rsid w:val="009840FD"/>
    <w:rsid w:val="009843B6"/>
    <w:rsid w:val="009845F9"/>
    <w:rsid w:val="00984701"/>
    <w:rsid w:val="00984847"/>
    <w:rsid w:val="00984ABB"/>
    <w:rsid w:val="00984BAA"/>
    <w:rsid w:val="00984BEC"/>
    <w:rsid w:val="00984C56"/>
    <w:rsid w:val="00984D14"/>
    <w:rsid w:val="00984DDD"/>
    <w:rsid w:val="00984E5F"/>
    <w:rsid w:val="00985506"/>
    <w:rsid w:val="00985598"/>
    <w:rsid w:val="009855E5"/>
    <w:rsid w:val="009858AE"/>
    <w:rsid w:val="009859F8"/>
    <w:rsid w:val="00985D0F"/>
    <w:rsid w:val="00985EB8"/>
    <w:rsid w:val="00985FB3"/>
    <w:rsid w:val="00985FF8"/>
    <w:rsid w:val="00986566"/>
    <w:rsid w:val="00986ACC"/>
    <w:rsid w:val="00986CC1"/>
    <w:rsid w:val="00986E20"/>
    <w:rsid w:val="00986F4E"/>
    <w:rsid w:val="00987008"/>
    <w:rsid w:val="00987136"/>
    <w:rsid w:val="0098718C"/>
    <w:rsid w:val="00987191"/>
    <w:rsid w:val="009874B6"/>
    <w:rsid w:val="00987A5A"/>
    <w:rsid w:val="00987CB4"/>
    <w:rsid w:val="00987DCD"/>
    <w:rsid w:val="00987F63"/>
    <w:rsid w:val="00987F74"/>
    <w:rsid w:val="009902DF"/>
    <w:rsid w:val="0099063A"/>
    <w:rsid w:val="0099097E"/>
    <w:rsid w:val="00991119"/>
    <w:rsid w:val="009913B6"/>
    <w:rsid w:val="00991798"/>
    <w:rsid w:val="00991958"/>
    <w:rsid w:val="00991FF9"/>
    <w:rsid w:val="009921FC"/>
    <w:rsid w:val="0099272B"/>
    <w:rsid w:val="00992A0E"/>
    <w:rsid w:val="009935F4"/>
    <w:rsid w:val="009936D9"/>
    <w:rsid w:val="00993889"/>
    <w:rsid w:val="009938F9"/>
    <w:rsid w:val="00993998"/>
    <w:rsid w:val="0099399E"/>
    <w:rsid w:val="00993A83"/>
    <w:rsid w:val="00993CE0"/>
    <w:rsid w:val="00994032"/>
    <w:rsid w:val="0099413C"/>
    <w:rsid w:val="00994230"/>
    <w:rsid w:val="00994349"/>
    <w:rsid w:val="00994472"/>
    <w:rsid w:val="009944BA"/>
    <w:rsid w:val="0099477A"/>
    <w:rsid w:val="0099479E"/>
    <w:rsid w:val="009947EC"/>
    <w:rsid w:val="00994889"/>
    <w:rsid w:val="00994903"/>
    <w:rsid w:val="00994F30"/>
    <w:rsid w:val="009951D8"/>
    <w:rsid w:val="00995355"/>
    <w:rsid w:val="0099554D"/>
    <w:rsid w:val="0099586F"/>
    <w:rsid w:val="00995BDD"/>
    <w:rsid w:val="00996155"/>
    <w:rsid w:val="00996202"/>
    <w:rsid w:val="00996636"/>
    <w:rsid w:val="00996711"/>
    <w:rsid w:val="00996960"/>
    <w:rsid w:val="00996C6B"/>
    <w:rsid w:val="00996CB5"/>
    <w:rsid w:val="0099719E"/>
    <w:rsid w:val="009973F6"/>
    <w:rsid w:val="009975BE"/>
    <w:rsid w:val="00997E7A"/>
    <w:rsid w:val="009A0033"/>
    <w:rsid w:val="009A0169"/>
    <w:rsid w:val="009A02D1"/>
    <w:rsid w:val="009A0ED0"/>
    <w:rsid w:val="009A0FF5"/>
    <w:rsid w:val="009A107A"/>
    <w:rsid w:val="009A1585"/>
    <w:rsid w:val="009A161D"/>
    <w:rsid w:val="009A1950"/>
    <w:rsid w:val="009A1AE9"/>
    <w:rsid w:val="009A1B56"/>
    <w:rsid w:val="009A1E41"/>
    <w:rsid w:val="009A2A8A"/>
    <w:rsid w:val="009A3663"/>
    <w:rsid w:val="009A3C93"/>
    <w:rsid w:val="009A3E08"/>
    <w:rsid w:val="009A3E28"/>
    <w:rsid w:val="009A3FD0"/>
    <w:rsid w:val="009A4323"/>
    <w:rsid w:val="009A439F"/>
    <w:rsid w:val="009A48A8"/>
    <w:rsid w:val="009A4C14"/>
    <w:rsid w:val="009A4C36"/>
    <w:rsid w:val="009A4FF2"/>
    <w:rsid w:val="009A507B"/>
    <w:rsid w:val="009A51C7"/>
    <w:rsid w:val="009A52F1"/>
    <w:rsid w:val="009A5428"/>
    <w:rsid w:val="009A5778"/>
    <w:rsid w:val="009A5877"/>
    <w:rsid w:val="009A59EC"/>
    <w:rsid w:val="009A5C56"/>
    <w:rsid w:val="009A5CA8"/>
    <w:rsid w:val="009A5D44"/>
    <w:rsid w:val="009A656F"/>
    <w:rsid w:val="009A679B"/>
    <w:rsid w:val="009A6C62"/>
    <w:rsid w:val="009A6EB4"/>
    <w:rsid w:val="009A6ED0"/>
    <w:rsid w:val="009A706A"/>
    <w:rsid w:val="009A71AB"/>
    <w:rsid w:val="009A75C2"/>
    <w:rsid w:val="009A7745"/>
    <w:rsid w:val="009A7A1F"/>
    <w:rsid w:val="009A7C3D"/>
    <w:rsid w:val="009A7EE9"/>
    <w:rsid w:val="009B0156"/>
    <w:rsid w:val="009B0295"/>
    <w:rsid w:val="009B02F7"/>
    <w:rsid w:val="009B05BA"/>
    <w:rsid w:val="009B0973"/>
    <w:rsid w:val="009B0B44"/>
    <w:rsid w:val="009B0D1C"/>
    <w:rsid w:val="009B1050"/>
    <w:rsid w:val="009B105B"/>
    <w:rsid w:val="009B19A0"/>
    <w:rsid w:val="009B1A0C"/>
    <w:rsid w:val="009B1B0E"/>
    <w:rsid w:val="009B1E08"/>
    <w:rsid w:val="009B2596"/>
    <w:rsid w:val="009B25B0"/>
    <w:rsid w:val="009B2BFF"/>
    <w:rsid w:val="009B2D8A"/>
    <w:rsid w:val="009B3085"/>
    <w:rsid w:val="009B3408"/>
    <w:rsid w:val="009B3CA2"/>
    <w:rsid w:val="009B3F4F"/>
    <w:rsid w:val="009B4086"/>
    <w:rsid w:val="009B42B6"/>
    <w:rsid w:val="009B42CC"/>
    <w:rsid w:val="009B43D6"/>
    <w:rsid w:val="009B4BE6"/>
    <w:rsid w:val="009B4DA1"/>
    <w:rsid w:val="009B4EFF"/>
    <w:rsid w:val="009B4F23"/>
    <w:rsid w:val="009B5081"/>
    <w:rsid w:val="009B50AB"/>
    <w:rsid w:val="009B5305"/>
    <w:rsid w:val="009B5448"/>
    <w:rsid w:val="009B5823"/>
    <w:rsid w:val="009B58C2"/>
    <w:rsid w:val="009B5B30"/>
    <w:rsid w:val="009B5E7D"/>
    <w:rsid w:val="009B6985"/>
    <w:rsid w:val="009B6991"/>
    <w:rsid w:val="009B69B3"/>
    <w:rsid w:val="009B7011"/>
    <w:rsid w:val="009B71E4"/>
    <w:rsid w:val="009B73C6"/>
    <w:rsid w:val="009B759C"/>
    <w:rsid w:val="009B7608"/>
    <w:rsid w:val="009B7882"/>
    <w:rsid w:val="009B7B14"/>
    <w:rsid w:val="009C0075"/>
    <w:rsid w:val="009C04AA"/>
    <w:rsid w:val="009C04EE"/>
    <w:rsid w:val="009C0CD4"/>
    <w:rsid w:val="009C0E80"/>
    <w:rsid w:val="009C0F46"/>
    <w:rsid w:val="009C129E"/>
    <w:rsid w:val="009C148F"/>
    <w:rsid w:val="009C15E7"/>
    <w:rsid w:val="009C16B5"/>
    <w:rsid w:val="009C1768"/>
    <w:rsid w:val="009C17C8"/>
    <w:rsid w:val="009C1D3C"/>
    <w:rsid w:val="009C1EC9"/>
    <w:rsid w:val="009C2243"/>
    <w:rsid w:val="009C2587"/>
    <w:rsid w:val="009C26F8"/>
    <w:rsid w:val="009C2A18"/>
    <w:rsid w:val="009C2ACF"/>
    <w:rsid w:val="009C3742"/>
    <w:rsid w:val="009C3854"/>
    <w:rsid w:val="009C385B"/>
    <w:rsid w:val="009C39E7"/>
    <w:rsid w:val="009C3B9C"/>
    <w:rsid w:val="009C3BCE"/>
    <w:rsid w:val="009C3CCE"/>
    <w:rsid w:val="009C3E3C"/>
    <w:rsid w:val="009C4239"/>
    <w:rsid w:val="009C42EF"/>
    <w:rsid w:val="009C4353"/>
    <w:rsid w:val="009C4522"/>
    <w:rsid w:val="009C476F"/>
    <w:rsid w:val="009C4785"/>
    <w:rsid w:val="009C487A"/>
    <w:rsid w:val="009C49C2"/>
    <w:rsid w:val="009C4E2D"/>
    <w:rsid w:val="009C5117"/>
    <w:rsid w:val="009C555A"/>
    <w:rsid w:val="009C5689"/>
    <w:rsid w:val="009C5A2D"/>
    <w:rsid w:val="009C5B91"/>
    <w:rsid w:val="009C5DAC"/>
    <w:rsid w:val="009C6172"/>
    <w:rsid w:val="009C62C0"/>
    <w:rsid w:val="009C66EE"/>
    <w:rsid w:val="009C6798"/>
    <w:rsid w:val="009C6A88"/>
    <w:rsid w:val="009C6CF7"/>
    <w:rsid w:val="009C6F20"/>
    <w:rsid w:val="009C70E1"/>
    <w:rsid w:val="009C7181"/>
    <w:rsid w:val="009C720C"/>
    <w:rsid w:val="009C740C"/>
    <w:rsid w:val="009C75D2"/>
    <w:rsid w:val="009C765D"/>
    <w:rsid w:val="009C7ADA"/>
    <w:rsid w:val="009C7FB6"/>
    <w:rsid w:val="009D000A"/>
    <w:rsid w:val="009D0664"/>
    <w:rsid w:val="009D0C33"/>
    <w:rsid w:val="009D111B"/>
    <w:rsid w:val="009D1A86"/>
    <w:rsid w:val="009D1E12"/>
    <w:rsid w:val="009D1E3F"/>
    <w:rsid w:val="009D1E78"/>
    <w:rsid w:val="009D2720"/>
    <w:rsid w:val="009D29E1"/>
    <w:rsid w:val="009D2DA9"/>
    <w:rsid w:val="009D2E93"/>
    <w:rsid w:val="009D2EA9"/>
    <w:rsid w:val="009D3038"/>
    <w:rsid w:val="009D3091"/>
    <w:rsid w:val="009D34C0"/>
    <w:rsid w:val="009D35FB"/>
    <w:rsid w:val="009D3CF3"/>
    <w:rsid w:val="009D48DF"/>
    <w:rsid w:val="009D4BBE"/>
    <w:rsid w:val="009D4E16"/>
    <w:rsid w:val="009D502D"/>
    <w:rsid w:val="009D50A1"/>
    <w:rsid w:val="009D5454"/>
    <w:rsid w:val="009D5697"/>
    <w:rsid w:val="009D5893"/>
    <w:rsid w:val="009D5F7A"/>
    <w:rsid w:val="009D6620"/>
    <w:rsid w:val="009D663C"/>
    <w:rsid w:val="009D6C54"/>
    <w:rsid w:val="009D6CCB"/>
    <w:rsid w:val="009D70FF"/>
    <w:rsid w:val="009D72B0"/>
    <w:rsid w:val="009D72DF"/>
    <w:rsid w:val="009D7303"/>
    <w:rsid w:val="009D77CE"/>
    <w:rsid w:val="009D79E6"/>
    <w:rsid w:val="009D7DE3"/>
    <w:rsid w:val="009DC07E"/>
    <w:rsid w:val="009E004A"/>
    <w:rsid w:val="009E03D7"/>
    <w:rsid w:val="009E066B"/>
    <w:rsid w:val="009E0817"/>
    <w:rsid w:val="009E08D8"/>
    <w:rsid w:val="009E0998"/>
    <w:rsid w:val="009E0D74"/>
    <w:rsid w:val="009E10CB"/>
    <w:rsid w:val="009E1515"/>
    <w:rsid w:val="009E1CFF"/>
    <w:rsid w:val="009E1FEE"/>
    <w:rsid w:val="009E23EA"/>
    <w:rsid w:val="009E2B3E"/>
    <w:rsid w:val="009E2D24"/>
    <w:rsid w:val="009E2EA0"/>
    <w:rsid w:val="009E305F"/>
    <w:rsid w:val="009E3081"/>
    <w:rsid w:val="009E3141"/>
    <w:rsid w:val="009E365C"/>
    <w:rsid w:val="009E36FF"/>
    <w:rsid w:val="009E37D3"/>
    <w:rsid w:val="009E3BBD"/>
    <w:rsid w:val="009E3C0A"/>
    <w:rsid w:val="009E3C57"/>
    <w:rsid w:val="009E3DA7"/>
    <w:rsid w:val="009E4111"/>
    <w:rsid w:val="009E41A8"/>
    <w:rsid w:val="009E4BEA"/>
    <w:rsid w:val="009E5028"/>
    <w:rsid w:val="009E50FB"/>
    <w:rsid w:val="009E5280"/>
    <w:rsid w:val="009E5386"/>
    <w:rsid w:val="009E58B0"/>
    <w:rsid w:val="009E5AC7"/>
    <w:rsid w:val="009E5B5A"/>
    <w:rsid w:val="009E5DD1"/>
    <w:rsid w:val="009E606C"/>
    <w:rsid w:val="009E6085"/>
    <w:rsid w:val="009E60AD"/>
    <w:rsid w:val="009E68C8"/>
    <w:rsid w:val="009E6AB5"/>
    <w:rsid w:val="009E6DAB"/>
    <w:rsid w:val="009E6F21"/>
    <w:rsid w:val="009E6F4B"/>
    <w:rsid w:val="009E703C"/>
    <w:rsid w:val="009E72A5"/>
    <w:rsid w:val="009E7681"/>
    <w:rsid w:val="009E7CD8"/>
    <w:rsid w:val="009E7E4C"/>
    <w:rsid w:val="009F00E9"/>
    <w:rsid w:val="009F049B"/>
    <w:rsid w:val="009F05C5"/>
    <w:rsid w:val="009F062A"/>
    <w:rsid w:val="009F08F5"/>
    <w:rsid w:val="009F0956"/>
    <w:rsid w:val="009F0B2D"/>
    <w:rsid w:val="009F0BD3"/>
    <w:rsid w:val="009F0EE5"/>
    <w:rsid w:val="009F11C1"/>
    <w:rsid w:val="009F1264"/>
    <w:rsid w:val="009F138B"/>
    <w:rsid w:val="009F1528"/>
    <w:rsid w:val="009F163D"/>
    <w:rsid w:val="009F16C1"/>
    <w:rsid w:val="009F1D7F"/>
    <w:rsid w:val="009F1DE6"/>
    <w:rsid w:val="009F245B"/>
    <w:rsid w:val="009F24F1"/>
    <w:rsid w:val="009F25E6"/>
    <w:rsid w:val="009F2A86"/>
    <w:rsid w:val="009F2BE8"/>
    <w:rsid w:val="009F2EF5"/>
    <w:rsid w:val="009F2F09"/>
    <w:rsid w:val="009F331F"/>
    <w:rsid w:val="009F381D"/>
    <w:rsid w:val="009F39A7"/>
    <w:rsid w:val="009F3BBE"/>
    <w:rsid w:val="009F3FAA"/>
    <w:rsid w:val="009F4068"/>
    <w:rsid w:val="009F40B7"/>
    <w:rsid w:val="009F4128"/>
    <w:rsid w:val="009F4188"/>
    <w:rsid w:val="009F4302"/>
    <w:rsid w:val="009F4383"/>
    <w:rsid w:val="009F4393"/>
    <w:rsid w:val="009F4584"/>
    <w:rsid w:val="009F4867"/>
    <w:rsid w:val="009F4BE9"/>
    <w:rsid w:val="009F563B"/>
    <w:rsid w:val="009F5EB1"/>
    <w:rsid w:val="009F61C0"/>
    <w:rsid w:val="009F61F2"/>
    <w:rsid w:val="009F62D3"/>
    <w:rsid w:val="009F62FE"/>
    <w:rsid w:val="009F64EF"/>
    <w:rsid w:val="009F6F43"/>
    <w:rsid w:val="009F6FF2"/>
    <w:rsid w:val="009F7268"/>
    <w:rsid w:val="009F79C2"/>
    <w:rsid w:val="009F7BEB"/>
    <w:rsid w:val="009F7C81"/>
    <w:rsid w:val="009F7DC4"/>
    <w:rsid w:val="00A00112"/>
    <w:rsid w:val="00A0014E"/>
    <w:rsid w:val="00A008B5"/>
    <w:rsid w:val="00A00A8D"/>
    <w:rsid w:val="00A01182"/>
    <w:rsid w:val="00A011AB"/>
    <w:rsid w:val="00A017B4"/>
    <w:rsid w:val="00A01869"/>
    <w:rsid w:val="00A01A3E"/>
    <w:rsid w:val="00A01B68"/>
    <w:rsid w:val="00A01C53"/>
    <w:rsid w:val="00A01D38"/>
    <w:rsid w:val="00A01D75"/>
    <w:rsid w:val="00A02026"/>
    <w:rsid w:val="00A02060"/>
    <w:rsid w:val="00A02414"/>
    <w:rsid w:val="00A0255A"/>
    <w:rsid w:val="00A025B9"/>
    <w:rsid w:val="00A02828"/>
    <w:rsid w:val="00A029D7"/>
    <w:rsid w:val="00A02A73"/>
    <w:rsid w:val="00A02BFE"/>
    <w:rsid w:val="00A02E3C"/>
    <w:rsid w:val="00A02EF8"/>
    <w:rsid w:val="00A02F85"/>
    <w:rsid w:val="00A0302C"/>
    <w:rsid w:val="00A0310C"/>
    <w:rsid w:val="00A03485"/>
    <w:rsid w:val="00A0355C"/>
    <w:rsid w:val="00A03A13"/>
    <w:rsid w:val="00A040CD"/>
    <w:rsid w:val="00A04429"/>
    <w:rsid w:val="00A045AB"/>
    <w:rsid w:val="00A045F8"/>
    <w:rsid w:val="00A04DA7"/>
    <w:rsid w:val="00A051D9"/>
    <w:rsid w:val="00A05387"/>
    <w:rsid w:val="00A05621"/>
    <w:rsid w:val="00A05780"/>
    <w:rsid w:val="00A05EA7"/>
    <w:rsid w:val="00A06032"/>
    <w:rsid w:val="00A06446"/>
    <w:rsid w:val="00A06697"/>
    <w:rsid w:val="00A0671C"/>
    <w:rsid w:val="00A06C40"/>
    <w:rsid w:val="00A0762D"/>
    <w:rsid w:val="00A07EC5"/>
    <w:rsid w:val="00A101C4"/>
    <w:rsid w:val="00A10586"/>
    <w:rsid w:val="00A1087A"/>
    <w:rsid w:val="00A10A48"/>
    <w:rsid w:val="00A10F0A"/>
    <w:rsid w:val="00A110DA"/>
    <w:rsid w:val="00A1132B"/>
    <w:rsid w:val="00A11930"/>
    <w:rsid w:val="00A11A10"/>
    <w:rsid w:val="00A11B54"/>
    <w:rsid w:val="00A11CDC"/>
    <w:rsid w:val="00A1238C"/>
    <w:rsid w:val="00A12456"/>
    <w:rsid w:val="00A124BD"/>
    <w:rsid w:val="00A1263D"/>
    <w:rsid w:val="00A12731"/>
    <w:rsid w:val="00A1290E"/>
    <w:rsid w:val="00A12AF2"/>
    <w:rsid w:val="00A12B27"/>
    <w:rsid w:val="00A12CDE"/>
    <w:rsid w:val="00A12D8A"/>
    <w:rsid w:val="00A12E38"/>
    <w:rsid w:val="00A12E6C"/>
    <w:rsid w:val="00A130C1"/>
    <w:rsid w:val="00A1324B"/>
    <w:rsid w:val="00A132B4"/>
    <w:rsid w:val="00A136D0"/>
    <w:rsid w:val="00A13AA0"/>
    <w:rsid w:val="00A13C62"/>
    <w:rsid w:val="00A13D1A"/>
    <w:rsid w:val="00A13D90"/>
    <w:rsid w:val="00A13DDF"/>
    <w:rsid w:val="00A13ECB"/>
    <w:rsid w:val="00A14587"/>
    <w:rsid w:val="00A147E7"/>
    <w:rsid w:val="00A14803"/>
    <w:rsid w:val="00A14A3B"/>
    <w:rsid w:val="00A14D82"/>
    <w:rsid w:val="00A14DC2"/>
    <w:rsid w:val="00A14DD6"/>
    <w:rsid w:val="00A1514D"/>
    <w:rsid w:val="00A153A5"/>
    <w:rsid w:val="00A153E4"/>
    <w:rsid w:val="00A15573"/>
    <w:rsid w:val="00A15889"/>
    <w:rsid w:val="00A15B51"/>
    <w:rsid w:val="00A15D5E"/>
    <w:rsid w:val="00A161F8"/>
    <w:rsid w:val="00A16299"/>
    <w:rsid w:val="00A163E2"/>
    <w:rsid w:val="00A16656"/>
    <w:rsid w:val="00A1674D"/>
    <w:rsid w:val="00A1692A"/>
    <w:rsid w:val="00A169FA"/>
    <w:rsid w:val="00A1766A"/>
    <w:rsid w:val="00A17B2F"/>
    <w:rsid w:val="00A17C41"/>
    <w:rsid w:val="00A17CE8"/>
    <w:rsid w:val="00A200F4"/>
    <w:rsid w:val="00A206C9"/>
    <w:rsid w:val="00A20A72"/>
    <w:rsid w:val="00A20AB8"/>
    <w:rsid w:val="00A20C27"/>
    <w:rsid w:val="00A20E7D"/>
    <w:rsid w:val="00A216BC"/>
    <w:rsid w:val="00A222A3"/>
    <w:rsid w:val="00A223E8"/>
    <w:rsid w:val="00A224DE"/>
    <w:rsid w:val="00A22973"/>
    <w:rsid w:val="00A229DB"/>
    <w:rsid w:val="00A22A5A"/>
    <w:rsid w:val="00A22BD4"/>
    <w:rsid w:val="00A22E8B"/>
    <w:rsid w:val="00A230AF"/>
    <w:rsid w:val="00A23735"/>
    <w:rsid w:val="00A23931"/>
    <w:rsid w:val="00A239D4"/>
    <w:rsid w:val="00A23D7C"/>
    <w:rsid w:val="00A23E82"/>
    <w:rsid w:val="00A23F28"/>
    <w:rsid w:val="00A23FD6"/>
    <w:rsid w:val="00A242A7"/>
    <w:rsid w:val="00A242B4"/>
    <w:rsid w:val="00A24626"/>
    <w:rsid w:val="00A24C4A"/>
    <w:rsid w:val="00A24CCD"/>
    <w:rsid w:val="00A250A1"/>
    <w:rsid w:val="00A25317"/>
    <w:rsid w:val="00A253EB"/>
    <w:rsid w:val="00A25706"/>
    <w:rsid w:val="00A2575C"/>
    <w:rsid w:val="00A25838"/>
    <w:rsid w:val="00A25C53"/>
    <w:rsid w:val="00A25D84"/>
    <w:rsid w:val="00A26029"/>
    <w:rsid w:val="00A26294"/>
    <w:rsid w:val="00A262E4"/>
    <w:rsid w:val="00A26613"/>
    <w:rsid w:val="00A266CC"/>
    <w:rsid w:val="00A268EA"/>
    <w:rsid w:val="00A26D66"/>
    <w:rsid w:val="00A26DB0"/>
    <w:rsid w:val="00A2712B"/>
    <w:rsid w:val="00A275AA"/>
    <w:rsid w:val="00A278CF"/>
    <w:rsid w:val="00A27E63"/>
    <w:rsid w:val="00A304F7"/>
    <w:rsid w:val="00A309CB"/>
    <w:rsid w:val="00A30B8B"/>
    <w:rsid w:val="00A310DA"/>
    <w:rsid w:val="00A31CE0"/>
    <w:rsid w:val="00A31E33"/>
    <w:rsid w:val="00A31FA9"/>
    <w:rsid w:val="00A32629"/>
    <w:rsid w:val="00A327A2"/>
    <w:rsid w:val="00A3298C"/>
    <w:rsid w:val="00A32CC6"/>
    <w:rsid w:val="00A333BF"/>
    <w:rsid w:val="00A336AC"/>
    <w:rsid w:val="00A33825"/>
    <w:rsid w:val="00A33836"/>
    <w:rsid w:val="00A3398F"/>
    <w:rsid w:val="00A33F7C"/>
    <w:rsid w:val="00A34000"/>
    <w:rsid w:val="00A3529D"/>
    <w:rsid w:val="00A35583"/>
    <w:rsid w:val="00A35730"/>
    <w:rsid w:val="00A360A5"/>
    <w:rsid w:val="00A360E0"/>
    <w:rsid w:val="00A360FA"/>
    <w:rsid w:val="00A363EF"/>
    <w:rsid w:val="00A36581"/>
    <w:rsid w:val="00A36876"/>
    <w:rsid w:val="00A369D9"/>
    <w:rsid w:val="00A36DFE"/>
    <w:rsid w:val="00A36F37"/>
    <w:rsid w:val="00A370FD"/>
    <w:rsid w:val="00A37111"/>
    <w:rsid w:val="00A371CA"/>
    <w:rsid w:val="00A3738C"/>
    <w:rsid w:val="00A3790F"/>
    <w:rsid w:val="00A3798C"/>
    <w:rsid w:val="00A37AAB"/>
    <w:rsid w:val="00A37DD9"/>
    <w:rsid w:val="00A37F71"/>
    <w:rsid w:val="00A4037D"/>
    <w:rsid w:val="00A40830"/>
    <w:rsid w:val="00A40859"/>
    <w:rsid w:val="00A40D37"/>
    <w:rsid w:val="00A40ED7"/>
    <w:rsid w:val="00A40F83"/>
    <w:rsid w:val="00A40FA8"/>
    <w:rsid w:val="00A4118D"/>
    <w:rsid w:val="00A412BA"/>
    <w:rsid w:val="00A4139D"/>
    <w:rsid w:val="00A41416"/>
    <w:rsid w:val="00A41575"/>
    <w:rsid w:val="00A418B4"/>
    <w:rsid w:val="00A41CF2"/>
    <w:rsid w:val="00A4200D"/>
    <w:rsid w:val="00A4224C"/>
    <w:rsid w:val="00A424BF"/>
    <w:rsid w:val="00A4258E"/>
    <w:rsid w:val="00A432A4"/>
    <w:rsid w:val="00A432D1"/>
    <w:rsid w:val="00A43422"/>
    <w:rsid w:val="00A43716"/>
    <w:rsid w:val="00A43F87"/>
    <w:rsid w:val="00A442C5"/>
    <w:rsid w:val="00A44498"/>
    <w:rsid w:val="00A44712"/>
    <w:rsid w:val="00A44AF5"/>
    <w:rsid w:val="00A44B8B"/>
    <w:rsid w:val="00A44C86"/>
    <w:rsid w:val="00A452D6"/>
    <w:rsid w:val="00A45840"/>
    <w:rsid w:val="00A45A04"/>
    <w:rsid w:val="00A45DFB"/>
    <w:rsid w:val="00A45EC4"/>
    <w:rsid w:val="00A45F82"/>
    <w:rsid w:val="00A460B9"/>
    <w:rsid w:val="00A460C9"/>
    <w:rsid w:val="00A46615"/>
    <w:rsid w:val="00A46FBD"/>
    <w:rsid w:val="00A4708E"/>
    <w:rsid w:val="00A47128"/>
    <w:rsid w:val="00A47212"/>
    <w:rsid w:val="00A474EA"/>
    <w:rsid w:val="00A47571"/>
    <w:rsid w:val="00A47803"/>
    <w:rsid w:val="00A4788D"/>
    <w:rsid w:val="00A47A67"/>
    <w:rsid w:val="00A501B2"/>
    <w:rsid w:val="00A5034A"/>
    <w:rsid w:val="00A503D1"/>
    <w:rsid w:val="00A50602"/>
    <w:rsid w:val="00A50B5F"/>
    <w:rsid w:val="00A50FD4"/>
    <w:rsid w:val="00A50FFA"/>
    <w:rsid w:val="00A51191"/>
    <w:rsid w:val="00A51904"/>
    <w:rsid w:val="00A5266B"/>
    <w:rsid w:val="00A5279C"/>
    <w:rsid w:val="00A52822"/>
    <w:rsid w:val="00A52ADE"/>
    <w:rsid w:val="00A539D1"/>
    <w:rsid w:val="00A53A57"/>
    <w:rsid w:val="00A53C29"/>
    <w:rsid w:val="00A53D26"/>
    <w:rsid w:val="00A5499E"/>
    <w:rsid w:val="00A54DAE"/>
    <w:rsid w:val="00A54E2F"/>
    <w:rsid w:val="00A551E9"/>
    <w:rsid w:val="00A55323"/>
    <w:rsid w:val="00A553D6"/>
    <w:rsid w:val="00A55C6A"/>
    <w:rsid w:val="00A5612A"/>
    <w:rsid w:val="00A565D2"/>
    <w:rsid w:val="00A56655"/>
    <w:rsid w:val="00A56D3B"/>
    <w:rsid w:val="00A56DF9"/>
    <w:rsid w:val="00A56EE9"/>
    <w:rsid w:val="00A56F9F"/>
    <w:rsid w:val="00A571EF"/>
    <w:rsid w:val="00A5727B"/>
    <w:rsid w:val="00A573AD"/>
    <w:rsid w:val="00A57450"/>
    <w:rsid w:val="00A57479"/>
    <w:rsid w:val="00A574A9"/>
    <w:rsid w:val="00A57AB7"/>
    <w:rsid w:val="00A57C08"/>
    <w:rsid w:val="00A6007D"/>
    <w:rsid w:val="00A600D9"/>
    <w:rsid w:val="00A604CD"/>
    <w:rsid w:val="00A604D1"/>
    <w:rsid w:val="00A60DA1"/>
    <w:rsid w:val="00A61006"/>
    <w:rsid w:val="00A6112C"/>
    <w:rsid w:val="00A613DF"/>
    <w:rsid w:val="00A6175E"/>
    <w:rsid w:val="00A617CA"/>
    <w:rsid w:val="00A61A57"/>
    <w:rsid w:val="00A61C1E"/>
    <w:rsid w:val="00A61DB7"/>
    <w:rsid w:val="00A621AD"/>
    <w:rsid w:val="00A6235A"/>
    <w:rsid w:val="00A62642"/>
    <w:rsid w:val="00A62746"/>
    <w:rsid w:val="00A63074"/>
    <w:rsid w:val="00A631BE"/>
    <w:rsid w:val="00A637A0"/>
    <w:rsid w:val="00A63B15"/>
    <w:rsid w:val="00A63C96"/>
    <w:rsid w:val="00A63ECD"/>
    <w:rsid w:val="00A63ED0"/>
    <w:rsid w:val="00A63FE1"/>
    <w:rsid w:val="00A64085"/>
    <w:rsid w:val="00A64093"/>
    <w:rsid w:val="00A640EB"/>
    <w:rsid w:val="00A646A7"/>
    <w:rsid w:val="00A64815"/>
    <w:rsid w:val="00A6503C"/>
    <w:rsid w:val="00A65043"/>
    <w:rsid w:val="00A6535B"/>
    <w:rsid w:val="00A655A2"/>
    <w:rsid w:val="00A65955"/>
    <w:rsid w:val="00A65A7A"/>
    <w:rsid w:val="00A65ECE"/>
    <w:rsid w:val="00A66A77"/>
    <w:rsid w:val="00A66DF9"/>
    <w:rsid w:val="00A66E53"/>
    <w:rsid w:val="00A676EC"/>
    <w:rsid w:val="00A67D0A"/>
    <w:rsid w:val="00A704E4"/>
    <w:rsid w:val="00A710D4"/>
    <w:rsid w:val="00A7136A"/>
    <w:rsid w:val="00A71803"/>
    <w:rsid w:val="00A7193A"/>
    <w:rsid w:val="00A71991"/>
    <w:rsid w:val="00A71A87"/>
    <w:rsid w:val="00A71C44"/>
    <w:rsid w:val="00A71E86"/>
    <w:rsid w:val="00A72073"/>
    <w:rsid w:val="00A72210"/>
    <w:rsid w:val="00A72296"/>
    <w:rsid w:val="00A7233E"/>
    <w:rsid w:val="00A728C5"/>
    <w:rsid w:val="00A72BB1"/>
    <w:rsid w:val="00A72CDF"/>
    <w:rsid w:val="00A72E38"/>
    <w:rsid w:val="00A732B1"/>
    <w:rsid w:val="00A73393"/>
    <w:rsid w:val="00A73659"/>
    <w:rsid w:val="00A7384D"/>
    <w:rsid w:val="00A7388E"/>
    <w:rsid w:val="00A73933"/>
    <w:rsid w:val="00A73A2F"/>
    <w:rsid w:val="00A73C83"/>
    <w:rsid w:val="00A73D50"/>
    <w:rsid w:val="00A73E3E"/>
    <w:rsid w:val="00A740A5"/>
    <w:rsid w:val="00A7414B"/>
    <w:rsid w:val="00A74384"/>
    <w:rsid w:val="00A74544"/>
    <w:rsid w:val="00A74548"/>
    <w:rsid w:val="00A7462E"/>
    <w:rsid w:val="00A746F8"/>
    <w:rsid w:val="00A7496E"/>
    <w:rsid w:val="00A74986"/>
    <w:rsid w:val="00A74DF2"/>
    <w:rsid w:val="00A74E4D"/>
    <w:rsid w:val="00A751A0"/>
    <w:rsid w:val="00A75256"/>
    <w:rsid w:val="00A7591F"/>
    <w:rsid w:val="00A7592E"/>
    <w:rsid w:val="00A759CC"/>
    <w:rsid w:val="00A75B11"/>
    <w:rsid w:val="00A76479"/>
    <w:rsid w:val="00A765FD"/>
    <w:rsid w:val="00A76969"/>
    <w:rsid w:val="00A76C1F"/>
    <w:rsid w:val="00A76F24"/>
    <w:rsid w:val="00A7708F"/>
    <w:rsid w:val="00A771E2"/>
    <w:rsid w:val="00A77B46"/>
    <w:rsid w:val="00A77BAF"/>
    <w:rsid w:val="00A803FC"/>
    <w:rsid w:val="00A8071A"/>
    <w:rsid w:val="00A807C4"/>
    <w:rsid w:val="00A80A61"/>
    <w:rsid w:val="00A80DD9"/>
    <w:rsid w:val="00A80F95"/>
    <w:rsid w:val="00A80FCA"/>
    <w:rsid w:val="00A8102F"/>
    <w:rsid w:val="00A813A6"/>
    <w:rsid w:val="00A81485"/>
    <w:rsid w:val="00A81C48"/>
    <w:rsid w:val="00A81CBC"/>
    <w:rsid w:val="00A81CC6"/>
    <w:rsid w:val="00A8227C"/>
    <w:rsid w:val="00A82282"/>
    <w:rsid w:val="00A82506"/>
    <w:rsid w:val="00A8261C"/>
    <w:rsid w:val="00A827B5"/>
    <w:rsid w:val="00A827D2"/>
    <w:rsid w:val="00A82849"/>
    <w:rsid w:val="00A82AF8"/>
    <w:rsid w:val="00A82D45"/>
    <w:rsid w:val="00A83147"/>
    <w:rsid w:val="00A831FB"/>
    <w:rsid w:val="00A832EC"/>
    <w:rsid w:val="00A833AF"/>
    <w:rsid w:val="00A837CE"/>
    <w:rsid w:val="00A83DB5"/>
    <w:rsid w:val="00A83FBA"/>
    <w:rsid w:val="00A84052"/>
    <w:rsid w:val="00A84403"/>
    <w:rsid w:val="00A84636"/>
    <w:rsid w:val="00A8482D"/>
    <w:rsid w:val="00A84A58"/>
    <w:rsid w:val="00A84FE1"/>
    <w:rsid w:val="00A85060"/>
    <w:rsid w:val="00A85080"/>
    <w:rsid w:val="00A85156"/>
    <w:rsid w:val="00A8523D"/>
    <w:rsid w:val="00A85337"/>
    <w:rsid w:val="00A8590B"/>
    <w:rsid w:val="00A85C4E"/>
    <w:rsid w:val="00A85DC5"/>
    <w:rsid w:val="00A8626D"/>
    <w:rsid w:val="00A86406"/>
    <w:rsid w:val="00A86853"/>
    <w:rsid w:val="00A86B05"/>
    <w:rsid w:val="00A86B75"/>
    <w:rsid w:val="00A86D09"/>
    <w:rsid w:val="00A86D3D"/>
    <w:rsid w:val="00A86E75"/>
    <w:rsid w:val="00A86F33"/>
    <w:rsid w:val="00A87123"/>
    <w:rsid w:val="00A87A6D"/>
    <w:rsid w:val="00A87F41"/>
    <w:rsid w:val="00A900DC"/>
    <w:rsid w:val="00A901D2"/>
    <w:rsid w:val="00A90365"/>
    <w:rsid w:val="00A9065F"/>
    <w:rsid w:val="00A90A2D"/>
    <w:rsid w:val="00A90B0E"/>
    <w:rsid w:val="00A90DAA"/>
    <w:rsid w:val="00A90EBC"/>
    <w:rsid w:val="00A90FC9"/>
    <w:rsid w:val="00A9141A"/>
    <w:rsid w:val="00A91713"/>
    <w:rsid w:val="00A91902"/>
    <w:rsid w:val="00A91AA1"/>
    <w:rsid w:val="00A91C8C"/>
    <w:rsid w:val="00A91F0D"/>
    <w:rsid w:val="00A9235A"/>
    <w:rsid w:val="00A92BA1"/>
    <w:rsid w:val="00A92ED2"/>
    <w:rsid w:val="00A92FF7"/>
    <w:rsid w:val="00A93069"/>
    <w:rsid w:val="00A932CE"/>
    <w:rsid w:val="00A9372A"/>
    <w:rsid w:val="00A93738"/>
    <w:rsid w:val="00A937B8"/>
    <w:rsid w:val="00A9385A"/>
    <w:rsid w:val="00A9392A"/>
    <w:rsid w:val="00A93DF2"/>
    <w:rsid w:val="00A9403B"/>
    <w:rsid w:val="00A94361"/>
    <w:rsid w:val="00A943D9"/>
    <w:rsid w:val="00A9441B"/>
    <w:rsid w:val="00A94549"/>
    <w:rsid w:val="00A945AB"/>
    <w:rsid w:val="00A9468F"/>
    <w:rsid w:val="00A94696"/>
    <w:rsid w:val="00A9498D"/>
    <w:rsid w:val="00A94B36"/>
    <w:rsid w:val="00A94C76"/>
    <w:rsid w:val="00A94EF1"/>
    <w:rsid w:val="00A94FEE"/>
    <w:rsid w:val="00A952EE"/>
    <w:rsid w:val="00A95335"/>
    <w:rsid w:val="00A95386"/>
    <w:rsid w:val="00A95389"/>
    <w:rsid w:val="00A95538"/>
    <w:rsid w:val="00A9566B"/>
    <w:rsid w:val="00A9571C"/>
    <w:rsid w:val="00A95A36"/>
    <w:rsid w:val="00A95A44"/>
    <w:rsid w:val="00A95A45"/>
    <w:rsid w:val="00A95B53"/>
    <w:rsid w:val="00A95C0A"/>
    <w:rsid w:val="00A95F77"/>
    <w:rsid w:val="00A960CF"/>
    <w:rsid w:val="00A9657F"/>
    <w:rsid w:val="00A965B9"/>
    <w:rsid w:val="00A96ECB"/>
    <w:rsid w:val="00A97292"/>
    <w:rsid w:val="00A9739A"/>
    <w:rsid w:val="00A976C5"/>
    <w:rsid w:val="00A9797D"/>
    <w:rsid w:val="00A97CBD"/>
    <w:rsid w:val="00AA015F"/>
    <w:rsid w:val="00AA07D4"/>
    <w:rsid w:val="00AA0C3A"/>
    <w:rsid w:val="00AA0F39"/>
    <w:rsid w:val="00AA13F2"/>
    <w:rsid w:val="00AA1622"/>
    <w:rsid w:val="00AA16AA"/>
    <w:rsid w:val="00AA1723"/>
    <w:rsid w:val="00AA190D"/>
    <w:rsid w:val="00AA1E11"/>
    <w:rsid w:val="00AA1FDD"/>
    <w:rsid w:val="00AA22C3"/>
    <w:rsid w:val="00AA230D"/>
    <w:rsid w:val="00AA277B"/>
    <w:rsid w:val="00AA2A28"/>
    <w:rsid w:val="00AA30B2"/>
    <w:rsid w:val="00AA3159"/>
    <w:rsid w:val="00AA31A5"/>
    <w:rsid w:val="00AA393B"/>
    <w:rsid w:val="00AA3A12"/>
    <w:rsid w:val="00AA3BF1"/>
    <w:rsid w:val="00AA4358"/>
    <w:rsid w:val="00AA4941"/>
    <w:rsid w:val="00AA49E9"/>
    <w:rsid w:val="00AA4A55"/>
    <w:rsid w:val="00AA4D24"/>
    <w:rsid w:val="00AA528A"/>
    <w:rsid w:val="00AA52CA"/>
    <w:rsid w:val="00AA52DD"/>
    <w:rsid w:val="00AA5475"/>
    <w:rsid w:val="00AA5876"/>
    <w:rsid w:val="00AA590B"/>
    <w:rsid w:val="00AA6301"/>
    <w:rsid w:val="00AA63F5"/>
    <w:rsid w:val="00AA6A33"/>
    <w:rsid w:val="00AA6A77"/>
    <w:rsid w:val="00AA6A8A"/>
    <w:rsid w:val="00AA6DD8"/>
    <w:rsid w:val="00AA6DED"/>
    <w:rsid w:val="00AA6FA3"/>
    <w:rsid w:val="00AA700E"/>
    <w:rsid w:val="00AA70BB"/>
    <w:rsid w:val="00AA70EA"/>
    <w:rsid w:val="00AA72FC"/>
    <w:rsid w:val="00AA757C"/>
    <w:rsid w:val="00AA7831"/>
    <w:rsid w:val="00AA7BF1"/>
    <w:rsid w:val="00AA7F10"/>
    <w:rsid w:val="00AA7F88"/>
    <w:rsid w:val="00AB01C2"/>
    <w:rsid w:val="00AB0391"/>
    <w:rsid w:val="00AB06AE"/>
    <w:rsid w:val="00AB0A59"/>
    <w:rsid w:val="00AB0C1E"/>
    <w:rsid w:val="00AB0D32"/>
    <w:rsid w:val="00AB1285"/>
    <w:rsid w:val="00AB15EA"/>
    <w:rsid w:val="00AB1633"/>
    <w:rsid w:val="00AB1894"/>
    <w:rsid w:val="00AB1C4D"/>
    <w:rsid w:val="00AB1CCB"/>
    <w:rsid w:val="00AB2151"/>
    <w:rsid w:val="00AB22D4"/>
    <w:rsid w:val="00AB271A"/>
    <w:rsid w:val="00AB27C6"/>
    <w:rsid w:val="00AB2BDD"/>
    <w:rsid w:val="00AB2C59"/>
    <w:rsid w:val="00AB2C8A"/>
    <w:rsid w:val="00AB2D20"/>
    <w:rsid w:val="00AB3111"/>
    <w:rsid w:val="00AB3254"/>
    <w:rsid w:val="00AB34E7"/>
    <w:rsid w:val="00AB357D"/>
    <w:rsid w:val="00AB358D"/>
    <w:rsid w:val="00AB35C9"/>
    <w:rsid w:val="00AB392A"/>
    <w:rsid w:val="00AB3AF7"/>
    <w:rsid w:val="00AB3B45"/>
    <w:rsid w:val="00AB3CD9"/>
    <w:rsid w:val="00AB3E30"/>
    <w:rsid w:val="00AB4212"/>
    <w:rsid w:val="00AB42B6"/>
    <w:rsid w:val="00AB459A"/>
    <w:rsid w:val="00AB4D67"/>
    <w:rsid w:val="00AB545D"/>
    <w:rsid w:val="00AB54D7"/>
    <w:rsid w:val="00AB57D3"/>
    <w:rsid w:val="00AB5A7A"/>
    <w:rsid w:val="00AB6250"/>
    <w:rsid w:val="00AB66DB"/>
    <w:rsid w:val="00AB6886"/>
    <w:rsid w:val="00AB6AE4"/>
    <w:rsid w:val="00AB6E00"/>
    <w:rsid w:val="00AB6F37"/>
    <w:rsid w:val="00AB6FEC"/>
    <w:rsid w:val="00AB7211"/>
    <w:rsid w:val="00AB72C3"/>
    <w:rsid w:val="00AB769E"/>
    <w:rsid w:val="00AB7D55"/>
    <w:rsid w:val="00AC00A0"/>
    <w:rsid w:val="00AC03C2"/>
    <w:rsid w:val="00AC0445"/>
    <w:rsid w:val="00AC0681"/>
    <w:rsid w:val="00AC094B"/>
    <w:rsid w:val="00AC0973"/>
    <w:rsid w:val="00AC0B7D"/>
    <w:rsid w:val="00AC0BFC"/>
    <w:rsid w:val="00AC12C1"/>
    <w:rsid w:val="00AC154B"/>
    <w:rsid w:val="00AC160B"/>
    <w:rsid w:val="00AC1784"/>
    <w:rsid w:val="00AC18D6"/>
    <w:rsid w:val="00AC1B71"/>
    <w:rsid w:val="00AC1B72"/>
    <w:rsid w:val="00AC219E"/>
    <w:rsid w:val="00AC22F3"/>
    <w:rsid w:val="00AC2648"/>
    <w:rsid w:val="00AC26FE"/>
    <w:rsid w:val="00AC2767"/>
    <w:rsid w:val="00AC2CD8"/>
    <w:rsid w:val="00AC3261"/>
    <w:rsid w:val="00AC32A7"/>
    <w:rsid w:val="00AC350C"/>
    <w:rsid w:val="00AC350D"/>
    <w:rsid w:val="00AC3568"/>
    <w:rsid w:val="00AC3CF2"/>
    <w:rsid w:val="00AC3DFD"/>
    <w:rsid w:val="00AC3EC7"/>
    <w:rsid w:val="00AC427C"/>
    <w:rsid w:val="00AC4741"/>
    <w:rsid w:val="00AC47EC"/>
    <w:rsid w:val="00AC4C1A"/>
    <w:rsid w:val="00AC4E5D"/>
    <w:rsid w:val="00AC5180"/>
    <w:rsid w:val="00AC526F"/>
    <w:rsid w:val="00AC5506"/>
    <w:rsid w:val="00AC5E16"/>
    <w:rsid w:val="00AC5E4B"/>
    <w:rsid w:val="00AC633C"/>
    <w:rsid w:val="00AC6731"/>
    <w:rsid w:val="00AC6C53"/>
    <w:rsid w:val="00AC6E85"/>
    <w:rsid w:val="00AC702C"/>
    <w:rsid w:val="00AC7059"/>
    <w:rsid w:val="00AC7141"/>
    <w:rsid w:val="00AC7284"/>
    <w:rsid w:val="00AC7396"/>
    <w:rsid w:val="00AC7789"/>
    <w:rsid w:val="00AC7CE6"/>
    <w:rsid w:val="00AC7D96"/>
    <w:rsid w:val="00AD00A1"/>
    <w:rsid w:val="00AD0226"/>
    <w:rsid w:val="00AD0329"/>
    <w:rsid w:val="00AD037C"/>
    <w:rsid w:val="00AD0718"/>
    <w:rsid w:val="00AD07DF"/>
    <w:rsid w:val="00AD0828"/>
    <w:rsid w:val="00AD0922"/>
    <w:rsid w:val="00AD0B13"/>
    <w:rsid w:val="00AD0BA2"/>
    <w:rsid w:val="00AD0E69"/>
    <w:rsid w:val="00AD103D"/>
    <w:rsid w:val="00AD1428"/>
    <w:rsid w:val="00AD1484"/>
    <w:rsid w:val="00AD159C"/>
    <w:rsid w:val="00AD178C"/>
    <w:rsid w:val="00AD17F4"/>
    <w:rsid w:val="00AD17FA"/>
    <w:rsid w:val="00AD19EC"/>
    <w:rsid w:val="00AD1C48"/>
    <w:rsid w:val="00AD1E53"/>
    <w:rsid w:val="00AD2148"/>
    <w:rsid w:val="00AD2482"/>
    <w:rsid w:val="00AD257D"/>
    <w:rsid w:val="00AD25CF"/>
    <w:rsid w:val="00AD25EC"/>
    <w:rsid w:val="00AD26A7"/>
    <w:rsid w:val="00AD2717"/>
    <w:rsid w:val="00AD2AA9"/>
    <w:rsid w:val="00AD2AFE"/>
    <w:rsid w:val="00AD2F4C"/>
    <w:rsid w:val="00AD33AB"/>
    <w:rsid w:val="00AD3B37"/>
    <w:rsid w:val="00AD3B6D"/>
    <w:rsid w:val="00AD3CE4"/>
    <w:rsid w:val="00AD3DC4"/>
    <w:rsid w:val="00AD4073"/>
    <w:rsid w:val="00AD4919"/>
    <w:rsid w:val="00AD4D10"/>
    <w:rsid w:val="00AD4FF4"/>
    <w:rsid w:val="00AD5032"/>
    <w:rsid w:val="00AD51F9"/>
    <w:rsid w:val="00AD52B0"/>
    <w:rsid w:val="00AD531D"/>
    <w:rsid w:val="00AD596E"/>
    <w:rsid w:val="00AD5C29"/>
    <w:rsid w:val="00AD5D0A"/>
    <w:rsid w:val="00AD600C"/>
    <w:rsid w:val="00AD62B9"/>
    <w:rsid w:val="00AD63D6"/>
    <w:rsid w:val="00AD66D6"/>
    <w:rsid w:val="00AD6CD5"/>
    <w:rsid w:val="00AD6D88"/>
    <w:rsid w:val="00AD6FC8"/>
    <w:rsid w:val="00AD70F1"/>
    <w:rsid w:val="00AD733B"/>
    <w:rsid w:val="00AD79EC"/>
    <w:rsid w:val="00AD7A79"/>
    <w:rsid w:val="00AD7CA7"/>
    <w:rsid w:val="00AE0040"/>
    <w:rsid w:val="00AE0A5D"/>
    <w:rsid w:val="00AE0C5C"/>
    <w:rsid w:val="00AE0E16"/>
    <w:rsid w:val="00AE1144"/>
    <w:rsid w:val="00AE184D"/>
    <w:rsid w:val="00AE1944"/>
    <w:rsid w:val="00AE1C03"/>
    <w:rsid w:val="00AE1FDC"/>
    <w:rsid w:val="00AE20E4"/>
    <w:rsid w:val="00AE22F5"/>
    <w:rsid w:val="00AE23E3"/>
    <w:rsid w:val="00AE26D1"/>
    <w:rsid w:val="00AE2AFF"/>
    <w:rsid w:val="00AE2F39"/>
    <w:rsid w:val="00AE2F65"/>
    <w:rsid w:val="00AE2FB9"/>
    <w:rsid w:val="00AE3027"/>
    <w:rsid w:val="00AE317E"/>
    <w:rsid w:val="00AE35A5"/>
    <w:rsid w:val="00AE3951"/>
    <w:rsid w:val="00AE3ACE"/>
    <w:rsid w:val="00AE4066"/>
    <w:rsid w:val="00AE4E2A"/>
    <w:rsid w:val="00AE532D"/>
    <w:rsid w:val="00AE53AA"/>
    <w:rsid w:val="00AE5AAB"/>
    <w:rsid w:val="00AE5BF8"/>
    <w:rsid w:val="00AE5CF9"/>
    <w:rsid w:val="00AE5DB6"/>
    <w:rsid w:val="00AE5FDB"/>
    <w:rsid w:val="00AE618A"/>
    <w:rsid w:val="00AE62C0"/>
    <w:rsid w:val="00AE65C9"/>
    <w:rsid w:val="00AE685E"/>
    <w:rsid w:val="00AE6AAB"/>
    <w:rsid w:val="00AE6C2C"/>
    <w:rsid w:val="00AE6C3C"/>
    <w:rsid w:val="00AE6CC8"/>
    <w:rsid w:val="00AE6E9E"/>
    <w:rsid w:val="00AE702E"/>
    <w:rsid w:val="00AE73E0"/>
    <w:rsid w:val="00AE7543"/>
    <w:rsid w:val="00AE7BE5"/>
    <w:rsid w:val="00AE7DDB"/>
    <w:rsid w:val="00AF0107"/>
    <w:rsid w:val="00AF018A"/>
    <w:rsid w:val="00AF028E"/>
    <w:rsid w:val="00AF03C0"/>
    <w:rsid w:val="00AF04C3"/>
    <w:rsid w:val="00AF0663"/>
    <w:rsid w:val="00AF0B16"/>
    <w:rsid w:val="00AF0E46"/>
    <w:rsid w:val="00AF166F"/>
    <w:rsid w:val="00AF19D5"/>
    <w:rsid w:val="00AF1C03"/>
    <w:rsid w:val="00AF1D2F"/>
    <w:rsid w:val="00AF1FBD"/>
    <w:rsid w:val="00AF2D61"/>
    <w:rsid w:val="00AF3006"/>
    <w:rsid w:val="00AF30E5"/>
    <w:rsid w:val="00AF31E8"/>
    <w:rsid w:val="00AF350A"/>
    <w:rsid w:val="00AF39AF"/>
    <w:rsid w:val="00AF3B79"/>
    <w:rsid w:val="00AF3D94"/>
    <w:rsid w:val="00AF3E1D"/>
    <w:rsid w:val="00AF3E3B"/>
    <w:rsid w:val="00AF3E5A"/>
    <w:rsid w:val="00AF42BB"/>
    <w:rsid w:val="00AF433D"/>
    <w:rsid w:val="00AF46FE"/>
    <w:rsid w:val="00AF486F"/>
    <w:rsid w:val="00AF4E52"/>
    <w:rsid w:val="00AF548B"/>
    <w:rsid w:val="00AF55E0"/>
    <w:rsid w:val="00AF5666"/>
    <w:rsid w:val="00AF5870"/>
    <w:rsid w:val="00AF5BD2"/>
    <w:rsid w:val="00AF61A2"/>
    <w:rsid w:val="00AF6619"/>
    <w:rsid w:val="00AF689F"/>
    <w:rsid w:val="00AF69F0"/>
    <w:rsid w:val="00AF6AF9"/>
    <w:rsid w:val="00AF6BAF"/>
    <w:rsid w:val="00AF6CFD"/>
    <w:rsid w:val="00AF6D25"/>
    <w:rsid w:val="00AF6D3D"/>
    <w:rsid w:val="00AF716A"/>
    <w:rsid w:val="00AF768C"/>
    <w:rsid w:val="00AF7A78"/>
    <w:rsid w:val="00AF7DC1"/>
    <w:rsid w:val="00AF7FA9"/>
    <w:rsid w:val="00B00005"/>
    <w:rsid w:val="00B000AE"/>
    <w:rsid w:val="00B0040B"/>
    <w:rsid w:val="00B0050C"/>
    <w:rsid w:val="00B006B2"/>
    <w:rsid w:val="00B006E4"/>
    <w:rsid w:val="00B00729"/>
    <w:rsid w:val="00B0082E"/>
    <w:rsid w:val="00B00830"/>
    <w:rsid w:val="00B00AB5"/>
    <w:rsid w:val="00B00AF8"/>
    <w:rsid w:val="00B00AFE"/>
    <w:rsid w:val="00B00B07"/>
    <w:rsid w:val="00B00CC0"/>
    <w:rsid w:val="00B00D61"/>
    <w:rsid w:val="00B00F5C"/>
    <w:rsid w:val="00B01336"/>
    <w:rsid w:val="00B0147A"/>
    <w:rsid w:val="00B01592"/>
    <w:rsid w:val="00B01925"/>
    <w:rsid w:val="00B019C1"/>
    <w:rsid w:val="00B01D76"/>
    <w:rsid w:val="00B020C1"/>
    <w:rsid w:val="00B0236E"/>
    <w:rsid w:val="00B02506"/>
    <w:rsid w:val="00B027A8"/>
    <w:rsid w:val="00B02ACE"/>
    <w:rsid w:val="00B02C78"/>
    <w:rsid w:val="00B02EB4"/>
    <w:rsid w:val="00B02F73"/>
    <w:rsid w:val="00B02FD5"/>
    <w:rsid w:val="00B032F5"/>
    <w:rsid w:val="00B03913"/>
    <w:rsid w:val="00B0398A"/>
    <w:rsid w:val="00B0407D"/>
    <w:rsid w:val="00B040C6"/>
    <w:rsid w:val="00B044A1"/>
    <w:rsid w:val="00B047F9"/>
    <w:rsid w:val="00B04CEA"/>
    <w:rsid w:val="00B04D91"/>
    <w:rsid w:val="00B04E13"/>
    <w:rsid w:val="00B0520E"/>
    <w:rsid w:val="00B052B2"/>
    <w:rsid w:val="00B055AD"/>
    <w:rsid w:val="00B05607"/>
    <w:rsid w:val="00B05A08"/>
    <w:rsid w:val="00B05AC9"/>
    <w:rsid w:val="00B05AF1"/>
    <w:rsid w:val="00B05BE0"/>
    <w:rsid w:val="00B05F14"/>
    <w:rsid w:val="00B06704"/>
    <w:rsid w:val="00B06737"/>
    <w:rsid w:val="00B075FC"/>
    <w:rsid w:val="00B0784C"/>
    <w:rsid w:val="00B07CE9"/>
    <w:rsid w:val="00B07D13"/>
    <w:rsid w:val="00B101D5"/>
    <w:rsid w:val="00B102A7"/>
    <w:rsid w:val="00B10633"/>
    <w:rsid w:val="00B106CF"/>
    <w:rsid w:val="00B1077A"/>
    <w:rsid w:val="00B10796"/>
    <w:rsid w:val="00B10B08"/>
    <w:rsid w:val="00B11096"/>
    <w:rsid w:val="00B11220"/>
    <w:rsid w:val="00B1145F"/>
    <w:rsid w:val="00B1156E"/>
    <w:rsid w:val="00B11A78"/>
    <w:rsid w:val="00B11AA6"/>
    <w:rsid w:val="00B11CFB"/>
    <w:rsid w:val="00B11E58"/>
    <w:rsid w:val="00B12111"/>
    <w:rsid w:val="00B12201"/>
    <w:rsid w:val="00B12521"/>
    <w:rsid w:val="00B12834"/>
    <w:rsid w:val="00B12896"/>
    <w:rsid w:val="00B12BA7"/>
    <w:rsid w:val="00B12E11"/>
    <w:rsid w:val="00B12E51"/>
    <w:rsid w:val="00B12F44"/>
    <w:rsid w:val="00B13402"/>
    <w:rsid w:val="00B1396F"/>
    <w:rsid w:val="00B13BFA"/>
    <w:rsid w:val="00B13C75"/>
    <w:rsid w:val="00B13E18"/>
    <w:rsid w:val="00B14076"/>
    <w:rsid w:val="00B14109"/>
    <w:rsid w:val="00B14410"/>
    <w:rsid w:val="00B144DB"/>
    <w:rsid w:val="00B1475C"/>
    <w:rsid w:val="00B1481B"/>
    <w:rsid w:val="00B1481E"/>
    <w:rsid w:val="00B1486D"/>
    <w:rsid w:val="00B14D8C"/>
    <w:rsid w:val="00B15026"/>
    <w:rsid w:val="00B150D6"/>
    <w:rsid w:val="00B15373"/>
    <w:rsid w:val="00B1559F"/>
    <w:rsid w:val="00B15639"/>
    <w:rsid w:val="00B15707"/>
    <w:rsid w:val="00B15D15"/>
    <w:rsid w:val="00B15E42"/>
    <w:rsid w:val="00B15EE1"/>
    <w:rsid w:val="00B15EEE"/>
    <w:rsid w:val="00B16037"/>
    <w:rsid w:val="00B16198"/>
    <w:rsid w:val="00B161B7"/>
    <w:rsid w:val="00B1635B"/>
    <w:rsid w:val="00B163F5"/>
    <w:rsid w:val="00B16460"/>
    <w:rsid w:val="00B16A2C"/>
    <w:rsid w:val="00B16CF2"/>
    <w:rsid w:val="00B16FB6"/>
    <w:rsid w:val="00B17022"/>
    <w:rsid w:val="00B170A0"/>
    <w:rsid w:val="00B17FBF"/>
    <w:rsid w:val="00B20237"/>
    <w:rsid w:val="00B2028B"/>
    <w:rsid w:val="00B20310"/>
    <w:rsid w:val="00B20701"/>
    <w:rsid w:val="00B20EFA"/>
    <w:rsid w:val="00B20F18"/>
    <w:rsid w:val="00B2124D"/>
    <w:rsid w:val="00B21736"/>
    <w:rsid w:val="00B218B1"/>
    <w:rsid w:val="00B21A33"/>
    <w:rsid w:val="00B21A3D"/>
    <w:rsid w:val="00B21C8A"/>
    <w:rsid w:val="00B21F12"/>
    <w:rsid w:val="00B224AA"/>
    <w:rsid w:val="00B22998"/>
    <w:rsid w:val="00B229FE"/>
    <w:rsid w:val="00B22A3C"/>
    <w:rsid w:val="00B22CF9"/>
    <w:rsid w:val="00B2302B"/>
    <w:rsid w:val="00B2356B"/>
    <w:rsid w:val="00B23788"/>
    <w:rsid w:val="00B24191"/>
    <w:rsid w:val="00B242E3"/>
    <w:rsid w:val="00B2432B"/>
    <w:rsid w:val="00B24363"/>
    <w:rsid w:val="00B2456E"/>
    <w:rsid w:val="00B2466C"/>
    <w:rsid w:val="00B24979"/>
    <w:rsid w:val="00B24C95"/>
    <w:rsid w:val="00B250A5"/>
    <w:rsid w:val="00B250D0"/>
    <w:rsid w:val="00B250F3"/>
    <w:rsid w:val="00B255D0"/>
    <w:rsid w:val="00B2561E"/>
    <w:rsid w:val="00B25651"/>
    <w:rsid w:val="00B258C1"/>
    <w:rsid w:val="00B25934"/>
    <w:rsid w:val="00B25AEE"/>
    <w:rsid w:val="00B25B80"/>
    <w:rsid w:val="00B25E9D"/>
    <w:rsid w:val="00B263FA"/>
    <w:rsid w:val="00B26710"/>
    <w:rsid w:val="00B26937"/>
    <w:rsid w:val="00B26A37"/>
    <w:rsid w:val="00B26BEE"/>
    <w:rsid w:val="00B26C83"/>
    <w:rsid w:val="00B274B4"/>
    <w:rsid w:val="00B27570"/>
    <w:rsid w:val="00B27DB3"/>
    <w:rsid w:val="00B27DB7"/>
    <w:rsid w:val="00B27DFF"/>
    <w:rsid w:val="00B30243"/>
    <w:rsid w:val="00B30421"/>
    <w:rsid w:val="00B30600"/>
    <w:rsid w:val="00B30653"/>
    <w:rsid w:val="00B30765"/>
    <w:rsid w:val="00B30A5C"/>
    <w:rsid w:val="00B30BDC"/>
    <w:rsid w:val="00B30DC8"/>
    <w:rsid w:val="00B30F74"/>
    <w:rsid w:val="00B311EF"/>
    <w:rsid w:val="00B315BB"/>
    <w:rsid w:val="00B31977"/>
    <w:rsid w:val="00B31D13"/>
    <w:rsid w:val="00B31EDB"/>
    <w:rsid w:val="00B3235A"/>
    <w:rsid w:val="00B333FE"/>
    <w:rsid w:val="00B33407"/>
    <w:rsid w:val="00B3370C"/>
    <w:rsid w:val="00B3382B"/>
    <w:rsid w:val="00B33929"/>
    <w:rsid w:val="00B339C6"/>
    <w:rsid w:val="00B33C0D"/>
    <w:rsid w:val="00B33D91"/>
    <w:rsid w:val="00B3400E"/>
    <w:rsid w:val="00B34321"/>
    <w:rsid w:val="00B34605"/>
    <w:rsid w:val="00B349D7"/>
    <w:rsid w:val="00B35094"/>
    <w:rsid w:val="00B350F0"/>
    <w:rsid w:val="00B35140"/>
    <w:rsid w:val="00B3515F"/>
    <w:rsid w:val="00B357AC"/>
    <w:rsid w:val="00B3582C"/>
    <w:rsid w:val="00B35992"/>
    <w:rsid w:val="00B35C8F"/>
    <w:rsid w:val="00B35D3B"/>
    <w:rsid w:val="00B35E4B"/>
    <w:rsid w:val="00B35FCC"/>
    <w:rsid w:val="00B35FD6"/>
    <w:rsid w:val="00B36127"/>
    <w:rsid w:val="00B36365"/>
    <w:rsid w:val="00B363E7"/>
    <w:rsid w:val="00B36518"/>
    <w:rsid w:val="00B365E5"/>
    <w:rsid w:val="00B36F2D"/>
    <w:rsid w:val="00B36F59"/>
    <w:rsid w:val="00B375C2"/>
    <w:rsid w:val="00B378CC"/>
    <w:rsid w:val="00B37918"/>
    <w:rsid w:val="00B37CD5"/>
    <w:rsid w:val="00B37E3D"/>
    <w:rsid w:val="00B401CB"/>
    <w:rsid w:val="00B409A1"/>
    <w:rsid w:val="00B409B1"/>
    <w:rsid w:val="00B40C48"/>
    <w:rsid w:val="00B412E1"/>
    <w:rsid w:val="00B41384"/>
    <w:rsid w:val="00B41615"/>
    <w:rsid w:val="00B4179F"/>
    <w:rsid w:val="00B41891"/>
    <w:rsid w:val="00B41C13"/>
    <w:rsid w:val="00B41E7E"/>
    <w:rsid w:val="00B41FD8"/>
    <w:rsid w:val="00B41FD9"/>
    <w:rsid w:val="00B42071"/>
    <w:rsid w:val="00B420DF"/>
    <w:rsid w:val="00B42338"/>
    <w:rsid w:val="00B425DD"/>
    <w:rsid w:val="00B4268E"/>
    <w:rsid w:val="00B428E2"/>
    <w:rsid w:val="00B4291F"/>
    <w:rsid w:val="00B42A2C"/>
    <w:rsid w:val="00B42A5C"/>
    <w:rsid w:val="00B42A98"/>
    <w:rsid w:val="00B42AA8"/>
    <w:rsid w:val="00B42C64"/>
    <w:rsid w:val="00B42FC6"/>
    <w:rsid w:val="00B4367E"/>
    <w:rsid w:val="00B43840"/>
    <w:rsid w:val="00B4454C"/>
    <w:rsid w:val="00B448EF"/>
    <w:rsid w:val="00B44B5F"/>
    <w:rsid w:val="00B44B67"/>
    <w:rsid w:val="00B44DC0"/>
    <w:rsid w:val="00B4529C"/>
    <w:rsid w:val="00B45E87"/>
    <w:rsid w:val="00B46048"/>
    <w:rsid w:val="00B460B6"/>
    <w:rsid w:val="00B4614E"/>
    <w:rsid w:val="00B46299"/>
    <w:rsid w:val="00B462AE"/>
    <w:rsid w:val="00B467F2"/>
    <w:rsid w:val="00B46A11"/>
    <w:rsid w:val="00B46B86"/>
    <w:rsid w:val="00B46E4D"/>
    <w:rsid w:val="00B47493"/>
    <w:rsid w:val="00B474C8"/>
    <w:rsid w:val="00B474DF"/>
    <w:rsid w:val="00B47534"/>
    <w:rsid w:val="00B4781E"/>
    <w:rsid w:val="00B478E9"/>
    <w:rsid w:val="00B478FF"/>
    <w:rsid w:val="00B47915"/>
    <w:rsid w:val="00B47E46"/>
    <w:rsid w:val="00B50210"/>
    <w:rsid w:val="00B50548"/>
    <w:rsid w:val="00B50A48"/>
    <w:rsid w:val="00B50B44"/>
    <w:rsid w:val="00B50BDF"/>
    <w:rsid w:val="00B50D81"/>
    <w:rsid w:val="00B50DBF"/>
    <w:rsid w:val="00B50E18"/>
    <w:rsid w:val="00B513A9"/>
    <w:rsid w:val="00B513CA"/>
    <w:rsid w:val="00B5148A"/>
    <w:rsid w:val="00B51568"/>
    <w:rsid w:val="00B51610"/>
    <w:rsid w:val="00B5167B"/>
    <w:rsid w:val="00B51A08"/>
    <w:rsid w:val="00B520CE"/>
    <w:rsid w:val="00B520E3"/>
    <w:rsid w:val="00B52336"/>
    <w:rsid w:val="00B5249F"/>
    <w:rsid w:val="00B52992"/>
    <w:rsid w:val="00B529B9"/>
    <w:rsid w:val="00B52A98"/>
    <w:rsid w:val="00B52AF1"/>
    <w:rsid w:val="00B53826"/>
    <w:rsid w:val="00B5388C"/>
    <w:rsid w:val="00B53BAF"/>
    <w:rsid w:val="00B53C15"/>
    <w:rsid w:val="00B53DA2"/>
    <w:rsid w:val="00B53DB2"/>
    <w:rsid w:val="00B53FA5"/>
    <w:rsid w:val="00B540C7"/>
    <w:rsid w:val="00B5429B"/>
    <w:rsid w:val="00B543E7"/>
    <w:rsid w:val="00B54D0D"/>
    <w:rsid w:val="00B54E30"/>
    <w:rsid w:val="00B54E55"/>
    <w:rsid w:val="00B55048"/>
    <w:rsid w:val="00B55386"/>
    <w:rsid w:val="00B55A8F"/>
    <w:rsid w:val="00B55CB2"/>
    <w:rsid w:val="00B55CED"/>
    <w:rsid w:val="00B55D57"/>
    <w:rsid w:val="00B55E9D"/>
    <w:rsid w:val="00B55F51"/>
    <w:rsid w:val="00B55F80"/>
    <w:rsid w:val="00B56027"/>
    <w:rsid w:val="00B56480"/>
    <w:rsid w:val="00B565D6"/>
    <w:rsid w:val="00B566CC"/>
    <w:rsid w:val="00B56900"/>
    <w:rsid w:val="00B576A4"/>
    <w:rsid w:val="00B57998"/>
    <w:rsid w:val="00B57A06"/>
    <w:rsid w:val="00B57AEF"/>
    <w:rsid w:val="00B57CD0"/>
    <w:rsid w:val="00B57DA9"/>
    <w:rsid w:val="00B60177"/>
    <w:rsid w:val="00B60453"/>
    <w:rsid w:val="00B60639"/>
    <w:rsid w:val="00B60701"/>
    <w:rsid w:val="00B60A6C"/>
    <w:rsid w:val="00B61086"/>
    <w:rsid w:val="00B6114A"/>
    <w:rsid w:val="00B61313"/>
    <w:rsid w:val="00B6192A"/>
    <w:rsid w:val="00B61B9D"/>
    <w:rsid w:val="00B61C01"/>
    <w:rsid w:val="00B623F9"/>
    <w:rsid w:val="00B6308E"/>
    <w:rsid w:val="00B631C1"/>
    <w:rsid w:val="00B63200"/>
    <w:rsid w:val="00B6342F"/>
    <w:rsid w:val="00B635C3"/>
    <w:rsid w:val="00B63655"/>
    <w:rsid w:val="00B63D05"/>
    <w:rsid w:val="00B63D58"/>
    <w:rsid w:val="00B64971"/>
    <w:rsid w:val="00B649E3"/>
    <w:rsid w:val="00B64A12"/>
    <w:rsid w:val="00B64E8A"/>
    <w:rsid w:val="00B64EAE"/>
    <w:rsid w:val="00B65224"/>
    <w:rsid w:val="00B65230"/>
    <w:rsid w:val="00B65239"/>
    <w:rsid w:val="00B65588"/>
    <w:rsid w:val="00B65716"/>
    <w:rsid w:val="00B6571A"/>
    <w:rsid w:val="00B658D1"/>
    <w:rsid w:val="00B6599D"/>
    <w:rsid w:val="00B65ACB"/>
    <w:rsid w:val="00B65C5D"/>
    <w:rsid w:val="00B65E87"/>
    <w:rsid w:val="00B66064"/>
    <w:rsid w:val="00B66079"/>
    <w:rsid w:val="00B6665A"/>
    <w:rsid w:val="00B66995"/>
    <w:rsid w:val="00B669AE"/>
    <w:rsid w:val="00B671A1"/>
    <w:rsid w:val="00B675A6"/>
    <w:rsid w:val="00B6794D"/>
    <w:rsid w:val="00B67B55"/>
    <w:rsid w:val="00B67C6C"/>
    <w:rsid w:val="00B67F94"/>
    <w:rsid w:val="00B67FC9"/>
    <w:rsid w:val="00B700EE"/>
    <w:rsid w:val="00B70189"/>
    <w:rsid w:val="00B702E4"/>
    <w:rsid w:val="00B70855"/>
    <w:rsid w:val="00B70C61"/>
    <w:rsid w:val="00B70E5A"/>
    <w:rsid w:val="00B70F9B"/>
    <w:rsid w:val="00B716AD"/>
    <w:rsid w:val="00B71A51"/>
    <w:rsid w:val="00B71B5B"/>
    <w:rsid w:val="00B71BC4"/>
    <w:rsid w:val="00B71BDD"/>
    <w:rsid w:val="00B71C66"/>
    <w:rsid w:val="00B71DEA"/>
    <w:rsid w:val="00B7220D"/>
    <w:rsid w:val="00B72BF8"/>
    <w:rsid w:val="00B73426"/>
    <w:rsid w:val="00B735A8"/>
    <w:rsid w:val="00B7363A"/>
    <w:rsid w:val="00B7367E"/>
    <w:rsid w:val="00B737E2"/>
    <w:rsid w:val="00B73D20"/>
    <w:rsid w:val="00B73E26"/>
    <w:rsid w:val="00B73E74"/>
    <w:rsid w:val="00B7406F"/>
    <w:rsid w:val="00B749B6"/>
    <w:rsid w:val="00B74AE0"/>
    <w:rsid w:val="00B74B23"/>
    <w:rsid w:val="00B7509A"/>
    <w:rsid w:val="00B758FB"/>
    <w:rsid w:val="00B75DCD"/>
    <w:rsid w:val="00B760B0"/>
    <w:rsid w:val="00B7613E"/>
    <w:rsid w:val="00B7658D"/>
    <w:rsid w:val="00B766C1"/>
    <w:rsid w:val="00B768A9"/>
    <w:rsid w:val="00B76966"/>
    <w:rsid w:val="00B76B96"/>
    <w:rsid w:val="00B76C74"/>
    <w:rsid w:val="00B76EFB"/>
    <w:rsid w:val="00B77129"/>
    <w:rsid w:val="00B7766E"/>
    <w:rsid w:val="00B777DC"/>
    <w:rsid w:val="00B778A0"/>
    <w:rsid w:val="00B77C37"/>
    <w:rsid w:val="00B77D87"/>
    <w:rsid w:val="00B77DA7"/>
    <w:rsid w:val="00B77E08"/>
    <w:rsid w:val="00B80098"/>
    <w:rsid w:val="00B801E3"/>
    <w:rsid w:val="00B804DD"/>
    <w:rsid w:val="00B807BF"/>
    <w:rsid w:val="00B80979"/>
    <w:rsid w:val="00B809B1"/>
    <w:rsid w:val="00B80ABF"/>
    <w:rsid w:val="00B80B23"/>
    <w:rsid w:val="00B80CB0"/>
    <w:rsid w:val="00B80DC8"/>
    <w:rsid w:val="00B812EE"/>
    <w:rsid w:val="00B81453"/>
    <w:rsid w:val="00B818CB"/>
    <w:rsid w:val="00B81937"/>
    <w:rsid w:val="00B82355"/>
    <w:rsid w:val="00B82543"/>
    <w:rsid w:val="00B8254C"/>
    <w:rsid w:val="00B8267B"/>
    <w:rsid w:val="00B8272D"/>
    <w:rsid w:val="00B82998"/>
    <w:rsid w:val="00B834B0"/>
    <w:rsid w:val="00B837F6"/>
    <w:rsid w:val="00B83827"/>
    <w:rsid w:val="00B838AD"/>
    <w:rsid w:val="00B83DAE"/>
    <w:rsid w:val="00B83EAC"/>
    <w:rsid w:val="00B84714"/>
    <w:rsid w:val="00B84851"/>
    <w:rsid w:val="00B84FB4"/>
    <w:rsid w:val="00B85090"/>
    <w:rsid w:val="00B850DF"/>
    <w:rsid w:val="00B85153"/>
    <w:rsid w:val="00B85287"/>
    <w:rsid w:val="00B85561"/>
    <w:rsid w:val="00B855BF"/>
    <w:rsid w:val="00B85716"/>
    <w:rsid w:val="00B857FC"/>
    <w:rsid w:val="00B85AEA"/>
    <w:rsid w:val="00B85FEA"/>
    <w:rsid w:val="00B866CE"/>
    <w:rsid w:val="00B86A69"/>
    <w:rsid w:val="00B86AE3"/>
    <w:rsid w:val="00B86B88"/>
    <w:rsid w:val="00B86E74"/>
    <w:rsid w:val="00B86F2A"/>
    <w:rsid w:val="00B8756E"/>
    <w:rsid w:val="00B87CC4"/>
    <w:rsid w:val="00B87DF9"/>
    <w:rsid w:val="00B87EAB"/>
    <w:rsid w:val="00B87EAE"/>
    <w:rsid w:val="00B9002C"/>
    <w:rsid w:val="00B90217"/>
    <w:rsid w:val="00B90350"/>
    <w:rsid w:val="00B90540"/>
    <w:rsid w:val="00B90923"/>
    <w:rsid w:val="00B90B8D"/>
    <w:rsid w:val="00B91435"/>
    <w:rsid w:val="00B91951"/>
    <w:rsid w:val="00B91A58"/>
    <w:rsid w:val="00B91B4E"/>
    <w:rsid w:val="00B91BA4"/>
    <w:rsid w:val="00B91EAD"/>
    <w:rsid w:val="00B920B9"/>
    <w:rsid w:val="00B92946"/>
    <w:rsid w:val="00B92C95"/>
    <w:rsid w:val="00B92DBA"/>
    <w:rsid w:val="00B930D2"/>
    <w:rsid w:val="00B93672"/>
    <w:rsid w:val="00B937CD"/>
    <w:rsid w:val="00B938BC"/>
    <w:rsid w:val="00B93997"/>
    <w:rsid w:val="00B93A31"/>
    <w:rsid w:val="00B93C21"/>
    <w:rsid w:val="00B93C98"/>
    <w:rsid w:val="00B9426E"/>
    <w:rsid w:val="00B94F90"/>
    <w:rsid w:val="00B9538D"/>
    <w:rsid w:val="00B963D5"/>
    <w:rsid w:val="00B965AE"/>
    <w:rsid w:val="00B9683C"/>
    <w:rsid w:val="00B96BE0"/>
    <w:rsid w:val="00B9704D"/>
    <w:rsid w:val="00B970FE"/>
    <w:rsid w:val="00B9769E"/>
    <w:rsid w:val="00B976BB"/>
    <w:rsid w:val="00B97708"/>
    <w:rsid w:val="00B97A0A"/>
    <w:rsid w:val="00B97D74"/>
    <w:rsid w:val="00B97D83"/>
    <w:rsid w:val="00B97F47"/>
    <w:rsid w:val="00BA01A7"/>
    <w:rsid w:val="00BA0224"/>
    <w:rsid w:val="00BA05C8"/>
    <w:rsid w:val="00BA08BA"/>
    <w:rsid w:val="00BA09AA"/>
    <w:rsid w:val="00BA0AD5"/>
    <w:rsid w:val="00BA0AD7"/>
    <w:rsid w:val="00BA0AEA"/>
    <w:rsid w:val="00BA0BE8"/>
    <w:rsid w:val="00BA0C0A"/>
    <w:rsid w:val="00BA0CA0"/>
    <w:rsid w:val="00BA0E3C"/>
    <w:rsid w:val="00BA0E3F"/>
    <w:rsid w:val="00BA0EDA"/>
    <w:rsid w:val="00BA11F1"/>
    <w:rsid w:val="00BA168C"/>
    <w:rsid w:val="00BA1F74"/>
    <w:rsid w:val="00BA1FE7"/>
    <w:rsid w:val="00BA20E2"/>
    <w:rsid w:val="00BA21A3"/>
    <w:rsid w:val="00BA241A"/>
    <w:rsid w:val="00BA267C"/>
    <w:rsid w:val="00BA2881"/>
    <w:rsid w:val="00BA2B1D"/>
    <w:rsid w:val="00BA2DA9"/>
    <w:rsid w:val="00BA321F"/>
    <w:rsid w:val="00BA38CF"/>
    <w:rsid w:val="00BA3B5C"/>
    <w:rsid w:val="00BA3D14"/>
    <w:rsid w:val="00BA3D49"/>
    <w:rsid w:val="00BA435A"/>
    <w:rsid w:val="00BA4F3E"/>
    <w:rsid w:val="00BA54BA"/>
    <w:rsid w:val="00BA5603"/>
    <w:rsid w:val="00BA56D9"/>
    <w:rsid w:val="00BA5732"/>
    <w:rsid w:val="00BA582E"/>
    <w:rsid w:val="00BA5882"/>
    <w:rsid w:val="00BA5F20"/>
    <w:rsid w:val="00BA60D6"/>
    <w:rsid w:val="00BA6194"/>
    <w:rsid w:val="00BA621B"/>
    <w:rsid w:val="00BA62C6"/>
    <w:rsid w:val="00BA6F0C"/>
    <w:rsid w:val="00BA7709"/>
    <w:rsid w:val="00BA794C"/>
    <w:rsid w:val="00BA7A71"/>
    <w:rsid w:val="00BA7AF9"/>
    <w:rsid w:val="00BA7EEE"/>
    <w:rsid w:val="00BB023B"/>
    <w:rsid w:val="00BB03B3"/>
    <w:rsid w:val="00BB07DC"/>
    <w:rsid w:val="00BB100C"/>
    <w:rsid w:val="00BB11E0"/>
    <w:rsid w:val="00BB16FC"/>
    <w:rsid w:val="00BB1AE3"/>
    <w:rsid w:val="00BB1BCB"/>
    <w:rsid w:val="00BB1F74"/>
    <w:rsid w:val="00BB1FF8"/>
    <w:rsid w:val="00BB2008"/>
    <w:rsid w:val="00BB2047"/>
    <w:rsid w:val="00BB215D"/>
    <w:rsid w:val="00BB22E0"/>
    <w:rsid w:val="00BB29DF"/>
    <w:rsid w:val="00BB2CFC"/>
    <w:rsid w:val="00BB3408"/>
    <w:rsid w:val="00BB34DC"/>
    <w:rsid w:val="00BB35D0"/>
    <w:rsid w:val="00BB3710"/>
    <w:rsid w:val="00BB3AC4"/>
    <w:rsid w:val="00BB3BD7"/>
    <w:rsid w:val="00BB3DC5"/>
    <w:rsid w:val="00BB3F4A"/>
    <w:rsid w:val="00BB48B8"/>
    <w:rsid w:val="00BB4999"/>
    <w:rsid w:val="00BB4BCD"/>
    <w:rsid w:val="00BB508F"/>
    <w:rsid w:val="00BB52EB"/>
    <w:rsid w:val="00BB5465"/>
    <w:rsid w:val="00BB56C7"/>
    <w:rsid w:val="00BB5B62"/>
    <w:rsid w:val="00BB6502"/>
    <w:rsid w:val="00BB69D5"/>
    <w:rsid w:val="00BB6BCD"/>
    <w:rsid w:val="00BB70F9"/>
    <w:rsid w:val="00BB71A2"/>
    <w:rsid w:val="00BB7346"/>
    <w:rsid w:val="00BB7C9B"/>
    <w:rsid w:val="00BB7DA1"/>
    <w:rsid w:val="00BC116A"/>
    <w:rsid w:val="00BC1363"/>
    <w:rsid w:val="00BC1527"/>
    <w:rsid w:val="00BC163A"/>
    <w:rsid w:val="00BC1849"/>
    <w:rsid w:val="00BC1DE2"/>
    <w:rsid w:val="00BC1EC0"/>
    <w:rsid w:val="00BC1FEA"/>
    <w:rsid w:val="00BC2306"/>
    <w:rsid w:val="00BC2351"/>
    <w:rsid w:val="00BC2F31"/>
    <w:rsid w:val="00BC3035"/>
    <w:rsid w:val="00BC33A9"/>
    <w:rsid w:val="00BC37A8"/>
    <w:rsid w:val="00BC3CF2"/>
    <w:rsid w:val="00BC4036"/>
    <w:rsid w:val="00BC4179"/>
    <w:rsid w:val="00BC4554"/>
    <w:rsid w:val="00BC49BD"/>
    <w:rsid w:val="00BC49F4"/>
    <w:rsid w:val="00BC4D23"/>
    <w:rsid w:val="00BC4F0A"/>
    <w:rsid w:val="00BC5079"/>
    <w:rsid w:val="00BC509F"/>
    <w:rsid w:val="00BC51D2"/>
    <w:rsid w:val="00BC51FE"/>
    <w:rsid w:val="00BC569B"/>
    <w:rsid w:val="00BC5934"/>
    <w:rsid w:val="00BC64BE"/>
    <w:rsid w:val="00BC6694"/>
    <w:rsid w:val="00BC67E6"/>
    <w:rsid w:val="00BC6D36"/>
    <w:rsid w:val="00BC6D4E"/>
    <w:rsid w:val="00BC7155"/>
    <w:rsid w:val="00BC7550"/>
    <w:rsid w:val="00BC77D8"/>
    <w:rsid w:val="00BC793C"/>
    <w:rsid w:val="00BC7E4D"/>
    <w:rsid w:val="00BC7FC8"/>
    <w:rsid w:val="00BD0004"/>
    <w:rsid w:val="00BD04AF"/>
    <w:rsid w:val="00BD0670"/>
    <w:rsid w:val="00BD0ADD"/>
    <w:rsid w:val="00BD0B72"/>
    <w:rsid w:val="00BD1381"/>
    <w:rsid w:val="00BD157D"/>
    <w:rsid w:val="00BD188A"/>
    <w:rsid w:val="00BD194B"/>
    <w:rsid w:val="00BD207B"/>
    <w:rsid w:val="00BD21A5"/>
    <w:rsid w:val="00BD21CF"/>
    <w:rsid w:val="00BD247D"/>
    <w:rsid w:val="00BD2668"/>
    <w:rsid w:val="00BD296E"/>
    <w:rsid w:val="00BD2A23"/>
    <w:rsid w:val="00BD2DE4"/>
    <w:rsid w:val="00BD324A"/>
    <w:rsid w:val="00BD3354"/>
    <w:rsid w:val="00BD3924"/>
    <w:rsid w:val="00BD3CD3"/>
    <w:rsid w:val="00BD3D92"/>
    <w:rsid w:val="00BD4202"/>
    <w:rsid w:val="00BD442E"/>
    <w:rsid w:val="00BD450F"/>
    <w:rsid w:val="00BD4512"/>
    <w:rsid w:val="00BD4B11"/>
    <w:rsid w:val="00BD4F02"/>
    <w:rsid w:val="00BD51FC"/>
    <w:rsid w:val="00BD52AA"/>
    <w:rsid w:val="00BD585A"/>
    <w:rsid w:val="00BD58F5"/>
    <w:rsid w:val="00BD5B66"/>
    <w:rsid w:val="00BD5B75"/>
    <w:rsid w:val="00BD5ED8"/>
    <w:rsid w:val="00BD61AC"/>
    <w:rsid w:val="00BD61E7"/>
    <w:rsid w:val="00BD6204"/>
    <w:rsid w:val="00BD64D4"/>
    <w:rsid w:val="00BD674F"/>
    <w:rsid w:val="00BD6DD5"/>
    <w:rsid w:val="00BD77EC"/>
    <w:rsid w:val="00BD7A70"/>
    <w:rsid w:val="00BD7F38"/>
    <w:rsid w:val="00BE04F0"/>
    <w:rsid w:val="00BE0ACF"/>
    <w:rsid w:val="00BE0CBC"/>
    <w:rsid w:val="00BE0CCE"/>
    <w:rsid w:val="00BE0F4B"/>
    <w:rsid w:val="00BE1061"/>
    <w:rsid w:val="00BE1321"/>
    <w:rsid w:val="00BE1DEF"/>
    <w:rsid w:val="00BE21FB"/>
    <w:rsid w:val="00BE2322"/>
    <w:rsid w:val="00BE2893"/>
    <w:rsid w:val="00BE28BD"/>
    <w:rsid w:val="00BE2EB4"/>
    <w:rsid w:val="00BE2F5A"/>
    <w:rsid w:val="00BE3167"/>
    <w:rsid w:val="00BE36D3"/>
    <w:rsid w:val="00BE3721"/>
    <w:rsid w:val="00BE372F"/>
    <w:rsid w:val="00BE37D3"/>
    <w:rsid w:val="00BE3DB2"/>
    <w:rsid w:val="00BE3FB2"/>
    <w:rsid w:val="00BE431F"/>
    <w:rsid w:val="00BE43F4"/>
    <w:rsid w:val="00BE511B"/>
    <w:rsid w:val="00BE5152"/>
    <w:rsid w:val="00BE5182"/>
    <w:rsid w:val="00BE522A"/>
    <w:rsid w:val="00BE561F"/>
    <w:rsid w:val="00BE57B5"/>
    <w:rsid w:val="00BE5B9E"/>
    <w:rsid w:val="00BE5C9C"/>
    <w:rsid w:val="00BE6063"/>
    <w:rsid w:val="00BE6229"/>
    <w:rsid w:val="00BE643B"/>
    <w:rsid w:val="00BE67E5"/>
    <w:rsid w:val="00BE6D41"/>
    <w:rsid w:val="00BE6E66"/>
    <w:rsid w:val="00BE70BD"/>
    <w:rsid w:val="00BE73D3"/>
    <w:rsid w:val="00BE73F8"/>
    <w:rsid w:val="00BE750F"/>
    <w:rsid w:val="00BE778E"/>
    <w:rsid w:val="00BE7A7C"/>
    <w:rsid w:val="00BF0188"/>
    <w:rsid w:val="00BF048F"/>
    <w:rsid w:val="00BF0585"/>
    <w:rsid w:val="00BF0674"/>
    <w:rsid w:val="00BF08CB"/>
    <w:rsid w:val="00BF0A44"/>
    <w:rsid w:val="00BF0CEC"/>
    <w:rsid w:val="00BF0E7F"/>
    <w:rsid w:val="00BF0EFC"/>
    <w:rsid w:val="00BF11FA"/>
    <w:rsid w:val="00BF1218"/>
    <w:rsid w:val="00BF1A44"/>
    <w:rsid w:val="00BF1A95"/>
    <w:rsid w:val="00BF1C2F"/>
    <w:rsid w:val="00BF1EC0"/>
    <w:rsid w:val="00BF1EDF"/>
    <w:rsid w:val="00BF2295"/>
    <w:rsid w:val="00BF2653"/>
    <w:rsid w:val="00BF26F5"/>
    <w:rsid w:val="00BF28F6"/>
    <w:rsid w:val="00BF2A98"/>
    <w:rsid w:val="00BF2C1E"/>
    <w:rsid w:val="00BF3529"/>
    <w:rsid w:val="00BF3A25"/>
    <w:rsid w:val="00BF3E25"/>
    <w:rsid w:val="00BF434D"/>
    <w:rsid w:val="00BF46C0"/>
    <w:rsid w:val="00BF487A"/>
    <w:rsid w:val="00BF4BAF"/>
    <w:rsid w:val="00BF4D3D"/>
    <w:rsid w:val="00BF5541"/>
    <w:rsid w:val="00BF591C"/>
    <w:rsid w:val="00BF5A54"/>
    <w:rsid w:val="00BF5B8C"/>
    <w:rsid w:val="00BF5DB9"/>
    <w:rsid w:val="00BF6313"/>
    <w:rsid w:val="00BF65AF"/>
    <w:rsid w:val="00BF66B7"/>
    <w:rsid w:val="00BF6965"/>
    <w:rsid w:val="00BF6A68"/>
    <w:rsid w:val="00BF6B50"/>
    <w:rsid w:val="00BF6FA6"/>
    <w:rsid w:val="00BF7112"/>
    <w:rsid w:val="00BF7152"/>
    <w:rsid w:val="00BF720A"/>
    <w:rsid w:val="00BF73F0"/>
    <w:rsid w:val="00BF75B1"/>
    <w:rsid w:val="00BF75C9"/>
    <w:rsid w:val="00BF7B63"/>
    <w:rsid w:val="00BF7BD3"/>
    <w:rsid w:val="00BF7E25"/>
    <w:rsid w:val="00C00352"/>
    <w:rsid w:val="00C007CE"/>
    <w:rsid w:val="00C00882"/>
    <w:rsid w:val="00C00A22"/>
    <w:rsid w:val="00C00B8A"/>
    <w:rsid w:val="00C00CEA"/>
    <w:rsid w:val="00C00E59"/>
    <w:rsid w:val="00C00F18"/>
    <w:rsid w:val="00C01BB3"/>
    <w:rsid w:val="00C01D39"/>
    <w:rsid w:val="00C01EA4"/>
    <w:rsid w:val="00C0200C"/>
    <w:rsid w:val="00C020A8"/>
    <w:rsid w:val="00C02385"/>
    <w:rsid w:val="00C02AA1"/>
    <w:rsid w:val="00C032A8"/>
    <w:rsid w:val="00C0346A"/>
    <w:rsid w:val="00C034A4"/>
    <w:rsid w:val="00C035BE"/>
    <w:rsid w:val="00C03DD0"/>
    <w:rsid w:val="00C0412D"/>
    <w:rsid w:val="00C04305"/>
    <w:rsid w:val="00C04445"/>
    <w:rsid w:val="00C04705"/>
    <w:rsid w:val="00C04746"/>
    <w:rsid w:val="00C04987"/>
    <w:rsid w:val="00C04A7F"/>
    <w:rsid w:val="00C04B01"/>
    <w:rsid w:val="00C04B0E"/>
    <w:rsid w:val="00C04B5D"/>
    <w:rsid w:val="00C04E2B"/>
    <w:rsid w:val="00C05055"/>
    <w:rsid w:val="00C051AA"/>
    <w:rsid w:val="00C058D2"/>
    <w:rsid w:val="00C05C08"/>
    <w:rsid w:val="00C05D63"/>
    <w:rsid w:val="00C05F25"/>
    <w:rsid w:val="00C05F45"/>
    <w:rsid w:val="00C060A0"/>
    <w:rsid w:val="00C063E7"/>
    <w:rsid w:val="00C06651"/>
    <w:rsid w:val="00C06C11"/>
    <w:rsid w:val="00C0706F"/>
    <w:rsid w:val="00C0709A"/>
    <w:rsid w:val="00C07187"/>
    <w:rsid w:val="00C072C8"/>
    <w:rsid w:val="00C075C9"/>
    <w:rsid w:val="00C07A1B"/>
    <w:rsid w:val="00C07A83"/>
    <w:rsid w:val="00C07AAB"/>
    <w:rsid w:val="00C07D4E"/>
    <w:rsid w:val="00C07F74"/>
    <w:rsid w:val="00C07FAD"/>
    <w:rsid w:val="00C07FD3"/>
    <w:rsid w:val="00C106C4"/>
    <w:rsid w:val="00C107A3"/>
    <w:rsid w:val="00C10AD2"/>
    <w:rsid w:val="00C1117D"/>
    <w:rsid w:val="00C111EA"/>
    <w:rsid w:val="00C1121F"/>
    <w:rsid w:val="00C1186A"/>
    <w:rsid w:val="00C119AD"/>
    <w:rsid w:val="00C119D6"/>
    <w:rsid w:val="00C1228D"/>
    <w:rsid w:val="00C125BA"/>
    <w:rsid w:val="00C12649"/>
    <w:rsid w:val="00C12A58"/>
    <w:rsid w:val="00C12A5B"/>
    <w:rsid w:val="00C12D20"/>
    <w:rsid w:val="00C133BA"/>
    <w:rsid w:val="00C13516"/>
    <w:rsid w:val="00C1358C"/>
    <w:rsid w:val="00C139BD"/>
    <w:rsid w:val="00C13BB7"/>
    <w:rsid w:val="00C13E06"/>
    <w:rsid w:val="00C13FED"/>
    <w:rsid w:val="00C14148"/>
    <w:rsid w:val="00C141B0"/>
    <w:rsid w:val="00C1450C"/>
    <w:rsid w:val="00C147E9"/>
    <w:rsid w:val="00C14990"/>
    <w:rsid w:val="00C149A9"/>
    <w:rsid w:val="00C14E7D"/>
    <w:rsid w:val="00C14E82"/>
    <w:rsid w:val="00C14EEF"/>
    <w:rsid w:val="00C14F69"/>
    <w:rsid w:val="00C15044"/>
    <w:rsid w:val="00C151C8"/>
    <w:rsid w:val="00C15259"/>
    <w:rsid w:val="00C15722"/>
    <w:rsid w:val="00C162E2"/>
    <w:rsid w:val="00C1657C"/>
    <w:rsid w:val="00C16656"/>
    <w:rsid w:val="00C16897"/>
    <w:rsid w:val="00C17340"/>
    <w:rsid w:val="00C1746E"/>
    <w:rsid w:val="00C17475"/>
    <w:rsid w:val="00C17587"/>
    <w:rsid w:val="00C17BC4"/>
    <w:rsid w:val="00C17F7F"/>
    <w:rsid w:val="00C200C9"/>
    <w:rsid w:val="00C20110"/>
    <w:rsid w:val="00C2031F"/>
    <w:rsid w:val="00C20A03"/>
    <w:rsid w:val="00C20A86"/>
    <w:rsid w:val="00C218B9"/>
    <w:rsid w:val="00C218FD"/>
    <w:rsid w:val="00C219BD"/>
    <w:rsid w:val="00C219D0"/>
    <w:rsid w:val="00C21AFB"/>
    <w:rsid w:val="00C21D8E"/>
    <w:rsid w:val="00C21ECE"/>
    <w:rsid w:val="00C220BF"/>
    <w:rsid w:val="00C22525"/>
    <w:rsid w:val="00C2252A"/>
    <w:rsid w:val="00C22592"/>
    <w:rsid w:val="00C2281A"/>
    <w:rsid w:val="00C229AE"/>
    <w:rsid w:val="00C22B2A"/>
    <w:rsid w:val="00C2311A"/>
    <w:rsid w:val="00C23275"/>
    <w:rsid w:val="00C23B7D"/>
    <w:rsid w:val="00C23CA3"/>
    <w:rsid w:val="00C23DBB"/>
    <w:rsid w:val="00C23FE1"/>
    <w:rsid w:val="00C2410D"/>
    <w:rsid w:val="00C246C7"/>
    <w:rsid w:val="00C24A6C"/>
    <w:rsid w:val="00C24BAF"/>
    <w:rsid w:val="00C24D2C"/>
    <w:rsid w:val="00C25018"/>
    <w:rsid w:val="00C2510E"/>
    <w:rsid w:val="00C25AD1"/>
    <w:rsid w:val="00C25EC8"/>
    <w:rsid w:val="00C25F8B"/>
    <w:rsid w:val="00C26261"/>
    <w:rsid w:val="00C26488"/>
    <w:rsid w:val="00C265C0"/>
    <w:rsid w:val="00C267C0"/>
    <w:rsid w:val="00C2685A"/>
    <w:rsid w:val="00C26AB0"/>
    <w:rsid w:val="00C26B9E"/>
    <w:rsid w:val="00C27200"/>
    <w:rsid w:val="00C272EF"/>
    <w:rsid w:val="00C2732B"/>
    <w:rsid w:val="00C273CB"/>
    <w:rsid w:val="00C27473"/>
    <w:rsid w:val="00C2753F"/>
    <w:rsid w:val="00C276A8"/>
    <w:rsid w:val="00C27874"/>
    <w:rsid w:val="00C27975"/>
    <w:rsid w:val="00C27DB5"/>
    <w:rsid w:val="00C27E23"/>
    <w:rsid w:val="00C300BC"/>
    <w:rsid w:val="00C307B1"/>
    <w:rsid w:val="00C30864"/>
    <w:rsid w:val="00C30A68"/>
    <w:rsid w:val="00C30C1E"/>
    <w:rsid w:val="00C31716"/>
    <w:rsid w:val="00C318F7"/>
    <w:rsid w:val="00C319D2"/>
    <w:rsid w:val="00C31A06"/>
    <w:rsid w:val="00C31E6D"/>
    <w:rsid w:val="00C31F85"/>
    <w:rsid w:val="00C32534"/>
    <w:rsid w:val="00C326EE"/>
    <w:rsid w:val="00C32951"/>
    <w:rsid w:val="00C32C02"/>
    <w:rsid w:val="00C32C33"/>
    <w:rsid w:val="00C32CF8"/>
    <w:rsid w:val="00C32D2B"/>
    <w:rsid w:val="00C32D81"/>
    <w:rsid w:val="00C32DF4"/>
    <w:rsid w:val="00C32EBF"/>
    <w:rsid w:val="00C32FAB"/>
    <w:rsid w:val="00C33014"/>
    <w:rsid w:val="00C33235"/>
    <w:rsid w:val="00C335C7"/>
    <w:rsid w:val="00C33677"/>
    <w:rsid w:val="00C33771"/>
    <w:rsid w:val="00C33C81"/>
    <w:rsid w:val="00C34137"/>
    <w:rsid w:val="00C34155"/>
    <w:rsid w:val="00C344C2"/>
    <w:rsid w:val="00C34564"/>
    <w:rsid w:val="00C3476B"/>
    <w:rsid w:val="00C34B14"/>
    <w:rsid w:val="00C34F2E"/>
    <w:rsid w:val="00C3510B"/>
    <w:rsid w:val="00C35240"/>
    <w:rsid w:val="00C358AD"/>
    <w:rsid w:val="00C35CD8"/>
    <w:rsid w:val="00C35E9D"/>
    <w:rsid w:val="00C3642F"/>
    <w:rsid w:val="00C364CE"/>
    <w:rsid w:val="00C367FF"/>
    <w:rsid w:val="00C36831"/>
    <w:rsid w:val="00C368B3"/>
    <w:rsid w:val="00C36A93"/>
    <w:rsid w:val="00C36F07"/>
    <w:rsid w:val="00C37214"/>
    <w:rsid w:val="00C37253"/>
    <w:rsid w:val="00C372E8"/>
    <w:rsid w:val="00C375A3"/>
    <w:rsid w:val="00C3797F"/>
    <w:rsid w:val="00C37BF4"/>
    <w:rsid w:val="00C37CE8"/>
    <w:rsid w:val="00C37D80"/>
    <w:rsid w:val="00C37FEF"/>
    <w:rsid w:val="00C40090"/>
    <w:rsid w:val="00C4022C"/>
    <w:rsid w:val="00C403D0"/>
    <w:rsid w:val="00C409DC"/>
    <w:rsid w:val="00C40B1B"/>
    <w:rsid w:val="00C40E88"/>
    <w:rsid w:val="00C416A3"/>
    <w:rsid w:val="00C41785"/>
    <w:rsid w:val="00C41AD0"/>
    <w:rsid w:val="00C41FC1"/>
    <w:rsid w:val="00C42011"/>
    <w:rsid w:val="00C42152"/>
    <w:rsid w:val="00C427B9"/>
    <w:rsid w:val="00C42C58"/>
    <w:rsid w:val="00C42D9D"/>
    <w:rsid w:val="00C42F34"/>
    <w:rsid w:val="00C42FE1"/>
    <w:rsid w:val="00C43080"/>
    <w:rsid w:val="00C4343B"/>
    <w:rsid w:val="00C434C2"/>
    <w:rsid w:val="00C43808"/>
    <w:rsid w:val="00C438CF"/>
    <w:rsid w:val="00C43940"/>
    <w:rsid w:val="00C43CA2"/>
    <w:rsid w:val="00C43CBD"/>
    <w:rsid w:val="00C43FEB"/>
    <w:rsid w:val="00C44306"/>
    <w:rsid w:val="00C44342"/>
    <w:rsid w:val="00C44694"/>
    <w:rsid w:val="00C44744"/>
    <w:rsid w:val="00C447BA"/>
    <w:rsid w:val="00C44A83"/>
    <w:rsid w:val="00C44B7B"/>
    <w:rsid w:val="00C44DAB"/>
    <w:rsid w:val="00C44EC9"/>
    <w:rsid w:val="00C4512A"/>
    <w:rsid w:val="00C45634"/>
    <w:rsid w:val="00C457C1"/>
    <w:rsid w:val="00C457F7"/>
    <w:rsid w:val="00C45899"/>
    <w:rsid w:val="00C45918"/>
    <w:rsid w:val="00C46625"/>
    <w:rsid w:val="00C46870"/>
    <w:rsid w:val="00C4687E"/>
    <w:rsid w:val="00C469CD"/>
    <w:rsid w:val="00C47274"/>
    <w:rsid w:val="00C47545"/>
    <w:rsid w:val="00C47593"/>
    <w:rsid w:val="00C47748"/>
    <w:rsid w:val="00C477CF"/>
    <w:rsid w:val="00C47DD1"/>
    <w:rsid w:val="00C5044B"/>
    <w:rsid w:val="00C506BD"/>
    <w:rsid w:val="00C507F2"/>
    <w:rsid w:val="00C50853"/>
    <w:rsid w:val="00C50C49"/>
    <w:rsid w:val="00C50E55"/>
    <w:rsid w:val="00C51426"/>
    <w:rsid w:val="00C51622"/>
    <w:rsid w:val="00C51B6F"/>
    <w:rsid w:val="00C51DBD"/>
    <w:rsid w:val="00C51FB3"/>
    <w:rsid w:val="00C5223C"/>
    <w:rsid w:val="00C526FA"/>
    <w:rsid w:val="00C52724"/>
    <w:rsid w:val="00C52735"/>
    <w:rsid w:val="00C52895"/>
    <w:rsid w:val="00C52973"/>
    <w:rsid w:val="00C52A35"/>
    <w:rsid w:val="00C53117"/>
    <w:rsid w:val="00C53213"/>
    <w:rsid w:val="00C534CF"/>
    <w:rsid w:val="00C53542"/>
    <w:rsid w:val="00C53609"/>
    <w:rsid w:val="00C53839"/>
    <w:rsid w:val="00C53917"/>
    <w:rsid w:val="00C5404C"/>
    <w:rsid w:val="00C541DE"/>
    <w:rsid w:val="00C545A4"/>
    <w:rsid w:val="00C5478C"/>
    <w:rsid w:val="00C54C11"/>
    <w:rsid w:val="00C54C67"/>
    <w:rsid w:val="00C54E65"/>
    <w:rsid w:val="00C54EC7"/>
    <w:rsid w:val="00C55091"/>
    <w:rsid w:val="00C55368"/>
    <w:rsid w:val="00C55CCF"/>
    <w:rsid w:val="00C55E24"/>
    <w:rsid w:val="00C55E26"/>
    <w:rsid w:val="00C5615F"/>
    <w:rsid w:val="00C5622E"/>
    <w:rsid w:val="00C56324"/>
    <w:rsid w:val="00C563AB"/>
    <w:rsid w:val="00C5653B"/>
    <w:rsid w:val="00C565A3"/>
    <w:rsid w:val="00C56F6C"/>
    <w:rsid w:val="00C577F7"/>
    <w:rsid w:val="00C57B1A"/>
    <w:rsid w:val="00C6004E"/>
    <w:rsid w:val="00C604C0"/>
    <w:rsid w:val="00C60667"/>
    <w:rsid w:val="00C60A21"/>
    <w:rsid w:val="00C6107E"/>
    <w:rsid w:val="00C61692"/>
    <w:rsid w:val="00C61813"/>
    <w:rsid w:val="00C61AB9"/>
    <w:rsid w:val="00C61BAD"/>
    <w:rsid w:val="00C61F84"/>
    <w:rsid w:val="00C6261D"/>
    <w:rsid w:val="00C628C6"/>
    <w:rsid w:val="00C62C74"/>
    <w:rsid w:val="00C62D3F"/>
    <w:rsid w:val="00C62FF7"/>
    <w:rsid w:val="00C6308D"/>
    <w:rsid w:val="00C63135"/>
    <w:rsid w:val="00C6350D"/>
    <w:rsid w:val="00C6362A"/>
    <w:rsid w:val="00C637DC"/>
    <w:rsid w:val="00C638CD"/>
    <w:rsid w:val="00C6392D"/>
    <w:rsid w:val="00C63EE8"/>
    <w:rsid w:val="00C6413A"/>
    <w:rsid w:val="00C6432E"/>
    <w:rsid w:val="00C6550D"/>
    <w:rsid w:val="00C65718"/>
    <w:rsid w:val="00C65B2F"/>
    <w:rsid w:val="00C65B4F"/>
    <w:rsid w:val="00C65C81"/>
    <w:rsid w:val="00C663DF"/>
    <w:rsid w:val="00C666DE"/>
    <w:rsid w:val="00C66772"/>
    <w:rsid w:val="00C66D1A"/>
    <w:rsid w:val="00C66D2B"/>
    <w:rsid w:val="00C66F84"/>
    <w:rsid w:val="00C67060"/>
    <w:rsid w:val="00C67580"/>
    <w:rsid w:val="00C6781C"/>
    <w:rsid w:val="00C67EA1"/>
    <w:rsid w:val="00C67FDC"/>
    <w:rsid w:val="00C70077"/>
    <w:rsid w:val="00C70520"/>
    <w:rsid w:val="00C709E1"/>
    <w:rsid w:val="00C70AEE"/>
    <w:rsid w:val="00C70BF1"/>
    <w:rsid w:val="00C70DCD"/>
    <w:rsid w:val="00C71005"/>
    <w:rsid w:val="00C71278"/>
    <w:rsid w:val="00C713B2"/>
    <w:rsid w:val="00C717AF"/>
    <w:rsid w:val="00C718E7"/>
    <w:rsid w:val="00C71BB3"/>
    <w:rsid w:val="00C71CE6"/>
    <w:rsid w:val="00C71D15"/>
    <w:rsid w:val="00C71EB7"/>
    <w:rsid w:val="00C7234D"/>
    <w:rsid w:val="00C72400"/>
    <w:rsid w:val="00C7244E"/>
    <w:rsid w:val="00C7246C"/>
    <w:rsid w:val="00C726C9"/>
    <w:rsid w:val="00C72801"/>
    <w:rsid w:val="00C72910"/>
    <w:rsid w:val="00C72AF6"/>
    <w:rsid w:val="00C72C0A"/>
    <w:rsid w:val="00C72CDE"/>
    <w:rsid w:val="00C72E7B"/>
    <w:rsid w:val="00C7322F"/>
    <w:rsid w:val="00C732A3"/>
    <w:rsid w:val="00C7380C"/>
    <w:rsid w:val="00C73972"/>
    <w:rsid w:val="00C73E67"/>
    <w:rsid w:val="00C73F1B"/>
    <w:rsid w:val="00C73FAD"/>
    <w:rsid w:val="00C740A8"/>
    <w:rsid w:val="00C740E0"/>
    <w:rsid w:val="00C74AE1"/>
    <w:rsid w:val="00C7550D"/>
    <w:rsid w:val="00C755BF"/>
    <w:rsid w:val="00C757B8"/>
    <w:rsid w:val="00C75961"/>
    <w:rsid w:val="00C75A05"/>
    <w:rsid w:val="00C75A95"/>
    <w:rsid w:val="00C75B2C"/>
    <w:rsid w:val="00C75DF9"/>
    <w:rsid w:val="00C75FE1"/>
    <w:rsid w:val="00C76052"/>
    <w:rsid w:val="00C76097"/>
    <w:rsid w:val="00C7614E"/>
    <w:rsid w:val="00C764D4"/>
    <w:rsid w:val="00C765BA"/>
    <w:rsid w:val="00C76847"/>
    <w:rsid w:val="00C76906"/>
    <w:rsid w:val="00C76B7C"/>
    <w:rsid w:val="00C76CC7"/>
    <w:rsid w:val="00C76F81"/>
    <w:rsid w:val="00C77113"/>
    <w:rsid w:val="00C772E6"/>
    <w:rsid w:val="00C77516"/>
    <w:rsid w:val="00C776A4"/>
    <w:rsid w:val="00C776A6"/>
    <w:rsid w:val="00C777F4"/>
    <w:rsid w:val="00C7795B"/>
    <w:rsid w:val="00C77EA3"/>
    <w:rsid w:val="00C800DD"/>
    <w:rsid w:val="00C80557"/>
    <w:rsid w:val="00C80779"/>
    <w:rsid w:val="00C80920"/>
    <w:rsid w:val="00C80A4C"/>
    <w:rsid w:val="00C80B03"/>
    <w:rsid w:val="00C80B28"/>
    <w:rsid w:val="00C80D95"/>
    <w:rsid w:val="00C81921"/>
    <w:rsid w:val="00C8197D"/>
    <w:rsid w:val="00C81B50"/>
    <w:rsid w:val="00C822B8"/>
    <w:rsid w:val="00C8243F"/>
    <w:rsid w:val="00C8289B"/>
    <w:rsid w:val="00C82976"/>
    <w:rsid w:val="00C82CE7"/>
    <w:rsid w:val="00C82D54"/>
    <w:rsid w:val="00C82F3B"/>
    <w:rsid w:val="00C83045"/>
    <w:rsid w:val="00C83062"/>
    <w:rsid w:val="00C8336B"/>
    <w:rsid w:val="00C8342E"/>
    <w:rsid w:val="00C834CA"/>
    <w:rsid w:val="00C836ED"/>
    <w:rsid w:val="00C837C4"/>
    <w:rsid w:val="00C83829"/>
    <w:rsid w:val="00C83C6C"/>
    <w:rsid w:val="00C83EDD"/>
    <w:rsid w:val="00C83F4C"/>
    <w:rsid w:val="00C84960"/>
    <w:rsid w:val="00C849A3"/>
    <w:rsid w:val="00C84BF1"/>
    <w:rsid w:val="00C84CA2"/>
    <w:rsid w:val="00C84D36"/>
    <w:rsid w:val="00C84E76"/>
    <w:rsid w:val="00C850E2"/>
    <w:rsid w:val="00C85277"/>
    <w:rsid w:val="00C853E2"/>
    <w:rsid w:val="00C85610"/>
    <w:rsid w:val="00C85A36"/>
    <w:rsid w:val="00C85CD1"/>
    <w:rsid w:val="00C85CE7"/>
    <w:rsid w:val="00C862EF"/>
    <w:rsid w:val="00C86311"/>
    <w:rsid w:val="00C86663"/>
    <w:rsid w:val="00C86697"/>
    <w:rsid w:val="00C8690C"/>
    <w:rsid w:val="00C86C56"/>
    <w:rsid w:val="00C8714B"/>
    <w:rsid w:val="00C872F9"/>
    <w:rsid w:val="00C87644"/>
    <w:rsid w:val="00C87737"/>
    <w:rsid w:val="00C8773E"/>
    <w:rsid w:val="00C87A54"/>
    <w:rsid w:val="00C87DB2"/>
    <w:rsid w:val="00C87DB9"/>
    <w:rsid w:val="00C87EDA"/>
    <w:rsid w:val="00C9033C"/>
    <w:rsid w:val="00C90601"/>
    <w:rsid w:val="00C9061D"/>
    <w:rsid w:val="00C909D8"/>
    <w:rsid w:val="00C90D16"/>
    <w:rsid w:val="00C90EE5"/>
    <w:rsid w:val="00C9116A"/>
    <w:rsid w:val="00C915D3"/>
    <w:rsid w:val="00C917C4"/>
    <w:rsid w:val="00C91AC2"/>
    <w:rsid w:val="00C91B2A"/>
    <w:rsid w:val="00C92111"/>
    <w:rsid w:val="00C9252D"/>
    <w:rsid w:val="00C9265D"/>
    <w:rsid w:val="00C92824"/>
    <w:rsid w:val="00C92B3E"/>
    <w:rsid w:val="00C93670"/>
    <w:rsid w:val="00C937BA"/>
    <w:rsid w:val="00C938CB"/>
    <w:rsid w:val="00C93AB9"/>
    <w:rsid w:val="00C93C07"/>
    <w:rsid w:val="00C9409B"/>
    <w:rsid w:val="00C94106"/>
    <w:rsid w:val="00C946D8"/>
    <w:rsid w:val="00C949FC"/>
    <w:rsid w:val="00C94AD9"/>
    <w:rsid w:val="00C94B92"/>
    <w:rsid w:val="00C94C9F"/>
    <w:rsid w:val="00C94E4F"/>
    <w:rsid w:val="00C950E0"/>
    <w:rsid w:val="00C95228"/>
    <w:rsid w:val="00C952F8"/>
    <w:rsid w:val="00C95E9B"/>
    <w:rsid w:val="00C95FE0"/>
    <w:rsid w:val="00C9606A"/>
    <w:rsid w:val="00C960CF"/>
    <w:rsid w:val="00C96588"/>
    <w:rsid w:val="00C96672"/>
    <w:rsid w:val="00C96678"/>
    <w:rsid w:val="00C96772"/>
    <w:rsid w:val="00C9679C"/>
    <w:rsid w:val="00C9696D"/>
    <w:rsid w:val="00C96C36"/>
    <w:rsid w:val="00C96C43"/>
    <w:rsid w:val="00C96CFA"/>
    <w:rsid w:val="00C96E5A"/>
    <w:rsid w:val="00C96EB5"/>
    <w:rsid w:val="00C97024"/>
    <w:rsid w:val="00C97501"/>
    <w:rsid w:val="00C97913"/>
    <w:rsid w:val="00C97A29"/>
    <w:rsid w:val="00C97A77"/>
    <w:rsid w:val="00C97D09"/>
    <w:rsid w:val="00C97D96"/>
    <w:rsid w:val="00C97EF8"/>
    <w:rsid w:val="00CA0257"/>
    <w:rsid w:val="00CA0650"/>
    <w:rsid w:val="00CA0917"/>
    <w:rsid w:val="00CA0B53"/>
    <w:rsid w:val="00CA0C72"/>
    <w:rsid w:val="00CA102B"/>
    <w:rsid w:val="00CA11CF"/>
    <w:rsid w:val="00CA13F4"/>
    <w:rsid w:val="00CA14AE"/>
    <w:rsid w:val="00CA15CB"/>
    <w:rsid w:val="00CA2044"/>
    <w:rsid w:val="00CA211F"/>
    <w:rsid w:val="00CA22B1"/>
    <w:rsid w:val="00CA23CE"/>
    <w:rsid w:val="00CA283D"/>
    <w:rsid w:val="00CA29D1"/>
    <w:rsid w:val="00CA2B17"/>
    <w:rsid w:val="00CA2DD6"/>
    <w:rsid w:val="00CA2F7E"/>
    <w:rsid w:val="00CA3235"/>
    <w:rsid w:val="00CA3247"/>
    <w:rsid w:val="00CA373C"/>
    <w:rsid w:val="00CA3752"/>
    <w:rsid w:val="00CA395C"/>
    <w:rsid w:val="00CA3999"/>
    <w:rsid w:val="00CA39C0"/>
    <w:rsid w:val="00CA4275"/>
    <w:rsid w:val="00CA4781"/>
    <w:rsid w:val="00CA48A7"/>
    <w:rsid w:val="00CA5265"/>
    <w:rsid w:val="00CA53CB"/>
    <w:rsid w:val="00CA5779"/>
    <w:rsid w:val="00CA57D0"/>
    <w:rsid w:val="00CA5AD3"/>
    <w:rsid w:val="00CA5B52"/>
    <w:rsid w:val="00CA5C57"/>
    <w:rsid w:val="00CA5D9F"/>
    <w:rsid w:val="00CA6120"/>
    <w:rsid w:val="00CA614C"/>
    <w:rsid w:val="00CA61CF"/>
    <w:rsid w:val="00CA6288"/>
    <w:rsid w:val="00CA62DD"/>
    <w:rsid w:val="00CA67F9"/>
    <w:rsid w:val="00CA69BA"/>
    <w:rsid w:val="00CA6EF0"/>
    <w:rsid w:val="00CA6FCF"/>
    <w:rsid w:val="00CA761F"/>
    <w:rsid w:val="00CA7708"/>
    <w:rsid w:val="00CA775D"/>
    <w:rsid w:val="00CA7A6B"/>
    <w:rsid w:val="00CA7B8B"/>
    <w:rsid w:val="00CA7DE6"/>
    <w:rsid w:val="00CB0339"/>
    <w:rsid w:val="00CB0747"/>
    <w:rsid w:val="00CB0A6D"/>
    <w:rsid w:val="00CB0B1C"/>
    <w:rsid w:val="00CB0B70"/>
    <w:rsid w:val="00CB0FF7"/>
    <w:rsid w:val="00CB1103"/>
    <w:rsid w:val="00CB110E"/>
    <w:rsid w:val="00CB11F8"/>
    <w:rsid w:val="00CB1878"/>
    <w:rsid w:val="00CB1BE1"/>
    <w:rsid w:val="00CB1D78"/>
    <w:rsid w:val="00CB225B"/>
    <w:rsid w:val="00CB25C4"/>
    <w:rsid w:val="00CB27C1"/>
    <w:rsid w:val="00CB2941"/>
    <w:rsid w:val="00CB2EF5"/>
    <w:rsid w:val="00CB33E4"/>
    <w:rsid w:val="00CB347C"/>
    <w:rsid w:val="00CB3FDF"/>
    <w:rsid w:val="00CB4230"/>
    <w:rsid w:val="00CB431B"/>
    <w:rsid w:val="00CB4474"/>
    <w:rsid w:val="00CB4752"/>
    <w:rsid w:val="00CB4A77"/>
    <w:rsid w:val="00CB4EA5"/>
    <w:rsid w:val="00CB557F"/>
    <w:rsid w:val="00CB559C"/>
    <w:rsid w:val="00CB561A"/>
    <w:rsid w:val="00CB5641"/>
    <w:rsid w:val="00CB592B"/>
    <w:rsid w:val="00CB5C5F"/>
    <w:rsid w:val="00CB600E"/>
    <w:rsid w:val="00CB61F9"/>
    <w:rsid w:val="00CB6235"/>
    <w:rsid w:val="00CB657C"/>
    <w:rsid w:val="00CB65B8"/>
    <w:rsid w:val="00CB6CDF"/>
    <w:rsid w:val="00CB6D6E"/>
    <w:rsid w:val="00CB6DCB"/>
    <w:rsid w:val="00CB7085"/>
    <w:rsid w:val="00CB7264"/>
    <w:rsid w:val="00CB730F"/>
    <w:rsid w:val="00CB761C"/>
    <w:rsid w:val="00CB7680"/>
    <w:rsid w:val="00CB76B5"/>
    <w:rsid w:val="00CB7AD6"/>
    <w:rsid w:val="00CB7E35"/>
    <w:rsid w:val="00CC0096"/>
    <w:rsid w:val="00CC0444"/>
    <w:rsid w:val="00CC0495"/>
    <w:rsid w:val="00CC04E7"/>
    <w:rsid w:val="00CC0693"/>
    <w:rsid w:val="00CC0CB3"/>
    <w:rsid w:val="00CC110F"/>
    <w:rsid w:val="00CC11B8"/>
    <w:rsid w:val="00CC1266"/>
    <w:rsid w:val="00CC1AF9"/>
    <w:rsid w:val="00CC1C14"/>
    <w:rsid w:val="00CC1D10"/>
    <w:rsid w:val="00CC1D23"/>
    <w:rsid w:val="00CC1FC8"/>
    <w:rsid w:val="00CC20E0"/>
    <w:rsid w:val="00CC24AB"/>
    <w:rsid w:val="00CC24CE"/>
    <w:rsid w:val="00CC2818"/>
    <w:rsid w:val="00CC28C8"/>
    <w:rsid w:val="00CC2A07"/>
    <w:rsid w:val="00CC2CE4"/>
    <w:rsid w:val="00CC2E58"/>
    <w:rsid w:val="00CC2F7A"/>
    <w:rsid w:val="00CC3271"/>
    <w:rsid w:val="00CC36F6"/>
    <w:rsid w:val="00CC3898"/>
    <w:rsid w:val="00CC3A70"/>
    <w:rsid w:val="00CC3F29"/>
    <w:rsid w:val="00CC4033"/>
    <w:rsid w:val="00CC40B8"/>
    <w:rsid w:val="00CC4249"/>
    <w:rsid w:val="00CC4350"/>
    <w:rsid w:val="00CC4A64"/>
    <w:rsid w:val="00CC4AFA"/>
    <w:rsid w:val="00CC4C37"/>
    <w:rsid w:val="00CC5353"/>
    <w:rsid w:val="00CC5444"/>
    <w:rsid w:val="00CC544F"/>
    <w:rsid w:val="00CC5631"/>
    <w:rsid w:val="00CC564B"/>
    <w:rsid w:val="00CC5822"/>
    <w:rsid w:val="00CC5B67"/>
    <w:rsid w:val="00CC5EC3"/>
    <w:rsid w:val="00CC62A6"/>
    <w:rsid w:val="00CC63F0"/>
    <w:rsid w:val="00CC6613"/>
    <w:rsid w:val="00CC676C"/>
    <w:rsid w:val="00CC6AFA"/>
    <w:rsid w:val="00CC7217"/>
    <w:rsid w:val="00CC7981"/>
    <w:rsid w:val="00CC7A11"/>
    <w:rsid w:val="00CC7A55"/>
    <w:rsid w:val="00CD003A"/>
    <w:rsid w:val="00CD025E"/>
    <w:rsid w:val="00CD04A8"/>
    <w:rsid w:val="00CD051B"/>
    <w:rsid w:val="00CD065B"/>
    <w:rsid w:val="00CD0748"/>
    <w:rsid w:val="00CD0DF8"/>
    <w:rsid w:val="00CD10A4"/>
    <w:rsid w:val="00CD1426"/>
    <w:rsid w:val="00CD1C79"/>
    <w:rsid w:val="00CD1DB1"/>
    <w:rsid w:val="00CD2093"/>
    <w:rsid w:val="00CD21AA"/>
    <w:rsid w:val="00CD22B5"/>
    <w:rsid w:val="00CD22F4"/>
    <w:rsid w:val="00CD2525"/>
    <w:rsid w:val="00CD25A7"/>
    <w:rsid w:val="00CD25E1"/>
    <w:rsid w:val="00CD25F9"/>
    <w:rsid w:val="00CD26AC"/>
    <w:rsid w:val="00CD2C0B"/>
    <w:rsid w:val="00CD2E89"/>
    <w:rsid w:val="00CD3284"/>
    <w:rsid w:val="00CD32EE"/>
    <w:rsid w:val="00CD367C"/>
    <w:rsid w:val="00CD38F6"/>
    <w:rsid w:val="00CD3CDF"/>
    <w:rsid w:val="00CD3E9A"/>
    <w:rsid w:val="00CD3EBC"/>
    <w:rsid w:val="00CD4149"/>
    <w:rsid w:val="00CD454A"/>
    <w:rsid w:val="00CD49BE"/>
    <w:rsid w:val="00CD4A40"/>
    <w:rsid w:val="00CD4AF6"/>
    <w:rsid w:val="00CD4EF7"/>
    <w:rsid w:val="00CD4F54"/>
    <w:rsid w:val="00CD4FFE"/>
    <w:rsid w:val="00CD5333"/>
    <w:rsid w:val="00CD5734"/>
    <w:rsid w:val="00CD57FA"/>
    <w:rsid w:val="00CD5847"/>
    <w:rsid w:val="00CD589A"/>
    <w:rsid w:val="00CD5A6E"/>
    <w:rsid w:val="00CD5F35"/>
    <w:rsid w:val="00CD6BDB"/>
    <w:rsid w:val="00CD6C5B"/>
    <w:rsid w:val="00CD6D1C"/>
    <w:rsid w:val="00CD6F10"/>
    <w:rsid w:val="00CD711F"/>
    <w:rsid w:val="00CD7297"/>
    <w:rsid w:val="00CD72BC"/>
    <w:rsid w:val="00CD74A7"/>
    <w:rsid w:val="00CD74BE"/>
    <w:rsid w:val="00CD79B2"/>
    <w:rsid w:val="00CD7C98"/>
    <w:rsid w:val="00CE0902"/>
    <w:rsid w:val="00CE1037"/>
    <w:rsid w:val="00CE1366"/>
    <w:rsid w:val="00CE157C"/>
    <w:rsid w:val="00CE17E5"/>
    <w:rsid w:val="00CE1A90"/>
    <w:rsid w:val="00CE1AF6"/>
    <w:rsid w:val="00CE2298"/>
    <w:rsid w:val="00CE2842"/>
    <w:rsid w:val="00CE2AD3"/>
    <w:rsid w:val="00CE3064"/>
    <w:rsid w:val="00CE364D"/>
    <w:rsid w:val="00CE39E4"/>
    <w:rsid w:val="00CE3BD5"/>
    <w:rsid w:val="00CE4282"/>
    <w:rsid w:val="00CE46B9"/>
    <w:rsid w:val="00CE46CC"/>
    <w:rsid w:val="00CE4AD0"/>
    <w:rsid w:val="00CE4F3F"/>
    <w:rsid w:val="00CE4FCC"/>
    <w:rsid w:val="00CE5265"/>
    <w:rsid w:val="00CE52FA"/>
    <w:rsid w:val="00CE54D4"/>
    <w:rsid w:val="00CE54E1"/>
    <w:rsid w:val="00CE55B6"/>
    <w:rsid w:val="00CE5856"/>
    <w:rsid w:val="00CE58E4"/>
    <w:rsid w:val="00CE5BDE"/>
    <w:rsid w:val="00CE5D1F"/>
    <w:rsid w:val="00CE5D6D"/>
    <w:rsid w:val="00CE5F06"/>
    <w:rsid w:val="00CE6A6D"/>
    <w:rsid w:val="00CE6D4B"/>
    <w:rsid w:val="00CE7682"/>
    <w:rsid w:val="00CE774C"/>
    <w:rsid w:val="00CE7C92"/>
    <w:rsid w:val="00CE7CCC"/>
    <w:rsid w:val="00CE7DDD"/>
    <w:rsid w:val="00CE7EBC"/>
    <w:rsid w:val="00CF012E"/>
    <w:rsid w:val="00CF0190"/>
    <w:rsid w:val="00CF0349"/>
    <w:rsid w:val="00CF04D4"/>
    <w:rsid w:val="00CF068E"/>
    <w:rsid w:val="00CF08A6"/>
    <w:rsid w:val="00CF0B4C"/>
    <w:rsid w:val="00CF1036"/>
    <w:rsid w:val="00CF1124"/>
    <w:rsid w:val="00CF130F"/>
    <w:rsid w:val="00CF1587"/>
    <w:rsid w:val="00CF1680"/>
    <w:rsid w:val="00CF19E2"/>
    <w:rsid w:val="00CF1BD7"/>
    <w:rsid w:val="00CF1E23"/>
    <w:rsid w:val="00CF213C"/>
    <w:rsid w:val="00CF219A"/>
    <w:rsid w:val="00CF21A5"/>
    <w:rsid w:val="00CF22F3"/>
    <w:rsid w:val="00CF24AB"/>
    <w:rsid w:val="00CF2518"/>
    <w:rsid w:val="00CF289B"/>
    <w:rsid w:val="00CF29FF"/>
    <w:rsid w:val="00CF2C11"/>
    <w:rsid w:val="00CF2DDE"/>
    <w:rsid w:val="00CF2DFA"/>
    <w:rsid w:val="00CF31C2"/>
    <w:rsid w:val="00CF344A"/>
    <w:rsid w:val="00CF3470"/>
    <w:rsid w:val="00CF36E1"/>
    <w:rsid w:val="00CF39A0"/>
    <w:rsid w:val="00CF3D1C"/>
    <w:rsid w:val="00CF3FE6"/>
    <w:rsid w:val="00CF40B3"/>
    <w:rsid w:val="00CF43D3"/>
    <w:rsid w:val="00CF4713"/>
    <w:rsid w:val="00CF4B12"/>
    <w:rsid w:val="00CF4C4D"/>
    <w:rsid w:val="00CF505E"/>
    <w:rsid w:val="00CF58FE"/>
    <w:rsid w:val="00CF5B54"/>
    <w:rsid w:val="00CF5EBE"/>
    <w:rsid w:val="00CF6626"/>
    <w:rsid w:val="00CF6CC8"/>
    <w:rsid w:val="00CF6E9E"/>
    <w:rsid w:val="00CF6F46"/>
    <w:rsid w:val="00CF6FBB"/>
    <w:rsid w:val="00CF71EE"/>
    <w:rsid w:val="00CF72C9"/>
    <w:rsid w:val="00CF753F"/>
    <w:rsid w:val="00CF77D7"/>
    <w:rsid w:val="00CF783B"/>
    <w:rsid w:val="00CF7B7E"/>
    <w:rsid w:val="00CF7D97"/>
    <w:rsid w:val="00CF7EEC"/>
    <w:rsid w:val="00D001C2"/>
    <w:rsid w:val="00D00344"/>
    <w:rsid w:val="00D003A8"/>
    <w:rsid w:val="00D005ED"/>
    <w:rsid w:val="00D00666"/>
    <w:rsid w:val="00D00779"/>
    <w:rsid w:val="00D00931"/>
    <w:rsid w:val="00D00950"/>
    <w:rsid w:val="00D009D8"/>
    <w:rsid w:val="00D00AE2"/>
    <w:rsid w:val="00D00CEF"/>
    <w:rsid w:val="00D00DBB"/>
    <w:rsid w:val="00D00F7B"/>
    <w:rsid w:val="00D01042"/>
    <w:rsid w:val="00D0121A"/>
    <w:rsid w:val="00D012E1"/>
    <w:rsid w:val="00D01318"/>
    <w:rsid w:val="00D01665"/>
    <w:rsid w:val="00D01AC8"/>
    <w:rsid w:val="00D01AEA"/>
    <w:rsid w:val="00D01BDE"/>
    <w:rsid w:val="00D01D1E"/>
    <w:rsid w:val="00D01EB8"/>
    <w:rsid w:val="00D0212F"/>
    <w:rsid w:val="00D022CB"/>
    <w:rsid w:val="00D02503"/>
    <w:rsid w:val="00D02580"/>
    <w:rsid w:val="00D028D7"/>
    <w:rsid w:val="00D02AAF"/>
    <w:rsid w:val="00D02BA2"/>
    <w:rsid w:val="00D02D19"/>
    <w:rsid w:val="00D0327D"/>
    <w:rsid w:val="00D0355A"/>
    <w:rsid w:val="00D03A32"/>
    <w:rsid w:val="00D03BF7"/>
    <w:rsid w:val="00D03DFC"/>
    <w:rsid w:val="00D03F1E"/>
    <w:rsid w:val="00D0421E"/>
    <w:rsid w:val="00D0428E"/>
    <w:rsid w:val="00D04426"/>
    <w:rsid w:val="00D046CF"/>
    <w:rsid w:val="00D0482F"/>
    <w:rsid w:val="00D048B9"/>
    <w:rsid w:val="00D04A33"/>
    <w:rsid w:val="00D04D1E"/>
    <w:rsid w:val="00D05892"/>
    <w:rsid w:val="00D059A9"/>
    <w:rsid w:val="00D05AA7"/>
    <w:rsid w:val="00D05DEA"/>
    <w:rsid w:val="00D0600A"/>
    <w:rsid w:val="00D062E7"/>
    <w:rsid w:val="00D064F5"/>
    <w:rsid w:val="00D067FF"/>
    <w:rsid w:val="00D06824"/>
    <w:rsid w:val="00D06B65"/>
    <w:rsid w:val="00D06C03"/>
    <w:rsid w:val="00D0715B"/>
    <w:rsid w:val="00D072A5"/>
    <w:rsid w:val="00D07666"/>
    <w:rsid w:val="00D07689"/>
    <w:rsid w:val="00D079FB"/>
    <w:rsid w:val="00D07BA3"/>
    <w:rsid w:val="00D07DCA"/>
    <w:rsid w:val="00D100FF"/>
    <w:rsid w:val="00D1037A"/>
    <w:rsid w:val="00D10516"/>
    <w:rsid w:val="00D10D09"/>
    <w:rsid w:val="00D1163E"/>
    <w:rsid w:val="00D117D4"/>
    <w:rsid w:val="00D1191C"/>
    <w:rsid w:val="00D11938"/>
    <w:rsid w:val="00D11CF8"/>
    <w:rsid w:val="00D11F4E"/>
    <w:rsid w:val="00D12362"/>
    <w:rsid w:val="00D12829"/>
    <w:rsid w:val="00D12A4F"/>
    <w:rsid w:val="00D12A5D"/>
    <w:rsid w:val="00D12A92"/>
    <w:rsid w:val="00D12CAC"/>
    <w:rsid w:val="00D130EF"/>
    <w:rsid w:val="00D1388E"/>
    <w:rsid w:val="00D13E9A"/>
    <w:rsid w:val="00D14C15"/>
    <w:rsid w:val="00D15133"/>
    <w:rsid w:val="00D15698"/>
    <w:rsid w:val="00D158D2"/>
    <w:rsid w:val="00D15B20"/>
    <w:rsid w:val="00D15CB3"/>
    <w:rsid w:val="00D15E37"/>
    <w:rsid w:val="00D15F51"/>
    <w:rsid w:val="00D16200"/>
    <w:rsid w:val="00D165B9"/>
    <w:rsid w:val="00D16820"/>
    <w:rsid w:val="00D16D13"/>
    <w:rsid w:val="00D16D61"/>
    <w:rsid w:val="00D16ED5"/>
    <w:rsid w:val="00D1780E"/>
    <w:rsid w:val="00D17AA1"/>
    <w:rsid w:val="00D17D0B"/>
    <w:rsid w:val="00D17E02"/>
    <w:rsid w:val="00D20250"/>
    <w:rsid w:val="00D202B1"/>
    <w:rsid w:val="00D20662"/>
    <w:rsid w:val="00D20839"/>
    <w:rsid w:val="00D20887"/>
    <w:rsid w:val="00D21291"/>
    <w:rsid w:val="00D2138B"/>
    <w:rsid w:val="00D21537"/>
    <w:rsid w:val="00D21555"/>
    <w:rsid w:val="00D21AD4"/>
    <w:rsid w:val="00D21C8A"/>
    <w:rsid w:val="00D21D37"/>
    <w:rsid w:val="00D21EA7"/>
    <w:rsid w:val="00D21F79"/>
    <w:rsid w:val="00D221EE"/>
    <w:rsid w:val="00D225D1"/>
    <w:rsid w:val="00D2297E"/>
    <w:rsid w:val="00D22AB7"/>
    <w:rsid w:val="00D22DE5"/>
    <w:rsid w:val="00D22FE1"/>
    <w:rsid w:val="00D231F2"/>
    <w:rsid w:val="00D233BD"/>
    <w:rsid w:val="00D233D7"/>
    <w:rsid w:val="00D23519"/>
    <w:rsid w:val="00D23BA0"/>
    <w:rsid w:val="00D23CBB"/>
    <w:rsid w:val="00D23F77"/>
    <w:rsid w:val="00D23FD6"/>
    <w:rsid w:val="00D243D6"/>
    <w:rsid w:val="00D24404"/>
    <w:rsid w:val="00D24497"/>
    <w:rsid w:val="00D244C1"/>
    <w:rsid w:val="00D24548"/>
    <w:rsid w:val="00D2455B"/>
    <w:rsid w:val="00D24609"/>
    <w:rsid w:val="00D247EF"/>
    <w:rsid w:val="00D2501C"/>
    <w:rsid w:val="00D2518A"/>
    <w:rsid w:val="00D25431"/>
    <w:rsid w:val="00D2556B"/>
    <w:rsid w:val="00D25806"/>
    <w:rsid w:val="00D25814"/>
    <w:rsid w:val="00D25923"/>
    <w:rsid w:val="00D25E9D"/>
    <w:rsid w:val="00D25EBE"/>
    <w:rsid w:val="00D25EF8"/>
    <w:rsid w:val="00D25F1C"/>
    <w:rsid w:val="00D26171"/>
    <w:rsid w:val="00D266C8"/>
    <w:rsid w:val="00D26982"/>
    <w:rsid w:val="00D26AA3"/>
    <w:rsid w:val="00D26DE6"/>
    <w:rsid w:val="00D26EE7"/>
    <w:rsid w:val="00D275AC"/>
    <w:rsid w:val="00D2762E"/>
    <w:rsid w:val="00D27B1E"/>
    <w:rsid w:val="00D27C00"/>
    <w:rsid w:val="00D30466"/>
    <w:rsid w:val="00D304AD"/>
    <w:rsid w:val="00D30718"/>
    <w:rsid w:val="00D3092C"/>
    <w:rsid w:val="00D30A06"/>
    <w:rsid w:val="00D30E67"/>
    <w:rsid w:val="00D310D5"/>
    <w:rsid w:val="00D3114F"/>
    <w:rsid w:val="00D31221"/>
    <w:rsid w:val="00D31BC8"/>
    <w:rsid w:val="00D322FB"/>
    <w:rsid w:val="00D32322"/>
    <w:rsid w:val="00D32475"/>
    <w:rsid w:val="00D32786"/>
    <w:rsid w:val="00D32810"/>
    <w:rsid w:val="00D328BE"/>
    <w:rsid w:val="00D329C5"/>
    <w:rsid w:val="00D32C2D"/>
    <w:rsid w:val="00D32EA8"/>
    <w:rsid w:val="00D32EF4"/>
    <w:rsid w:val="00D33AE9"/>
    <w:rsid w:val="00D33D6D"/>
    <w:rsid w:val="00D33F81"/>
    <w:rsid w:val="00D33F87"/>
    <w:rsid w:val="00D3479A"/>
    <w:rsid w:val="00D347BC"/>
    <w:rsid w:val="00D34850"/>
    <w:rsid w:val="00D349D7"/>
    <w:rsid w:val="00D34C68"/>
    <w:rsid w:val="00D3504B"/>
    <w:rsid w:val="00D35060"/>
    <w:rsid w:val="00D3513A"/>
    <w:rsid w:val="00D35609"/>
    <w:rsid w:val="00D356C6"/>
    <w:rsid w:val="00D357D1"/>
    <w:rsid w:val="00D35D4F"/>
    <w:rsid w:val="00D35D74"/>
    <w:rsid w:val="00D3601C"/>
    <w:rsid w:val="00D3610B"/>
    <w:rsid w:val="00D36313"/>
    <w:rsid w:val="00D3681B"/>
    <w:rsid w:val="00D369D4"/>
    <w:rsid w:val="00D36AD7"/>
    <w:rsid w:val="00D36FAB"/>
    <w:rsid w:val="00D373E9"/>
    <w:rsid w:val="00D377E3"/>
    <w:rsid w:val="00D37980"/>
    <w:rsid w:val="00D37C61"/>
    <w:rsid w:val="00D401E6"/>
    <w:rsid w:val="00D40357"/>
    <w:rsid w:val="00D403FF"/>
    <w:rsid w:val="00D404C4"/>
    <w:rsid w:val="00D40BB0"/>
    <w:rsid w:val="00D40C9E"/>
    <w:rsid w:val="00D40CE9"/>
    <w:rsid w:val="00D40F3A"/>
    <w:rsid w:val="00D41477"/>
    <w:rsid w:val="00D41D27"/>
    <w:rsid w:val="00D41D71"/>
    <w:rsid w:val="00D41F4D"/>
    <w:rsid w:val="00D42115"/>
    <w:rsid w:val="00D42D17"/>
    <w:rsid w:val="00D42EFD"/>
    <w:rsid w:val="00D42F6F"/>
    <w:rsid w:val="00D43467"/>
    <w:rsid w:val="00D4354C"/>
    <w:rsid w:val="00D436A9"/>
    <w:rsid w:val="00D43A17"/>
    <w:rsid w:val="00D43B70"/>
    <w:rsid w:val="00D4430A"/>
    <w:rsid w:val="00D4449B"/>
    <w:rsid w:val="00D447AE"/>
    <w:rsid w:val="00D449AE"/>
    <w:rsid w:val="00D44A44"/>
    <w:rsid w:val="00D44F6E"/>
    <w:rsid w:val="00D4508C"/>
    <w:rsid w:val="00D4545F"/>
    <w:rsid w:val="00D455EE"/>
    <w:rsid w:val="00D4563C"/>
    <w:rsid w:val="00D457D1"/>
    <w:rsid w:val="00D458AA"/>
    <w:rsid w:val="00D459C4"/>
    <w:rsid w:val="00D45EA9"/>
    <w:rsid w:val="00D45F37"/>
    <w:rsid w:val="00D46338"/>
    <w:rsid w:val="00D46589"/>
    <w:rsid w:val="00D465BF"/>
    <w:rsid w:val="00D4661A"/>
    <w:rsid w:val="00D46AED"/>
    <w:rsid w:val="00D46B4A"/>
    <w:rsid w:val="00D46BA2"/>
    <w:rsid w:val="00D46D2F"/>
    <w:rsid w:val="00D46EB2"/>
    <w:rsid w:val="00D47234"/>
    <w:rsid w:val="00D47281"/>
    <w:rsid w:val="00D4728D"/>
    <w:rsid w:val="00D47564"/>
    <w:rsid w:val="00D4756A"/>
    <w:rsid w:val="00D47581"/>
    <w:rsid w:val="00D47879"/>
    <w:rsid w:val="00D479EE"/>
    <w:rsid w:val="00D50295"/>
    <w:rsid w:val="00D50390"/>
    <w:rsid w:val="00D50592"/>
    <w:rsid w:val="00D5069A"/>
    <w:rsid w:val="00D50BBB"/>
    <w:rsid w:val="00D50E43"/>
    <w:rsid w:val="00D50F7E"/>
    <w:rsid w:val="00D512BB"/>
    <w:rsid w:val="00D51361"/>
    <w:rsid w:val="00D51469"/>
    <w:rsid w:val="00D51686"/>
    <w:rsid w:val="00D51887"/>
    <w:rsid w:val="00D51B8D"/>
    <w:rsid w:val="00D51BDD"/>
    <w:rsid w:val="00D51D75"/>
    <w:rsid w:val="00D5230B"/>
    <w:rsid w:val="00D52320"/>
    <w:rsid w:val="00D52365"/>
    <w:rsid w:val="00D5288D"/>
    <w:rsid w:val="00D529A9"/>
    <w:rsid w:val="00D52B2E"/>
    <w:rsid w:val="00D52B45"/>
    <w:rsid w:val="00D52E7C"/>
    <w:rsid w:val="00D52FEB"/>
    <w:rsid w:val="00D530EB"/>
    <w:rsid w:val="00D531C5"/>
    <w:rsid w:val="00D53393"/>
    <w:rsid w:val="00D535B6"/>
    <w:rsid w:val="00D53633"/>
    <w:rsid w:val="00D536FD"/>
    <w:rsid w:val="00D53E3C"/>
    <w:rsid w:val="00D53E65"/>
    <w:rsid w:val="00D54C27"/>
    <w:rsid w:val="00D54D35"/>
    <w:rsid w:val="00D54F27"/>
    <w:rsid w:val="00D55235"/>
    <w:rsid w:val="00D5528C"/>
    <w:rsid w:val="00D55518"/>
    <w:rsid w:val="00D55D78"/>
    <w:rsid w:val="00D55DFC"/>
    <w:rsid w:val="00D5646A"/>
    <w:rsid w:val="00D564CD"/>
    <w:rsid w:val="00D565A6"/>
    <w:rsid w:val="00D56916"/>
    <w:rsid w:val="00D56991"/>
    <w:rsid w:val="00D56CC2"/>
    <w:rsid w:val="00D572B2"/>
    <w:rsid w:val="00D57B32"/>
    <w:rsid w:val="00D57DE5"/>
    <w:rsid w:val="00D57F53"/>
    <w:rsid w:val="00D60239"/>
    <w:rsid w:val="00D60281"/>
    <w:rsid w:val="00D602E3"/>
    <w:rsid w:val="00D6040F"/>
    <w:rsid w:val="00D607D3"/>
    <w:rsid w:val="00D608A3"/>
    <w:rsid w:val="00D60ADA"/>
    <w:rsid w:val="00D60BF2"/>
    <w:rsid w:val="00D60CAB"/>
    <w:rsid w:val="00D60D53"/>
    <w:rsid w:val="00D61077"/>
    <w:rsid w:val="00D610FD"/>
    <w:rsid w:val="00D612AF"/>
    <w:rsid w:val="00D612CD"/>
    <w:rsid w:val="00D61681"/>
    <w:rsid w:val="00D619F3"/>
    <w:rsid w:val="00D61A87"/>
    <w:rsid w:val="00D61B09"/>
    <w:rsid w:val="00D61D9F"/>
    <w:rsid w:val="00D62017"/>
    <w:rsid w:val="00D62A5B"/>
    <w:rsid w:val="00D62B43"/>
    <w:rsid w:val="00D62ECD"/>
    <w:rsid w:val="00D63748"/>
    <w:rsid w:val="00D639F0"/>
    <w:rsid w:val="00D63A5B"/>
    <w:rsid w:val="00D63B51"/>
    <w:rsid w:val="00D63B85"/>
    <w:rsid w:val="00D63C1B"/>
    <w:rsid w:val="00D63D76"/>
    <w:rsid w:val="00D64207"/>
    <w:rsid w:val="00D64332"/>
    <w:rsid w:val="00D64481"/>
    <w:rsid w:val="00D6464B"/>
    <w:rsid w:val="00D64684"/>
    <w:rsid w:val="00D64BFF"/>
    <w:rsid w:val="00D64DE1"/>
    <w:rsid w:val="00D64E2C"/>
    <w:rsid w:val="00D64E3F"/>
    <w:rsid w:val="00D653D0"/>
    <w:rsid w:val="00D65562"/>
    <w:rsid w:val="00D656A5"/>
    <w:rsid w:val="00D659E6"/>
    <w:rsid w:val="00D6692A"/>
    <w:rsid w:val="00D66E50"/>
    <w:rsid w:val="00D66E55"/>
    <w:rsid w:val="00D67214"/>
    <w:rsid w:val="00D673C8"/>
    <w:rsid w:val="00D674DE"/>
    <w:rsid w:val="00D674E9"/>
    <w:rsid w:val="00D6781C"/>
    <w:rsid w:val="00D6793B"/>
    <w:rsid w:val="00D6799A"/>
    <w:rsid w:val="00D67C07"/>
    <w:rsid w:val="00D67C48"/>
    <w:rsid w:val="00D67CFD"/>
    <w:rsid w:val="00D7009C"/>
    <w:rsid w:val="00D70267"/>
    <w:rsid w:val="00D703C6"/>
    <w:rsid w:val="00D705C5"/>
    <w:rsid w:val="00D70634"/>
    <w:rsid w:val="00D70A1E"/>
    <w:rsid w:val="00D70E15"/>
    <w:rsid w:val="00D70E80"/>
    <w:rsid w:val="00D70F17"/>
    <w:rsid w:val="00D712DA"/>
    <w:rsid w:val="00D7158A"/>
    <w:rsid w:val="00D715E2"/>
    <w:rsid w:val="00D719EF"/>
    <w:rsid w:val="00D71AD8"/>
    <w:rsid w:val="00D71C5B"/>
    <w:rsid w:val="00D72327"/>
    <w:rsid w:val="00D727E0"/>
    <w:rsid w:val="00D7288B"/>
    <w:rsid w:val="00D72B87"/>
    <w:rsid w:val="00D72C38"/>
    <w:rsid w:val="00D72C72"/>
    <w:rsid w:val="00D72D69"/>
    <w:rsid w:val="00D72ECF"/>
    <w:rsid w:val="00D73689"/>
    <w:rsid w:val="00D73715"/>
    <w:rsid w:val="00D73984"/>
    <w:rsid w:val="00D73D49"/>
    <w:rsid w:val="00D74160"/>
    <w:rsid w:val="00D746EA"/>
    <w:rsid w:val="00D74894"/>
    <w:rsid w:val="00D74AE2"/>
    <w:rsid w:val="00D75075"/>
    <w:rsid w:val="00D75307"/>
    <w:rsid w:val="00D75359"/>
    <w:rsid w:val="00D75371"/>
    <w:rsid w:val="00D7553F"/>
    <w:rsid w:val="00D756C4"/>
    <w:rsid w:val="00D7585D"/>
    <w:rsid w:val="00D759A4"/>
    <w:rsid w:val="00D75B6F"/>
    <w:rsid w:val="00D75C9A"/>
    <w:rsid w:val="00D75D22"/>
    <w:rsid w:val="00D75DA5"/>
    <w:rsid w:val="00D76C58"/>
    <w:rsid w:val="00D76CF2"/>
    <w:rsid w:val="00D76CFC"/>
    <w:rsid w:val="00D76DD1"/>
    <w:rsid w:val="00D76E7C"/>
    <w:rsid w:val="00D76FCA"/>
    <w:rsid w:val="00D77085"/>
    <w:rsid w:val="00D772B5"/>
    <w:rsid w:val="00D775CA"/>
    <w:rsid w:val="00D77838"/>
    <w:rsid w:val="00D77A26"/>
    <w:rsid w:val="00D77AA0"/>
    <w:rsid w:val="00D77D73"/>
    <w:rsid w:val="00D77F87"/>
    <w:rsid w:val="00D77FBC"/>
    <w:rsid w:val="00D80008"/>
    <w:rsid w:val="00D80646"/>
    <w:rsid w:val="00D80AA2"/>
    <w:rsid w:val="00D80B40"/>
    <w:rsid w:val="00D80CB8"/>
    <w:rsid w:val="00D80CEC"/>
    <w:rsid w:val="00D80E9F"/>
    <w:rsid w:val="00D81269"/>
    <w:rsid w:val="00D812B7"/>
    <w:rsid w:val="00D8155B"/>
    <w:rsid w:val="00D816D5"/>
    <w:rsid w:val="00D81B78"/>
    <w:rsid w:val="00D81E79"/>
    <w:rsid w:val="00D81E96"/>
    <w:rsid w:val="00D8205C"/>
    <w:rsid w:val="00D820FD"/>
    <w:rsid w:val="00D823DA"/>
    <w:rsid w:val="00D82495"/>
    <w:rsid w:val="00D825A5"/>
    <w:rsid w:val="00D825B7"/>
    <w:rsid w:val="00D8290E"/>
    <w:rsid w:val="00D82AD1"/>
    <w:rsid w:val="00D82E6E"/>
    <w:rsid w:val="00D83040"/>
    <w:rsid w:val="00D8323B"/>
    <w:rsid w:val="00D833EC"/>
    <w:rsid w:val="00D83475"/>
    <w:rsid w:val="00D83489"/>
    <w:rsid w:val="00D837EE"/>
    <w:rsid w:val="00D838AD"/>
    <w:rsid w:val="00D83D13"/>
    <w:rsid w:val="00D841AC"/>
    <w:rsid w:val="00D84903"/>
    <w:rsid w:val="00D84AE6"/>
    <w:rsid w:val="00D84B3D"/>
    <w:rsid w:val="00D84D91"/>
    <w:rsid w:val="00D84F72"/>
    <w:rsid w:val="00D853A8"/>
    <w:rsid w:val="00D856C7"/>
    <w:rsid w:val="00D8589D"/>
    <w:rsid w:val="00D85A81"/>
    <w:rsid w:val="00D8642B"/>
    <w:rsid w:val="00D86466"/>
    <w:rsid w:val="00D86A99"/>
    <w:rsid w:val="00D86AE0"/>
    <w:rsid w:val="00D86C81"/>
    <w:rsid w:val="00D86C88"/>
    <w:rsid w:val="00D86F30"/>
    <w:rsid w:val="00D870CE"/>
    <w:rsid w:val="00D870E8"/>
    <w:rsid w:val="00D87423"/>
    <w:rsid w:val="00D8743A"/>
    <w:rsid w:val="00D87452"/>
    <w:rsid w:val="00D87485"/>
    <w:rsid w:val="00D8749B"/>
    <w:rsid w:val="00D8783D"/>
    <w:rsid w:val="00D87C1F"/>
    <w:rsid w:val="00D9009A"/>
    <w:rsid w:val="00D90174"/>
    <w:rsid w:val="00D90348"/>
    <w:rsid w:val="00D90675"/>
    <w:rsid w:val="00D907BD"/>
    <w:rsid w:val="00D907CB"/>
    <w:rsid w:val="00D90B60"/>
    <w:rsid w:val="00D90ED3"/>
    <w:rsid w:val="00D90FF0"/>
    <w:rsid w:val="00D9123C"/>
    <w:rsid w:val="00D91296"/>
    <w:rsid w:val="00D91BF2"/>
    <w:rsid w:val="00D91CFE"/>
    <w:rsid w:val="00D92CB0"/>
    <w:rsid w:val="00D930A0"/>
    <w:rsid w:val="00D93322"/>
    <w:rsid w:val="00D93A9D"/>
    <w:rsid w:val="00D93B30"/>
    <w:rsid w:val="00D93B5B"/>
    <w:rsid w:val="00D93B80"/>
    <w:rsid w:val="00D93C1C"/>
    <w:rsid w:val="00D94026"/>
    <w:rsid w:val="00D94120"/>
    <w:rsid w:val="00D94332"/>
    <w:rsid w:val="00D944D2"/>
    <w:rsid w:val="00D94F07"/>
    <w:rsid w:val="00D951DD"/>
    <w:rsid w:val="00D952ED"/>
    <w:rsid w:val="00D955E2"/>
    <w:rsid w:val="00D957FA"/>
    <w:rsid w:val="00D95825"/>
    <w:rsid w:val="00D9587F"/>
    <w:rsid w:val="00D95D5F"/>
    <w:rsid w:val="00D9601C"/>
    <w:rsid w:val="00D96525"/>
    <w:rsid w:val="00D9664C"/>
    <w:rsid w:val="00D967AB"/>
    <w:rsid w:val="00D96DFF"/>
    <w:rsid w:val="00D97226"/>
    <w:rsid w:val="00D97404"/>
    <w:rsid w:val="00D975A3"/>
    <w:rsid w:val="00D979D0"/>
    <w:rsid w:val="00D97A4C"/>
    <w:rsid w:val="00D97C61"/>
    <w:rsid w:val="00D97F2B"/>
    <w:rsid w:val="00DA04B1"/>
    <w:rsid w:val="00DA08CA"/>
    <w:rsid w:val="00DA0BDF"/>
    <w:rsid w:val="00DA0E17"/>
    <w:rsid w:val="00DA0EC3"/>
    <w:rsid w:val="00DA0F37"/>
    <w:rsid w:val="00DA101A"/>
    <w:rsid w:val="00DA10CC"/>
    <w:rsid w:val="00DA122C"/>
    <w:rsid w:val="00DA1308"/>
    <w:rsid w:val="00DA1A06"/>
    <w:rsid w:val="00DA1D8C"/>
    <w:rsid w:val="00DA20EF"/>
    <w:rsid w:val="00DA211C"/>
    <w:rsid w:val="00DA2588"/>
    <w:rsid w:val="00DA2A6D"/>
    <w:rsid w:val="00DA2A72"/>
    <w:rsid w:val="00DA2FD5"/>
    <w:rsid w:val="00DA3208"/>
    <w:rsid w:val="00DA36E2"/>
    <w:rsid w:val="00DA3A32"/>
    <w:rsid w:val="00DA3AF1"/>
    <w:rsid w:val="00DA4217"/>
    <w:rsid w:val="00DA4224"/>
    <w:rsid w:val="00DA45EB"/>
    <w:rsid w:val="00DA476E"/>
    <w:rsid w:val="00DA4838"/>
    <w:rsid w:val="00DA4989"/>
    <w:rsid w:val="00DA4C70"/>
    <w:rsid w:val="00DA4D4C"/>
    <w:rsid w:val="00DA4DC6"/>
    <w:rsid w:val="00DA51D9"/>
    <w:rsid w:val="00DA54FF"/>
    <w:rsid w:val="00DA5721"/>
    <w:rsid w:val="00DA591C"/>
    <w:rsid w:val="00DA5993"/>
    <w:rsid w:val="00DA5B56"/>
    <w:rsid w:val="00DA5B99"/>
    <w:rsid w:val="00DA5BC3"/>
    <w:rsid w:val="00DA6173"/>
    <w:rsid w:val="00DA618F"/>
    <w:rsid w:val="00DA6CE5"/>
    <w:rsid w:val="00DA6F3A"/>
    <w:rsid w:val="00DA7335"/>
    <w:rsid w:val="00DA7338"/>
    <w:rsid w:val="00DA7477"/>
    <w:rsid w:val="00DA7573"/>
    <w:rsid w:val="00DA7BD4"/>
    <w:rsid w:val="00DA7C85"/>
    <w:rsid w:val="00DB0191"/>
    <w:rsid w:val="00DB0359"/>
    <w:rsid w:val="00DB06E7"/>
    <w:rsid w:val="00DB0A29"/>
    <w:rsid w:val="00DB0A93"/>
    <w:rsid w:val="00DB0B15"/>
    <w:rsid w:val="00DB0D45"/>
    <w:rsid w:val="00DB0EF6"/>
    <w:rsid w:val="00DB0F8A"/>
    <w:rsid w:val="00DB0FF3"/>
    <w:rsid w:val="00DB114A"/>
    <w:rsid w:val="00DB1B22"/>
    <w:rsid w:val="00DB1D41"/>
    <w:rsid w:val="00DB1FC0"/>
    <w:rsid w:val="00DB22C1"/>
    <w:rsid w:val="00DB26A8"/>
    <w:rsid w:val="00DB27CF"/>
    <w:rsid w:val="00DB2AE7"/>
    <w:rsid w:val="00DB2B4A"/>
    <w:rsid w:val="00DB2C0B"/>
    <w:rsid w:val="00DB2CB7"/>
    <w:rsid w:val="00DB2FD1"/>
    <w:rsid w:val="00DB2FFA"/>
    <w:rsid w:val="00DB305E"/>
    <w:rsid w:val="00DB3113"/>
    <w:rsid w:val="00DB324C"/>
    <w:rsid w:val="00DB3FD3"/>
    <w:rsid w:val="00DB40E1"/>
    <w:rsid w:val="00DB4403"/>
    <w:rsid w:val="00DB440D"/>
    <w:rsid w:val="00DB4EFD"/>
    <w:rsid w:val="00DB509D"/>
    <w:rsid w:val="00DB5391"/>
    <w:rsid w:val="00DB5F2A"/>
    <w:rsid w:val="00DB5F47"/>
    <w:rsid w:val="00DB61AD"/>
    <w:rsid w:val="00DB63A8"/>
    <w:rsid w:val="00DB65A5"/>
    <w:rsid w:val="00DB67C4"/>
    <w:rsid w:val="00DB69F6"/>
    <w:rsid w:val="00DB6A2B"/>
    <w:rsid w:val="00DB6F45"/>
    <w:rsid w:val="00DB7020"/>
    <w:rsid w:val="00DB72B7"/>
    <w:rsid w:val="00DB7546"/>
    <w:rsid w:val="00DB782D"/>
    <w:rsid w:val="00DB79F2"/>
    <w:rsid w:val="00DC03BA"/>
    <w:rsid w:val="00DC0624"/>
    <w:rsid w:val="00DC0878"/>
    <w:rsid w:val="00DC0FC3"/>
    <w:rsid w:val="00DC1153"/>
    <w:rsid w:val="00DC12C3"/>
    <w:rsid w:val="00DC174F"/>
    <w:rsid w:val="00DC1A58"/>
    <w:rsid w:val="00DC1AC0"/>
    <w:rsid w:val="00DC1C7E"/>
    <w:rsid w:val="00DC1CDD"/>
    <w:rsid w:val="00DC1D8E"/>
    <w:rsid w:val="00DC20C3"/>
    <w:rsid w:val="00DC2247"/>
    <w:rsid w:val="00DC227A"/>
    <w:rsid w:val="00DC2360"/>
    <w:rsid w:val="00DC26E4"/>
    <w:rsid w:val="00DC2BAE"/>
    <w:rsid w:val="00DC2CEE"/>
    <w:rsid w:val="00DC31D2"/>
    <w:rsid w:val="00DC3251"/>
    <w:rsid w:val="00DC3257"/>
    <w:rsid w:val="00DC3279"/>
    <w:rsid w:val="00DC35C4"/>
    <w:rsid w:val="00DC3BF1"/>
    <w:rsid w:val="00DC3CFC"/>
    <w:rsid w:val="00DC3EAA"/>
    <w:rsid w:val="00DC3FE0"/>
    <w:rsid w:val="00DC4D1D"/>
    <w:rsid w:val="00DC4D87"/>
    <w:rsid w:val="00DC4FDE"/>
    <w:rsid w:val="00DC519A"/>
    <w:rsid w:val="00DC54EB"/>
    <w:rsid w:val="00DC580A"/>
    <w:rsid w:val="00DC5871"/>
    <w:rsid w:val="00DC5984"/>
    <w:rsid w:val="00DC5B50"/>
    <w:rsid w:val="00DC5E85"/>
    <w:rsid w:val="00DC5FF6"/>
    <w:rsid w:val="00DC60C6"/>
    <w:rsid w:val="00DC6328"/>
    <w:rsid w:val="00DC6622"/>
    <w:rsid w:val="00DC66BC"/>
    <w:rsid w:val="00DC66CC"/>
    <w:rsid w:val="00DC6850"/>
    <w:rsid w:val="00DC6BE5"/>
    <w:rsid w:val="00DC6C60"/>
    <w:rsid w:val="00DC7052"/>
    <w:rsid w:val="00DC727F"/>
    <w:rsid w:val="00DC7555"/>
    <w:rsid w:val="00DC782D"/>
    <w:rsid w:val="00DC784A"/>
    <w:rsid w:val="00DC7D59"/>
    <w:rsid w:val="00DC7E78"/>
    <w:rsid w:val="00DD0394"/>
    <w:rsid w:val="00DD0493"/>
    <w:rsid w:val="00DD0924"/>
    <w:rsid w:val="00DD0CBF"/>
    <w:rsid w:val="00DD1071"/>
    <w:rsid w:val="00DD12FD"/>
    <w:rsid w:val="00DD14EA"/>
    <w:rsid w:val="00DD1576"/>
    <w:rsid w:val="00DD15C8"/>
    <w:rsid w:val="00DD23B1"/>
    <w:rsid w:val="00DD2632"/>
    <w:rsid w:val="00DD269D"/>
    <w:rsid w:val="00DD2893"/>
    <w:rsid w:val="00DD291C"/>
    <w:rsid w:val="00DD2936"/>
    <w:rsid w:val="00DD2C73"/>
    <w:rsid w:val="00DD326B"/>
    <w:rsid w:val="00DD35BB"/>
    <w:rsid w:val="00DD3A51"/>
    <w:rsid w:val="00DD3D13"/>
    <w:rsid w:val="00DD448F"/>
    <w:rsid w:val="00DD4717"/>
    <w:rsid w:val="00DD4F74"/>
    <w:rsid w:val="00DD4F75"/>
    <w:rsid w:val="00DD531F"/>
    <w:rsid w:val="00DD5465"/>
    <w:rsid w:val="00DD556C"/>
    <w:rsid w:val="00DD5737"/>
    <w:rsid w:val="00DD5E81"/>
    <w:rsid w:val="00DD6860"/>
    <w:rsid w:val="00DD6C46"/>
    <w:rsid w:val="00DD6C7A"/>
    <w:rsid w:val="00DD6DD3"/>
    <w:rsid w:val="00DD6F44"/>
    <w:rsid w:val="00DD725B"/>
    <w:rsid w:val="00DD7CCA"/>
    <w:rsid w:val="00DE0012"/>
    <w:rsid w:val="00DE02F2"/>
    <w:rsid w:val="00DE04C5"/>
    <w:rsid w:val="00DE0944"/>
    <w:rsid w:val="00DE0BDE"/>
    <w:rsid w:val="00DE10CF"/>
    <w:rsid w:val="00DE1270"/>
    <w:rsid w:val="00DE12CE"/>
    <w:rsid w:val="00DE16F0"/>
    <w:rsid w:val="00DE1771"/>
    <w:rsid w:val="00DE1894"/>
    <w:rsid w:val="00DE1B5B"/>
    <w:rsid w:val="00DE1E1E"/>
    <w:rsid w:val="00DE217A"/>
    <w:rsid w:val="00DE21BA"/>
    <w:rsid w:val="00DE223E"/>
    <w:rsid w:val="00DE2284"/>
    <w:rsid w:val="00DE2948"/>
    <w:rsid w:val="00DE2C8F"/>
    <w:rsid w:val="00DE2D33"/>
    <w:rsid w:val="00DE3373"/>
    <w:rsid w:val="00DE34EB"/>
    <w:rsid w:val="00DE3592"/>
    <w:rsid w:val="00DE36B6"/>
    <w:rsid w:val="00DE3B03"/>
    <w:rsid w:val="00DE3E78"/>
    <w:rsid w:val="00DE3F3C"/>
    <w:rsid w:val="00DE4101"/>
    <w:rsid w:val="00DE41F8"/>
    <w:rsid w:val="00DE4297"/>
    <w:rsid w:val="00DE4555"/>
    <w:rsid w:val="00DE4B9D"/>
    <w:rsid w:val="00DE4E6A"/>
    <w:rsid w:val="00DE4F66"/>
    <w:rsid w:val="00DE50EA"/>
    <w:rsid w:val="00DE50F5"/>
    <w:rsid w:val="00DE511D"/>
    <w:rsid w:val="00DE53DF"/>
    <w:rsid w:val="00DE53F6"/>
    <w:rsid w:val="00DE545C"/>
    <w:rsid w:val="00DE5C9F"/>
    <w:rsid w:val="00DE6130"/>
    <w:rsid w:val="00DE675A"/>
    <w:rsid w:val="00DE7138"/>
    <w:rsid w:val="00DE7150"/>
    <w:rsid w:val="00DE734E"/>
    <w:rsid w:val="00DE7887"/>
    <w:rsid w:val="00DE7BF8"/>
    <w:rsid w:val="00DF007C"/>
    <w:rsid w:val="00DF0157"/>
    <w:rsid w:val="00DF09F5"/>
    <w:rsid w:val="00DF0DC3"/>
    <w:rsid w:val="00DF10A6"/>
    <w:rsid w:val="00DF120F"/>
    <w:rsid w:val="00DF1264"/>
    <w:rsid w:val="00DF14F9"/>
    <w:rsid w:val="00DF15E7"/>
    <w:rsid w:val="00DF1A8F"/>
    <w:rsid w:val="00DF1C2D"/>
    <w:rsid w:val="00DF1E62"/>
    <w:rsid w:val="00DF1E6B"/>
    <w:rsid w:val="00DF1FAE"/>
    <w:rsid w:val="00DF267F"/>
    <w:rsid w:val="00DF2A93"/>
    <w:rsid w:val="00DF2AD9"/>
    <w:rsid w:val="00DF2D1C"/>
    <w:rsid w:val="00DF2E78"/>
    <w:rsid w:val="00DF2FBF"/>
    <w:rsid w:val="00DF3289"/>
    <w:rsid w:val="00DF3655"/>
    <w:rsid w:val="00DF3896"/>
    <w:rsid w:val="00DF3BB6"/>
    <w:rsid w:val="00DF3D1C"/>
    <w:rsid w:val="00DF413A"/>
    <w:rsid w:val="00DF4231"/>
    <w:rsid w:val="00DF431E"/>
    <w:rsid w:val="00DF4A41"/>
    <w:rsid w:val="00DF4B7E"/>
    <w:rsid w:val="00DF4D05"/>
    <w:rsid w:val="00DF5114"/>
    <w:rsid w:val="00DF5207"/>
    <w:rsid w:val="00DF5350"/>
    <w:rsid w:val="00DF54D0"/>
    <w:rsid w:val="00DF5771"/>
    <w:rsid w:val="00DF580C"/>
    <w:rsid w:val="00DF5A1B"/>
    <w:rsid w:val="00DF5C1A"/>
    <w:rsid w:val="00DF6017"/>
    <w:rsid w:val="00DF622A"/>
    <w:rsid w:val="00DF634D"/>
    <w:rsid w:val="00DF6701"/>
    <w:rsid w:val="00DF6732"/>
    <w:rsid w:val="00DF6789"/>
    <w:rsid w:val="00DF67C0"/>
    <w:rsid w:val="00DF6BCB"/>
    <w:rsid w:val="00DF6CCD"/>
    <w:rsid w:val="00DF6D45"/>
    <w:rsid w:val="00DF6EE3"/>
    <w:rsid w:val="00DF6F79"/>
    <w:rsid w:val="00DF7018"/>
    <w:rsid w:val="00DF7042"/>
    <w:rsid w:val="00DF7089"/>
    <w:rsid w:val="00DF715D"/>
    <w:rsid w:val="00DF71D7"/>
    <w:rsid w:val="00DF73B1"/>
    <w:rsid w:val="00DF78FD"/>
    <w:rsid w:val="00DF7957"/>
    <w:rsid w:val="00DF7B42"/>
    <w:rsid w:val="00DF7B5A"/>
    <w:rsid w:val="00DF7DB3"/>
    <w:rsid w:val="00DF7E2B"/>
    <w:rsid w:val="00DF7EFE"/>
    <w:rsid w:val="00E0002E"/>
    <w:rsid w:val="00E00222"/>
    <w:rsid w:val="00E008F8"/>
    <w:rsid w:val="00E00E15"/>
    <w:rsid w:val="00E00F63"/>
    <w:rsid w:val="00E01210"/>
    <w:rsid w:val="00E01630"/>
    <w:rsid w:val="00E01873"/>
    <w:rsid w:val="00E01D50"/>
    <w:rsid w:val="00E01D5D"/>
    <w:rsid w:val="00E02365"/>
    <w:rsid w:val="00E02484"/>
    <w:rsid w:val="00E02664"/>
    <w:rsid w:val="00E02C4D"/>
    <w:rsid w:val="00E02CFE"/>
    <w:rsid w:val="00E02E7B"/>
    <w:rsid w:val="00E031A5"/>
    <w:rsid w:val="00E03328"/>
    <w:rsid w:val="00E0341B"/>
    <w:rsid w:val="00E0348F"/>
    <w:rsid w:val="00E035A6"/>
    <w:rsid w:val="00E038F5"/>
    <w:rsid w:val="00E039DC"/>
    <w:rsid w:val="00E03C71"/>
    <w:rsid w:val="00E03D67"/>
    <w:rsid w:val="00E04510"/>
    <w:rsid w:val="00E04784"/>
    <w:rsid w:val="00E048CB"/>
    <w:rsid w:val="00E04BE5"/>
    <w:rsid w:val="00E04C7D"/>
    <w:rsid w:val="00E05569"/>
    <w:rsid w:val="00E05620"/>
    <w:rsid w:val="00E059C7"/>
    <w:rsid w:val="00E05A6C"/>
    <w:rsid w:val="00E05D0F"/>
    <w:rsid w:val="00E05F59"/>
    <w:rsid w:val="00E06210"/>
    <w:rsid w:val="00E0655D"/>
    <w:rsid w:val="00E0662D"/>
    <w:rsid w:val="00E069E2"/>
    <w:rsid w:val="00E069E7"/>
    <w:rsid w:val="00E06A6A"/>
    <w:rsid w:val="00E070F9"/>
    <w:rsid w:val="00E071B7"/>
    <w:rsid w:val="00E07784"/>
    <w:rsid w:val="00E07A5F"/>
    <w:rsid w:val="00E07C9B"/>
    <w:rsid w:val="00E07F7C"/>
    <w:rsid w:val="00E1024A"/>
    <w:rsid w:val="00E103F7"/>
    <w:rsid w:val="00E10A21"/>
    <w:rsid w:val="00E10B17"/>
    <w:rsid w:val="00E10B67"/>
    <w:rsid w:val="00E112B9"/>
    <w:rsid w:val="00E112D4"/>
    <w:rsid w:val="00E11344"/>
    <w:rsid w:val="00E11FD2"/>
    <w:rsid w:val="00E12055"/>
    <w:rsid w:val="00E12144"/>
    <w:rsid w:val="00E12742"/>
    <w:rsid w:val="00E12AB9"/>
    <w:rsid w:val="00E12ACD"/>
    <w:rsid w:val="00E12B67"/>
    <w:rsid w:val="00E137BC"/>
    <w:rsid w:val="00E138FC"/>
    <w:rsid w:val="00E13DEB"/>
    <w:rsid w:val="00E13E90"/>
    <w:rsid w:val="00E140DE"/>
    <w:rsid w:val="00E141D3"/>
    <w:rsid w:val="00E142E0"/>
    <w:rsid w:val="00E14320"/>
    <w:rsid w:val="00E14941"/>
    <w:rsid w:val="00E14A16"/>
    <w:rsid w:val="00E14B18"/>
    <w:rsid w:val="00E14C65"/>
    <w:rsid w:val="00E14C76"/>
    <w:rsid w:val="00E14FF7"/>
    <w:rsid w:val="00E1526B"/>
    <w:rsid w:val="00E152AD"/>
    <w:rsid w:val="00E1534B"/>
    <w:rsid w:val="00E153ED"/>
    <w:rsid w:val="00E15408"/>
    <w:rsid w:val="00E15587"/>
    <w:rsid w:val="00E15743"/>
    <w:rsid w:val="00E157CC"/>
    <w:rsid w:val="00E15A19"/>
    <w:rsid w:val="00E15C52"/>
    <w:rsid w:val="00E15CAA"/>
    <w:rsid w:val="00E15EDA"/>
    <w:rsid w:val="00E15F0B"/>
    <w:rsid w:val="00E1601C"/>
    <w:rsid w:val="00E160E8"/>
    <w:rsid w:val="00E16199"/>
    <w:rsid w:val="00E1625A"/>
    <w:rsid w:val="00E16311"/>
    <w:rsid w:val="00E16747"/>
    <w:rsid w:val="00E16967"/>
    <w:rsid w:val="00E16AB2"/>
    <w:rsid w:val="00E1702C"/>
    <w:rsid w:val="00E179E6"/>
    <w:rsid w:val="00E17D28"/>
    <w:rsid w:val="00E17D56"/>
    <w:rsid w:val="00E17E56"/>
    <w:rsid w:val="00E17E8B"/>
    <w:rsid w:val="00E20292"/>
    <w:rsid w:val="00E205ED"/>
    <w:rsid w:val="00E20A08"/>
    <w:rsid w:val="00E20B88"/>
    <w:rsid w:val="00E20CC5"/>
    <w:rsid w:val="00E20CFB"/>
    <w:rsid w:val="00E212B2"/>
    <w:rsid w:val="00E21337"/>
    <w:rsid w:val="00E21425"/>
    <w:rsid w:val="00E2156B"/>
    <w:rsid w:val="00E21ACA"/>
    <w:rsid w:val="00E21CD7"/>
    <w:rsid w:val="00E21DFB"/>
    <w:rsid w:val="00E22101"/>
    <w:rsid w:val="00E223A4"/>
    <w:rsid w:val="00E226F3"/>
    <w:rsid w:val="00E22B80"/>
    <w:rsid w:val="00E22BED"/>
    <w:rsid w:val="00E22C0E"/>
    <w:rsid w:val="00E22CFF"/>
    <w:rsid w:val="00E22DAD"/>
    <w:rsid w:val="00E231CD"/>
    <w:rsid w:val="00E231E1"/>
    <w:rsid w:val="00E23363"/>
    <w:rsid w:val="00E23527"/>
    <w:rsid w:val="00E23888"/>
    <w:rsid w:val="00E238A9"/>
    <w:rsid w:val="00E23B9C"/>
    <w:rsid w:val="00E23CE3"/>
    <w:rsid w:val="00E23CED"/>
    <w:rsid w:val="00E23CF7"/>
    <w:rsid w:val="00E23CFB"/>
    <w:rsid w:val="00E23E76"/>
    <w:rsid w:val="00E23F76"/>
    <w:rsid w:val="00E240EF"/>
    <w:rsid w:val="00E2420A"/>
    <w:rsid w:val="00E2443B"/>
    <w:rsid w:val="00E2478F"/>
    <w:rsid w:val="00E249DB"/>
    <w:rsid w:val="00E24BA4"/>
    <w:rsid w:val="00E24D9A"/>
    <w:rsid w:val="00E2506E"/>
    <w:rsid w:val="00E253A3"/>
    <w:rsid w:val="00E25402"/>
    <w:rsid w:val="00E25711"/>
    <w:rsid w:val="00E259B0"/>
    <w:rsid w:val="00E25AF8"/>
    <w:rsid w:val="00E25BA2"/>
    <w:rsid w:val="00E25C70"/>
    <w:rsid w:val="00E25D43"/>
    <w:rsid w:val="00E2651B"/>
    <w:rsid w:val="00E269A8"/>
    <w:rsid w:val="00E26AE0"/>
    <w:rsid w:val="00E26AEC"/>
    <w:rsid w:val="00E26F56"/>
    <w:rsid w:val="00E27485"/>
    <w:rsid w:val="00E2757B"/>
    <w:rsid w:val="00E27672"/>
    <w:rsid w:val="00E2783D"/>
    <w:rsid w:val="00E2792D"/>
    <w:rsid w:val="00E27AD3"/>
    <w:rsid w:val="00E27C4E"/>
    <w:rsid w:val="00E27E53"/>
    <w:rsid w:val="00E30304"/>
    <w:rsid w:val="00E30420"/>
    <w:rsid w:val="00E304AD"/>
    <w:rsid w:val="00E30670"/>
    <w:rsid w:val="00E3077E"/>
    <w:rsid w:val="00E30828"/>
    <w:rsid w:val="00E30B37"/>
    <w:rsid w:val="00E3109C"/>
    <w:rsid w:val="00E311D1"/>
    <w:rsid w:val="00E31487"/>
    <w:rsid w:val="00E31814"/>
    <w:rsid w:val="00E31C2D"/>
    <w:rsid w:val="00E31D5A"/>
    <w:rsid w:val="00E31D5C"/>
    <w:rsid w:val="00E31DB7"/>
    <w:rsid w:val="00E32432"/>
    <w:rsid w:val="00E32C41"/>
    <w:rsid w:val="00E32CB0"/>
    <w:rsid w:val="00E33B1E"/>
    <w:rsid w:val="00E33BDB"/>
    <w:rsid w:val="00E34277"/>
    <w:rsid w:val="00E34D68"/>
    <w:rsid w:val="00E34F53"/>
    <w:rsid w:val="00E35132"/>
    <w:rsid w:val="00E35157"/>
    <w:rsid w:val="00E352DB"/>
    <w:rsid w:val="00E354EB"/>
    <w:rsid w:val="00E35792"/>
    <w:rsid w:val="00E35A30"/>
    <w:rsid w:val="00E3621B"/>
    <w:rsid w:val="00E36302"/>
    <w:rsid w:val="00E36F43"/>
    <w:rsid w:val="00E37115"/>
    <w:rsid w:val="00E37143"/>
    <w:rsid w:val="00E37379"/>
    <w:rsid w:val="00E3757F"/>
    <w:rsid w:val="00E379C9"/>
    <w:rsid w:val="00E37B96"/>
    <w:rsid w:val="00E37DB3"/>
    <w:rsid w:val="00E37E26"/>
    <w:rsid w:val="00E37F0C"/>
    <w:rsid w:val="00E37F7F"/>
    <w:rsid w:val="00E400AE"/>
    <w:rsid w:val="00E4045C"/>
    <w:rsid w:val="00E4049E"/>
    <w:rsid w:val="00E405BD"/>
    <w:rsid w:val="00E40680"/>
    <w:rsid w:val="00E40713"/>
    <w:rsid w:val="00E40ADF"/>
    <w:rsid w:val="00E40B5D"/>
    <w:rsid w:val="00E40C06"/>
    <w:rsid w:val="00E4124F"/>
    <w:rsid w:val="00E4171D"/>
    <w:rsid w:val="00E418E3"/>
    <w:rsid w:val="00E419BD"/>
    <w:rsid w:val="00E4232E"/>
    <w:rsid w:val="00E423DE"/>
    <w:rsid w:val="00E42C00"/>
    <w:rsid w:val="00E42F07"/>
    <w:rsid w:val="00E431F3"/>
    <w:rsid w:val="00E436CF"/>
    <w:rsid w:val="00E4370F"/>
    <w:rsid w:val="00E43835"/>
    <w:rsid w:val="00E438E6"/>
    <w:rsid w:val="00E43B05"/>
    <w:rsid w:val="00E43BE5"/>
    <w:rsid w:val="00E43BF1"/>
    <w:rsid w:val="00E43F8D"/>
    <w:rsid w:val="00E4441D"/>
    <w:rsid w:val="00E4444B"/>
    <w:rsid w:val="00E4486B"/>
    <w:rsid w:val="00E44B7E"/>
    <w:rsid w:val="00E44F7B"/>
    <w:rsid w:val="00E45172"/>
    <w:rsid w:val="00E453AB"/>
    <w:rsid w:val="00E45492"/>
    <w:rsid w:val="00E454A0"/>
    <w:rsid w:val="00E454A7"/>
    <w:rsid w:val="00E45784"/>
    <w:rsid w:val="00E45E54"/>
    <w:rsid w:val="00E460FF"/>
    <w:rsid w:val="00E462E6"/>
    <w:rsid w:val="00E463A0"/>
    <w:rsid w:val="00E46BAE"/>
    <w:rsid w:val="00E470AA"/>
    <w:rsid w:val="00E473FE"/>
    <w:rsid w:val="00E47839"/>
    <w:rsid w:val="00E47F54"/>
    <w:rsid w:val="00E5065A"/>
    <w:rsid w:val="00E5096A"/>
    <w:rsid w:val="00E50D11"/>
    <w:rsid w:val="00E50DB7"/>
    <w:rsid w:val="00E510D4"/>
    <w:rsid w:val="00E513CB"/>
    <w:rsid w:val="00E5171F"/>
    <w:rsid w:val="00E51B41"/>
    <w:rsid w:val="00E51CDE"/>
    <w:rsid w:val="00E51EAD"/>
    <w:rsid w:val="00E5210B"/>
    <w:rsid w:val="00E52599"/>
    <w:rsid w:val="00E52A66"/>
    <w:rsid w:val="00E52AEA"/>
    <w:rsid w:val="00E52FDC"/>
    <w:rsid w:val="00E530E7"/>
    <w:rsid w:val="00E530FB"/>
    <w:rsid w:val="00E53631"/>
    <w:rsid w:val="00E53705"/>
    <w:rsid w:val="00E5388F"/>
    <w:rsid w:val="00E53B51"/>
    <w:rsid w:val="00E53CB9"/>
    <w:rsid w:val="00E53F4E"/>
    <w:rsid w:val="00E53F7A"/>
    <w:rsid w:val="00E54239"/>
    <w:rsid w:val="00E54272"/>
    <w:rsid w:val="00E542BC"/>
    <w:rsid w:val="00E544C1"/>
    <w:rsid w:val="00E54521"/>
    <w:rsid w:val="00E545B5"/>
    <w:rsid w:val="00E54617"/>
    <w:rsid w:val="00E5484B"/>
    <w:rsid w:val="00E55520"/>
    <w:rsid w:val="00E55C2D"/>
    <w:rsid w:val="00E55CE6"/>
    <w:rsid w:val="00E56023"/>
    <w:rsid w:val="00E561C8"/>
    <w:rsid w:val="00E562A5"/>
    <w:rsid w:val="00E56446"/>
    <w:rsid w:val="00E56542"/>
    <w:rsid w:val="00E5666B"/>
    <w:rsid w:val="00E5674D"/>
    <w:rsid w:val="00E568EC"/>
    <w:rsid w:val="00E56A27"/>
    <w:rsid w:val="00E56D6E"/>
    <w:rsid w:val="00E56DB3"/>
    <w:rsid w:val="00E56F70"/>
    <w:rsid w:val="00E56FEF"/>
    <w:rsid w:val="00E577F9"/>
    <w:rsid w:val="00E57C7A"/>
    <w:rsid w:val="00E57FB5"/>
    <w:rsid w:val="00E60176"/>
    <w:rsid w:val="00E60318"/>
    <w:rsid w:val="00E603AF"/>
    <w:rsid w:val="00E60522"/>
    <w:rsid w:val="00E60A3F"/>
    <w:rsid w:val="00E60E74"/>
    <w:rsid w:val="00E60F14"/>
    <w:rsid w:val="00E610BB"/>
    <w:rsid w:val="00E613B8"/>
    <w:rsid w:val="00E6158E"/>
    <w:rsid w:val="00E61B23"/>
    <w:rsid w:val="00E61D69"/>
    <w:rsid w:val="00E61D80"/>
    <w:rsid w:val="00E622E9"/>
    <w:rsid w:val="00E62510"/>
    <w:rsid w:val="00E625BE"/>
    <w:rsid w:val="00E6284B"/>
    <w:rsid w:val="00E62A7E"/>
    <w:rsid w:val="00E62BDD"/>
    <w:rsid w:val="00E62D07"/>
    <w:rsid w:val="00E62D8C"/>
    <w:rsid w:val="00E62DF6"/>
    <w:rsid w:val="00E63382"/>
    <w:rsid w:val="00E637FB"/>
    <w:rsid w:val="00E63804"/>
    <w:rsid w:val="00E63A22"/>
    <w:rsid w:val="00E63B8F"/>
    <w:rsid w:val="00E63E09"/>
    <w:rsid w:val="00E63E28"/>
    <w:rsid w:val="00E646B5"/>
    <w:rsid w:val="00E64AAF"/>
    <w:rsid w:val="00E64B40"/>
    <w:rsid w:val="00E65427"/>
    <w:rsid w:val="00E6543F"/>
    <w:rsid w:val="00E65603"/>
    <w:rsid w:val="00E65B08"/>
    <w:rsid w:val="00E65C6B"/>
    <w:rsid w:val="00E65C73"/>
    <w:rsid w:val="00E65FAB"/>
    <w:rsid w:val="00E6616D"/>
    <w:rsid w:val="00E661C0"/>
    <w:rsid w:val="00E6627A"/>
    <w:rsid w:val="00E663F5"/>
    <w:rsid w:val="00E66E97"/>
    <w:rsid w:val="00E66F44"/>
    <w:rsid w:val="00E67576"/>
    <w:rsid w:val="00E67690"/>
    <w:rsid w:val="00E67CC2"/>
    <w:rsid w:val="00E67DB2"/>
    <w:rsid w:val="00E67FD8"/>
    <w:rsid w:val="00E702E4"/>
    <w:rsid w:val="00E70763"/>
    <w:rsid w:val="00E70903"/>
    <w:rsid w:val="00E70982"/>
    <w:rsid w:val="00E70BD6"/>
    <w:rsid w:val="00E70CD0"/>
    <w:rsid w:val="00E7120D"/>
    <w:rsid w:val="00E71232"/>
    <w:rsid w:val="00E71305"/>
    <w:rsid w:val="00E7148E"/>
    <w:rsid w:val="00E715C0"/>
    <w:rsid w:val="00E715F3"/>
    <w:rsid w:val="00E71F37"/>
    <w:rsid w:val="00E71F86"/>
    <w:rsid w:val="00E72383"/>
    <w:rsid w:val="00E724D2"/>
    <w:rsid w:val="00E7294B"/>
    <w:rsid w:val="00E72CA9"/>
    <w:rsid w:val="00E72D9F"/>
    <w:rsid w:val="00E73083"/>
    <w:rsid w:val="00E732FE"/>
    <w:rsid w:val="00E73A0B"/>
    <w:rsid w:val="00E73C41"/>
    <w:rsid w:val="00E73F2F"/>
    <w:rsid w:val="00E7400A"/>
    <w:rsid w:val="00E74521"/>
    <w:rsid w:val="00E746C0"/>
    <w:rsid w:val="00E747FC"/>
    <w:rsid w:val="00E74933"/>
    <w:rsid w:val="00E74E6D"/>
    <w:rsid w:val="00E74EDC"/>
    <w:rsid w:val="00E74F07"/>
    <w:rsid w:val="00E750D5"/>
    <w:rsid w:val="00E7534B"/>
    <w:rsid w:val="00E75737"/>
    <w:rsid w:val="00E75875"/>
    <w:rsid w:val="00E75886"/>
    <w:rsid w:val="00E7597B"/>
    <w:rsid w:val="00E75D6E"/>
    <w:rsid w:val="00E76007"/>
    <w:rsid w:val="00E76181"/>
    <w:rsid w:val="00E76412"/>
    <w:rsid w:val="00E7667D"/>
    <w:rsid w:val="00E766F9"/>
    <w:rsid w:val="00E76970"/>
    <w:rsid w:val="00E76E49"/>
    <w:rsid w:val="00E7701D"/>
    <w:rsid w:val="00E770F2"/>
    <w:rsid w:val="00E7715C"/>
    <w:rsid w:val="00E77A39"/>
    <w:rsid w:val="00E77C89"/>
    <w:rsid w:val="00E77EAC"/>
    <w:rsid w:val="00E800BB"/>
    <w:rsid w:val="00E8038E"/>
    <w:rsid w:val="00E80AE4"/>
    <w:rsid w:val="00E80B86"/>
    <w:rsid w:val="00E81069"/>
    <w:rsid w:val="00E8131B"/>
    <w:rsid w:val="00E8133A"/>
    <w:rsid w:val="00E81561"/>
    <w:rsid w:val="00E81642"/>
    <w:rsid w:val="00E817AD"/>
    <w:rsid w:val="00E817EF"/>
    <w:rsid w:val="00E8184F"/>
    <w:rsid w:val="00E81895"/>
    <w:rsid w:val="00E81953"/>
    <w:rsid w:val="00E81A35"/>
    <w:rsid w:val="00E81F86"/>
    <w:rsid w:val="00E8268A"/>
    <w:rsid w:val="00E826E0"/>
    <w:rsid w:val="00E82871"/>
    <w:rsid w:val="00E828D5"/>
    <w:rsid w:val="00E8290F"/>
    <w:rsid w:val="00E82D81"/>
    <w:rsid w:val="00E82F6B"/>
    <w:rsid w:val="00E83259"/>
    <w:rsid w:val="00E83961"/>
    <w:rsid w:val="00E839BE"/>
    <w:rsid w:val="00E839E6"/>
    <w:rsid w:val="00E83CAC"/>
    <w:rsid w:val="00E8489A"/>
    <w:rsid w:val="00E84B61"/>
    <w:rsid w:val="00E84C89"/>
    <w:rsid w:val="00E85102"/>
    <w:rsid w:val="00E85122"/>
    <w:rsid w:val="00E8519A"/>
    <w:rsid w:val="00E85B3A"/>
    <w:rsid w:val="00E85E1C"/>
    <w:rsid w:val="00E85E56"/>
    <w:rsid w:val="00E860DD"/>
    <w:rsid w:val="00E86354"/>
    <w:rsid w:val="00E867F0"/>
    <w:rsid w:val="00E86AC0"/>
    <w:rsid w:val="00E86B37"/>
    <w:rsid w:val="00E86B6F"/>
    <w:rsid w:val="00E86B8B"/>
    <w:rsid w:val="00E86BCF"/>
    <w:rsid w:val="00E86D5C"/>
    <w:rsid w:val="00E86DB0"/>
    <w:rsid w:val="00E86DEA"/>
    <w:rsid w:val="00E8713D"/>
    <w:rsid w:val="00E87371"/>
    <w:rsid w:val="00E87414"/>
    <w:rsid w:val="00E879BC"/>
    <w:rsid w:val="00E87CD5"/>
    <w:rsid w:val="00E87CE2"/>
    <w:rsid w:val="00E87CF4"/>
    <w:rsid w:val="00E87E69"/>
    <w:rsid w:val="00E90329"/>
    <w:rsid w:val="00E90E35"/>
    <w:rsid w:val="00E90EC5"/>
    <w:rsid w:val="00E90F69"/>
    <w:rsid w:val="00E90FCB"/>
    <w:rsid w:val="00E910D5"/>
    <w:rsid w:val="00E911CB"/>
    <w:rsid w:val="00E914C8"/>
    <w:rsid w:val="00E91595"/>
    <w:rsid w:val="00E915E0"/>
    <w:rsid w:val="00E922C4"/>
    <w:rsid w:val="00E927A0"/>
    <w:rsid w:val="00E93346"/>
    <w:rsid w:val="00E93807"/>
    <w:rsid w:val="00E93867"/>
    <w:rsid w:val="00E93E6C"/>
    <w:rsid w:val="00E943AE"/>
    <w:rsid w:val="00E9455E"/>
    <w:rsid w:val="00E946E4"/>
    <w:rsid w:val="00E946F0"/>
    <w:rsid w:val="00E947B0"/>
    <w:rsid w:val="00E95040"/>
    <w:rsid w:val="00E95399"/>
    <w:rsid w:val="00E9543F"/>
    <w:rsid w:val="00E9560B"/>
    <w:rsid w:val="00E957DD"/>
    <w:rsid w:val="00E95A86"/>
    <w:rsid w:val="00E95B98"/>
    <w:rsid w:val="00E95D82"/>
    <w:rsid w:val="00E95DC9"/>
    <w:rsid w:val="00E95F21"/>
    <w:rsid w:val="00E960A3"/>
    <w:rsid w:val="00E9617F"/>
    <w:rsid w:val="00E96273"/>
    <w:rsid w:val="00E963D3"/>
    <w:rsid w:val="00E965E5"/>
    <w:rsid w:val="00E9669D"/>
    <w:rsid w:val="00E96947"/>
    <w:rsid w:val="00E96DF6"/>
    <w:rsid w:val="00E96E97"/>
    <w:rsid w:val="00E96F23"/>
    <w:rsid w:val="00E97162"/>
    <w:rsid w:val="00E9719B"/>
    <w:rsid w:val="00E97512"/>
    <w:rsid w:val="00E978DA"/>
    <w:rsid w:val="00E97ADE"/>
    <w:rsid w:val="00E97B44"/>
    <w:rsid w:val="00E97D49"/>
    <w:rsid w:val="00E97FAB"/>
    <w:rsid w:val="00EA0251"/>
    <w:rsid w:val="00EA0905"/>
    <w:rsid w:val="00EA0A66"/>
    <w:rsid w:val="00EA0D16"/>
    <w:rsid w:val="00EA1065"/>
    <w:rsid w:val="00EA1434"/>
    <w:rsid w:val="00EA1A6B"/>
    <w:rsid w:val="00EA1ADA"/>
    <w:rsid w:val="00EA1DEE"/>
    <w:rsid w:val="00EA2193"/>
    <w:rsid w:val="00EA2579"/>
    <w:rsid w:val="00EA25A9"/>
    <w:rsid w:val="00EA2687"/>
    <w:rsid w:val="00EA26B3"/>
    <w:rsid w:val="00EA2921"/>
    <w:rsid w:val="00EA2F0E"/>
    <w:rsid w:val="00EA32B3"/>
    <w:rsid w:val="00EA3487"/>
    <w:rsid w:val="00EA3C3E"/>
    <w:rsid w:val="00EA3DD1"/>
    <w:rsid w:val="00EA3F67"/>
    <w:rsid w:val="00EA4165"/>
    <w:rsid w:val="00EA43AE"/>
    <w:rsid w:val="00EA43C9"/>
    <w:rsid w:val="00EA44A7"/>
    <w:rsid w:val="00EA4694"/>
    <w:rsid w:val="00EA48D3"/>
    <w:rsid w:val="00EA53E6"/>
    <w:rsid w:val="00EA546B"/>
    <w:rsid w:val="00EA57C5"/>
    <w:rsid w:val="00EA5879"/>
    <w:rsid w:val="00EA5D7E"/>
    <w:rsid w:val="00EA5F31"/>
    <w:rsid w:val="00EA5F92"/>
    <w:rsid w:val="00EA602B"/>
    <w:rsid w:val="00EA64B4"/>
    <w:rsid w:val="00EA65F1"/>
    <w:rsid w:val="00EA6665"/>
    <w:rsid w:val="00EA6935"/>
    <w:rsid w:val="00EA6967"/>
    <w:rsid w:val="00EA6A88"/>
    <w:rsid w:val="00EA6B31"/>
    <w:rsid w:val="00EA6CD0"/>
    <w:rsid w:val="00EA6F44"/>
    <w:rsid w:val="00EA6F53"/>
    <w:rsid w:val="00EA75ED"/>
    <w:rsid w:val="00EA7613"/>
    <w:rsid w:val="00EA766B"/>
    <w:rsid w:val="00EA775E"/>
    <w:rsid w:val="00EA793B"/>
    <w:rsid w:val="00EA7A7E"/>
    <w:rsid w:val="00EA7BB4"/>
    <w:rsid w:val="00EA7DDE"/>
    <w:rsid w:val="00EB000C"/>
    <w:rsid w:val="00EB00B5"/>
    <w:rsid w:val="00EB01A9"/>
    <w:rsid w:val="00EB05DA"/>
    <w:rsid w:val="00EB09BF"/>
    <w:rsid w:val="00EB0AEE"/>
    <w:rsid w:val="00EB0D24"/>
    <w:rsid w:val="00EB119E"/>
    <w:rsid w:val="00EB1230"/>
    <w:rsid w:val="00EB1319"/>
    <w:rsid w:val="00EB1455"/>
    <w:rsid w:val="00EB190F"/>
    <w:rsid w:val="00EB1AE8"/>
    <w:rsid w:val="00EB1B4D"/>
    <w:rsid w:val="00EB1E26"/>
    <w:rsid w:val="00EB2268"/>
    <w:rsid w:val="00EB235B"/>
    <w:rsid w:val="00EB29AF"/>
    <w:rsid w:val="00EB2A65"/>
    <w:rsid w:val="00EB30D9"/>
    <w:rsid w:val="00EB31A3"/>
    <w:rsid w:val="00EB325B"/>
    <w:rsid w:val="00EB33CD"/>
    <w:rsid w:val="00EB3833"/>
    <w:rsid w:val="00EB384B"/>
    <w:rsid w:val="00EB3891"/>
    <w:rsid w:val="00EB38A7"/>
    <w:rsid w:val="00EB3D3E"/>
    <w:rsid w:val="00EB3E07"/>
    <w:rsid w:val="00EB3E22"/>
    <w:rsid w:val="00EB435D"/>
    <w:rsid w:val="00EB4845"/>
    <w:rsid w:val="00EB4870"/>
    <w:rsid w:val="00EB4874"/>
    <w:rsid w:val="00EB48A5"/>
    <w:rsid w:val="00EB4BE4"/>
    <w:rsid w:val="00EB4DC6"/>
    <w:rsid w:val="00EB4DD1"/>
    <w:rsid w:val="00EB5228"/>
    <w:rsid w:val="00EB54F0"/>
    <w:rsid w:val="00EB5FC6"/>
    <w:rsid w:val="00EB6151"/>
    <w:rsid w:val="00EB62EA"/>
    <w:rsid w:val="00EB64C9"/>
    <w:rsid w:val="00EB65E9"/>
    <w:rsid w:val="00EB693B"/>
    <w:rsid w:val="00EB6E04"/>
    <w:rsid w:val="00EB6F07"/>
    <w:rsid w:val="00EB6FEA"/>
    <w:rsid w:val="00EB77EA"/>
    <w:rsid w:val="00EB7905"/>
    <w:rsid w:val="00EB7BA9"/>
    <w:rsid w:val="00EB7D47"/>
    <w:rsid w:val="00EB7D75"/>
    <w:rsid w:val="00EC02B9"/>
    <w:rsid w:val="00EC0605"/>
    <w:rsid w:val="00EC0B20"/>
    <w:rsid w:val="00EC0EE7"/>
    <w:rsid w:val="00EC11FF"/>
    <w:rsid w:val="00EC1864"/>
    <w:rsid w:val="00EC1AAF"/>
    <w:rsid w:val="00EC1B2A"/>
    <w:rsid w:val="00EC1C3A"/>
    <w:rsid w:val="00EC1DDE"/>
    <w:rsid w:val="00EC1F51"/>
    <w:rsid w:val="00EC264F"/>
    <w:rsid w:val="00EC2893"/>
    <w:rsid w:val="00EC2978"/>
    <w:rsid w:val="00EC2AB6"/>
    <w:rsid w:val="00EC2B1D"/>
    <w:rsid w:val="00EC2DB5"/>
    <w:rsid w:val="00EC3005"/>
    <w:rsid w:val="00EC3168"/>
    <w:rsid w:val="00EC347D"/>
    <w:rsid w:val="00EC3654"/>
    <w:rsid w:val="00EC37EE"/>
    <w:rsid w:val="00EC3DD0"/>
    <w:rsid w:val="00EC3EAA"/>
    <w:rsid w:val="00EC4233"/>
    <w:rsid w:val="00EC4537"/>
    <w:rsid w:val="00EC4544"/>
    <w:rsid w:val="00EC4A85"/>
    <w:rsid w:val="00EC55C2"/>
    <w:rsid w:val="00EC574E"/>
    <w:rsid w:val="00EC57B2"/>
    <w:rsid w:val="00EC58F4"/>
    <w:rsid w:val="00EC5A22"/>
    <w:rsid w:val="00EC5FE1"/>
    <w:rsid w:val="00EC6388"/>
    <w:rsid w:val="00EC650B"/>
    <w:rsid w:val="00EC6528"/>
    <w:rsid w:val="00EC66A5"/>
    <w:rsid w:val="00EC68D7"/>
    <w:rsid w:val="00EC6CE7"/>
    <w:rsid w:val="00EC6E34"/>
    <w:rsid w:val="00EC7239"/>
    <w:rsid w:val="00EC774F"/>
    <w:rsid w:val="00EC7797"/>
    <w:rsid w:val="00EC7808"/>
    <w:rsid w:val="00EC7AD4"/>
    <w:rsid w:val="00EC7BFA"/>
    <w:rsid w:val="00EC7FE4"/>
    <w:rsid w:val="00ED042E"/>
    <w:rsid w:val="00ED04C2"/>
    <w:rsid w:val="00ED08A4"/>
    <w:rsid w:val="00ED09A2"/>
    <w:rsid w:val="00ED0E19"/>
    <w:rsid w:val="00ED1295"/>
    <w:rsid w:val="00ED1812"/>
    <w:rsid w:val="00ED1955"/>
    <w:rsid w:val="00ED248C"/>
    <w:rsid w:val="00ED249E"/>
    <w:rsid w:val="00ED271F"/>
    <w:rsid w:val="00ED2725"/>
    <w:rsid w:val="00ED2C08"/>
    <w:rsid w:val="00ED2CB3"/>
    <w:rsid w:val="00ED30FA"/>
    <w:rsid w:val="00ED3134"/>
    <w:rsid w:val="00ED313F"/>
    <w:rsid w:val="00ED340B"/>
    <w:rsid w:val="00ED34D1"/>
    <w:rsid w:val="00ED35F3"/>
    <w:rsid w:val="00ED367F"/>
    <w:rsid w:val="00ED3684"/>
    <w:rsid w:val="00ED37F2"/>
    <w:rsid w:val="00ED3C8A"/>
    <w:rsid w:val="00ED4206"/>
    <w:rsid w:val="00ED4420"/>
    <w:rsid w:val="00ED4C34"/>
    <w:rsid w:val="00ED4C88"/>
    <w:rsid w:val="00ED4D02"/>
    <w:rsid w:val="00ED4FC2"/>
    <w:rsid w:val="00ED58A2"/>
    <w:rsid w:val="00ED58C3"/>
    <w:rsid w:val="00ED59E4"/>
    <w:rsid w:val="00ED5C71"/>
    <w:rsid w:val="00ED5D0E"/>
    <w:rsid w:val="00ED5EEE"/>
    <w:rsid w:val="00ED5FD2"/>
    <w:rsid w:val="00ED61AD"/>
    <w:rsid w:val="00ED667C"/>
    <w:rsid w:val="00ED68CF"/>
    <w:rsid w:val="00ED6B1A"/>
    <w:rsid w:val="00ED6BC5"/>
    <w:rsid w:val="00ED6E6E"/>
    <w:rsid w:val="00ED74DB"/>
    <w:rsid w:val="00ED7966"/>
    <w:rsid w:val="00ED7BD6"/>
    <w:rsid w:val="00ED7D9C"/>
    <w:rsid w:val="00EE0143"/>
    <w:rsid w:val="00EE01CC"/>
    <w:rsid w:val="00EE0339"/>
    <w:rsid w:val="00EE03C3"/>
    <w:rsid w:val="00EE04EE"/>
    <w:rsid w:val="00EE0730"/>
    <w:rsid w:val="00EE0DE8"/>
    <w:rsid w:val="00EE1180"/>
    <w:rsid w:val="00EE14C5"/>
    <w:rsid w:val="00EE1760"/>
    <w:rsid w:val="00EE17A6"/>
    <w:rsid w:val="00EE1D2E"/>
    <w:rsid w:val="00EE20E4"/>
    <w:rsid w:val="00EE2168"/>
    <w:rsid w:val="00EE287D"/>
    <w:rsid w:val="00EE38C4"/>
    <w:rsid w:val="00EE3969"/>
    <w:rsid w:val="00EE3B32"/>
    <w:rsid w:val="00EE3CFF"/>
    <w:rsid w:val="00EE3F39"/>
    <w:rsid w:val="00EE414C"/>
    <w:rsid w:val="00EE44FE"/>
    <w:rsid w:val="00EE451B"/>
    <w:rsid w:val="00EE4677"/>
    <w:rsid w:val="00EE4AEB"/>
    <w:rsid w:val="00EE4B66"/>
    <w:rsid w:val="00EE4B74"/>
    <w:rsid w:val="00EE5406"/>
    <w:rsid w:val="00EE5A52"/>
    <w:rsid w:val="00EE5EF8"/>
    <w:rsid w:val="00EE5F42"/>
    <w:rsid w:val="00EE6964"/>
    <w:rsid w:val="00EE6A1D"/>
    <w:rsid w:val="00EE6A40"/>
    <w:rsid w:val="00EE6B81"/>
    <w:rsid w:val="00EE6BA0"/>
    <w:rsid w:val="00EE6C7D"/>
    <w:rsid w:val="00EE6D18"/>
    <w:rsid w:val="00EE6D5A"/>
    <w:rsid w:val="00EE6F99"/>
    <w:rsid w:val="00EE7E7A"/>
    <w:rsid w:val="00EF0022"/>
    <w:rsid w:val="00EF04AA"/>
    <w:rsid w:val="00EF051F"/>
    <w:rsid w:val="00EF0802"/>
    <w:rsid w:val="00EF11AD"/>
    <w:rsid w:val="00EF1230"/>
    <w:rsid w:val="00EF129B"/>
    <w:rsid w:val="00EF17AB"/>
    <w:rsid w:val="00EF1B60"/>
    <w:rsid w:val="00EF1D61"/>
    <w:rsid w:val="00EF1FBD"/>
    <w:rsid w:val="00EF207F"/>
    <w:rsid w:val="00EF223B"/>
    <w:rsid w:val="00EF22F8"/>
    <w:rsid w:val="00EF293C"/>
    <w:rsid w:val="00EF29DE"/>
    <w:rsid w:val="00EF31DF"/>
    <w:rsid w:val="00EF3326"/>
    <w:rsid w:val="00EF36BE"/>
    <w:rsid w:val="00EF3978"/>
    <w:rsid w:val="00EF3AAC"/>
    <w:rsid w:val="00EF3FD2"/>
    <w:rsid w:val="00EF427E"/>
    <w:rsid w:val="00EF4A6E"/>
    <w:rsid w:val="00EF4B50"/>
    <w:rsid w:val="00EF4CB8"/>
    <w:rsid w:val="00EF4D42"/>
    <w:rsid w:val="00EF4F86"/>
    <w:rsid w:val="00EF4FD1"/>
    <w:rsid w:val="00EF5318"/>
    <w:rsid w:val="00EF5895"/>
    <w:rsid w:val="00EF5D93"/>
    <w:rsid w:val="00EF6036"/>
    <w:rsid w:val="00EF6C78"/>
    <w:rsid w:val="00EF708A"/>
    <w:rsid w:val="00EF72C3"/>
    <w:rsid w:val="00EF79CE"/>
    <w:rsid w:val="00EF7A55"/>
    <w:rsid w:val="00EF7B31"/>
    <w:rsid w:val="00EF7D8A"/>
    <w:rsid w:val="00EF7EE8"/>
    <w:rsid w:val="00EF7FAD"/>
    <w:rsid w:val="00F00152"/>
    <w:rsid w:val="00F001F8"/>
    <w:rsid w:val="00F00352"/>
    <w:rsid w:val="00F00B1B"/>
    <w:rsid w:val="00F00C7E"/>
    <w:rsid w:val="00F00E37"/>
    <w:rsid w:val="00F010EE"/>
    <w:rsid w:val="00F01383"/>
    <w:rsid w:val="00F015EF"/>
    <w:rsid w:val="00F0167D"/>
    <w:rsid w:val="00F016A8"/>
    <w:rsid w:val="00F0177A"/>
    <w:rsid w:val="00F019D5"/>
    <w:rsid w:val="00F01DF6"/>
    <w:rsid w:val="00F01EA2"/>
    <w:rsid w:val="00F020E8"/>
    <w:rsid w:val="00F02339"/>
    <w:rsid w:val="00F0240B"/>
    <w:rsid w:val="00F02500"/>
    <w:rsid w:val="00F02542"/>
    <w:rsid w:val="00F02887"/>
    <w:rsid w:val="00F028AC"/>
    <w:rsid w:val="00F02A41"/>
    <w:rsid w:val="00F02C68"/>
    <w:rsid w:val="00F02EC5"/>
    <w:rsid w:val="00F032E2"/>
    <w:rsid w:val="00F0353C"/>
    <w:rsid w:val="00F037E3"/>
    <w:rsid w:val="00F03A47"/>
    <w:rsid w:val="00F03D0C"/>
    <w:rsid w:val="00F03D6A"/>
    <w:rsid w:val="00F03E15"/>
    <w:rsid w:val="00F03FF2"/>
    <w:rsid w:val="00F0418F"/>
    <w:rsid w:val="00F0426F"/>
    <w:rsid w:val="00F04955"/>
    <w:rsid w:val="00F04AAC"/>
    <w:rsid w:val="00F04BEE"/>
    <w:rsid w:val="00F04C28"/>
    <w:rsid w:val="00F04F9E"/>
    <w:rsid w:val="00F0508A"/>
    <w:rsid w:val="00F05A84"/>
    <w:rsid w:val="00F05D81"/>
    <w:rsid w:val="00F0667D"/>
    <w:rsid w:val="00F06A47"/>
    <w:rsid w:val="00F06AA5"/>
    <w:rsid w:val="00F06CBD"/>
    <w:rsid w:val="00F06E0B"/>
    <w:rsid w:val="00F0717F"/>
    <w:rsid w:val="00F0747A"/>
    <w:rsid w:val="00F0783F"/>
    <w:rsid w:val="00F07849"/>
    <w:rsid w:val="00F07882"/>
    <w:rsid w:val="00F07883"/>
    <w:rsid w:val="00F07C9E"/>
    <w:rsid w:val="00F07E90"/>
    <w:rsid w:val="00F10067"/>
    <w:rsid w:val="00F10177"/>
    <w:rsid w:val="00F10260"/>
    <w:rsid w:val="00F104D5"/>
    <w:rsid w:val="00F10598"/>
    <w:rsid w:val="00F10AEF"/>
    <w:rsid w:val="00F10C75"/>
    <w:rsid w:val="00F10D2E"/>
    <w:rsid w:val="00F10D83"/>
    <w:rsid w:val="00F115B8"/>
    <w:rsid w:val="00F1196B"/>
    <w:rsid w:val="00F11A6A"/>
    <w:rsid w:val="00F11E04"/>
    <w:rsid w:val="00F126BD"/>
    <w:rsid w:val="00F128D0"/>
    <w:rsid w:val="00F12957"/>
    <w:rsid w:val="00F13178"/>
    <w:rsid w:val="00F13433"/>
    <w:rsid w:val="00F13492"/>
    <w:rsid w:val="00F134FC"/>
    <w:rsid w:val="00F1350E"/>
    <w:rsid w:val="00F13522"/>
    <w:rsid w:val="00F1372C"/>
    <w:rsid w:val="00F13808"/>
    <w:rsid w:val="00F13BB4"/>
    <w:rsid w:val="00F14419"/>
    <w:rsid w:val="00F1470E"/>
    <w:rsid w:val="00F147A5"/>
    <w:rsid w:val="00F14AA7"/>
    <w:rsid w:val="00F14B34"/>
    <w:rsid w:val="00F14BE6"/>
    <w:rsid w:val="00F14D58"/>
    <w:rsid w:val="00F14E25"/>
    <w:rsid w:val="00F14E52"/>
    <w:rsid w:val="00F1532C"/>
    <w:rsid w:val="00F1572B"/>
    <w:rsid w:val="00F15884"/>
    <w:rsid w:val="00F15B8E"/>
    <w:rsid w:val="00F15C66"/>
    <w:rsid w:val="00F15F22"/>
    <w:rsid w:val="00F15FB3"/>
    <w:rsid w:val="00F16665"/>
    <w:rsid w:val="00F16B40"/>
    <w:rsid w:val="00F16FB0"/>
    <w:rsid w:val="00F17074"/>
    <w:rsid w:val="00F171B6"/>
    <w:rsid w:val="00F1733B"/>
    <w:rsid w:val="00F17474"/>
    <w:rsid w:val="00F17559"/>
    <w:rsid w:val="00F178E8"/>
    <w:rsid w:val="00F17E6F"/>
    <w:rsid w:val="00F17ED8"/>
    <w:rsid w:val="00F20003"/>
    <w:rsid w:val="00F201CC"/>
    <w:rsid w:val="00F202C5"/>
    <w:rsid w:val="00F20487"/>
    <w:rsid w:val="00F206EC"/>
    <w:rsid w:val="00F20A35"/>
    <w:rsid w:val="00F20F64"/>
    <w:rsid w:val="00F20F65"/>
    <w:rsid w:val="00F20FBD"/>
    <w:rsid w:val="00F2106D"/>
    <w:rsid w:val="00F21367"/>
    <w:rsid w:val="00F21523"/>
    <w:rsid w:val="00F21B98"/>
    <w:rsid w:val="00F22169"/>
    <w:rsid w:val="00F22337"/>
    <w:rsid w:val="00F22D65"/>
    <w:rsid w:val="00F23155"/>
    <w:rsid w:val="00F23175"/>
    <w:rsid w:val="00F23191"/>
    <w:rsid w:val="00F23638"/>
    <w:rsid w:val="00F23BE4"/>
    <w:rsid w:val="00F23FB0"/>
    <w:rsid w:val="00F2431F"/>
    <w:rsid w:val="00F2472A"/>
    <w:rsid w:val="00F2480A"/>
    <w:rsid w:val="00F24891"/>
    <w:rsid w:val="00F24B9F"/>
    <w:rsid w:val="00F24CA6"/>
    <w:rsid w:val="00F25268"/>
    <w:rsid w:val="00F256AE"/>
    <w:rsid w:val="00F25773"/>
    <w:rsid w:val="00F257FA"/>
    <w:rsid w:val="00F25A96"/>
    <w:rsid w:val="00F25B69"/>
    <w:rsid w:val="00F26004"/>
    <w:rsid w:val="00F270E8"/>
    <w:rsid w:val="00F2760E"/>
    <w:rsid w:val="00F27842"/>
    <w:rsid w:val="00F27B90"/>
    <w:rsid w:val="00F27E36"/>
    <w:rsid w:val="00F27EF5"/>
    <w:rsid w:val="00F27FDB"/>
    <w:rsid w:val="00F27FFD"/>
    <w:rsid w:val="00F300E2"/>
    <w:rsid w:val="00F301A3"/>
    <w:rsid w:val="00F30251"/>
    <w:rsid w:val="00F305CC"/>
    <w:rsid w:val="00F30CFA"/>
    <w:rsid w:val="00F30F11"/>
    <w:rsid w:val="00F310BE"/>
    <w:rsid w:val="00F3179A"/>
    <w:rsid w:val="00F317DC"/>
    <w:rsid w:val="00F31823"/>
    <w:rsid w:val="00F31CAC"/>
    <w:rsid w:val="00F31D54"/>
    <w:rsid w:val="00F320AA"/>
    <w:rsid w:val="00F3221D"/>
    <w:rsid w:val="00F32357"/>
    <w:rsid w:val="00F32C70"/>
    <w:rsid w:val="00F33437"/>
    <w:rsid w:val="00F33739"/>
    <w:rsid w:val="00F33949"/>
    <w:rsid w:val="00F33C65"/>
    <w:rsid w:val="00F34C36"/>
    <w:rsid w:val="00F34E02"/>
    <w:rsid w:val="00F3549E"/>
    <w:rsid w:val="00F357BB"/>
    <w:rsid w:val="00F358BF"/>
    <w:rsid w:val="00F35CE6"/>
    <w:rsid w:val="00F365A7"/>
    <w:rsid w:val="00F367BD"/>
    <w:rsid w:val="00F3681C"/>
    <w:rsid w:val="00F37267"/>
    <w:rsid w:val="00F3769D"/>
    <w:rsid w:val="00F37A09"/>
    <w:rsid w:val="00F37C46"/>
    <w:rsid w:val="00F37CD5"/>
    <w:rsid w:val="00F37D75"/>
    <w:rsid w:val="00F37F80"/>
    <w:rsid w:val="00F37FFA"/>
    <w:rsid w:val="00F400E2"/>
    <w:rsid w:val="00F401C8"/>
    <w:rsid w:val="00F404F4"/>
    <w:rsid w:val="00F406B4"/>
    <w:rsid w:val="00F40967"/>
    <w:rsid w:val="00F40A4A"/>
    <w:rsid w:val="00F40B7F"/>
    <w:rsid w:val="00F4113C"/>
    <w:rsid w:val="00F4143E"/>
    <w:rsid w:val="00F416E7"/>
    <w:rsid w:val="00F41777"/>
    <w:rsid w:val="00F41CC5"/>
    <w:rsid w:val="00F41D25"/>
    <w:rsid w:val="00F423C2"/>
    <w:rsid w:val="00F427C8"/>
    <w:rsid w:val="00F433F8"/>
    <w:rsid w:val="00F433FE"/>
    <w:rsid w:val="00F43595"/>
    <w:rsid w:val="00F435CE"/>
    <w:rsid w:val="00F43627"/>
    <w:rsid w:val="00F43781"/>
    <w:rsid w:val="00F43A3E"/>
    <w:rsid w:val="00F43AE3"/>
    <w:rsid w:val="00F43EB0"/>
    <w:rsid w:val="00F43FCE"/>
    <w:rsid w:val="00F440BE"/>
    <w:rsid w:val="00F4463C"/>
    <w:rsid w:val="00F44708"/>
    <w:rsid w:val="00F44860"/>
    <w:rsid w:val="00F448D2"/>
    <w:rsid w:val="00F44AE8"/>
    <w:rsid w:val="00F45557"/>
    <w:rsid w:val="00F45844"/>
    <w:rsid w:val="00F45C6D"/>
    <w:rsid w:val="00F45F44"/>
    <w:rsid w:val="00F46548"/>
    <w:rsid w:val="00F473A5"/>
    <w:rsid w:val="00F473F3"/>
    <w:rsid w:val="00F474B8"/>
    <w:rsid w:val="00F474C7"/>
    <w:rsid w:val="00F47601"/>
    <w:rsid w:val="00F478CA"/>
    <w:rsid w:val="00F47CD3"/>
    <w:rsid w:val="00F47CE2"/>
    <w:rsid w:val="00F50162"/>
    <w:rsid w:val="00F501F3"/>
    <w:rsid w:val="00F5028C"/>
    <w:rsid w:val="00F502A9"/>
    <w:rsid w:val="00F50497"/>
    <w:rsid w:val="00F50A98"/>
    <w:rsid w:val="00F50B4F"/>
    <w:rsid w:val="00F50DC9"/>
    <w:rsid w:val="00F50E5F"/>
    <w:rsid w:val="00F5103C"/>
    <w:rsid w:val="00F511A3"/>
    <w:rsid w:val="00F51215"/>
    <w:rsid w:val="00F51460"/>
    <w:rsid w:val="00F51667"/>
    <w:rsid w:val="00F517F9"/>
    <w:rsid w:val="00F51C97"/>
    <w:rsid w:val="00F521DC"/>
    <w:rsid w:val="00F52713"/>
    <w:rsid w:val="00F527F7"/>
    <w:rsid w:val="00F52AA7"/>
    <w:rsid w:val="00F52B74"/>
    <w:rsid w:val="00F52CBF"/>
    <w:rsid w:val="00F52EB8"/>
    <w:rsid w:val="00F52F51"/>
    <w:rsid w:val="00F53199"/>
    <w:rsid w:val="00F53568"/>
    <w:rsid w:val="00F535E4"/>
    <w:rsid w:val="00F53654"/>
    <w:rsid w:val="00F53BC2"/>
    <w:rsid w:val="00F53DF4"/>
    <w:rsid w:val="00F53F6F"/>
    <w:rsid w:val="00F5414A"/>
    <w:rsid w:val="00F541A1"/>
    <w:rsid w:val="00F542D9"/>
    <w:rsid w:val="00F543F2"/>
    <w:rsid w:val="00F54559"/>
    <w:rsid w:val="00F54B09"/>
    <w:rsid w:val="00F54BEA"/>
    <w:rsid w:val="00F54E8A"/>
    <w:rsid w:val="00F54F4D"/>
    <w:rsid w:val="00F5525C"/>
    <w:rsid w:val="00F55704"/>
    <w:rsid w:val="00F559A8"/>
    <w:rsid w:val="00F55C21"/>
    <w:rsid w:val="00F55E5F"/>
    <w:rsid w:val="00F55F6D"/>
    <w:rsid w:val="00F562AB"/>
    <w:rsid w:val="00F5679B"/>
    <w:rsid w:val="00F567C0"/>
    <w:rsid w:val="00F567E8"/>
    <w:rsid w:val="00F5699C"/>
    <w:rsid w:val="00F56CFB"/>
    <w:rsid w:val="00F571CB"/>
    <w:rsid w:val="00F57238"/>
    <w:rsid w:val="00F572AB"/>
    <w:rsid w:val="00F5736B"/>
    <w:rsid w:val="00F57539"/>
    <w:rsid w:val="00F57880"/>
    <w:rsid w:val="00F57BB3"/>
    <w:rsid w:val="00F600D7"/>
    <w:rsid w:val="00F60155"/>
    <w:rsid w:val="00F607E0"/>
    <w:rsid w:val="00F608AB"/>
    <w:rsid w:val="00F60BE7"/>
    <w:rsid w:val="00F60C4B"/>
    <w:rsid w:val="00F610E1"/>
    <w:rsid w:val="00F611E6"/>
    <w:rsid w:val="00F6159C"/>
    <w:rsid w:val="00F61608"/>
    <w:rsid w:val="00F61714"/>
    <w:rsid w:val="00F61788"/>
    <w:rsid w:val="00F617A4"/>
    <w:rsid w:val="00F619B2"/>
    <w:rsid w:val="00F61D44"/>
    <w:rsid w:val="00F61E2B"/>
    <w:rsid w:val="00F62065"/>
    <w:rsid w:val="00F62333"/>
    <w:rsid w:val="00F6238F"/>
    <w:rsid w:val="00F6265C"/>
    <w:rsid w:val="00F627C2"/>
    <w:rsid w:val="00F627C8"/>
    <w:rsid w:val="00F628DE"/>
    <w:rsid w:val="00F62C28"/>
    <w:rsid w:val="00F62C90"/>
    <w:rsid w:val="00F63DB1"/>
    <w:rsid w:val="00F63E59"/>
    <w:rsid w:val="00F640AB"/>
    <w:rsid w:val="00F64302"/>
    <w:rsid w:val="00F64475"/>
    <w:rsid w:val="00F6491E"/>
    <w:rsid w:val="00F64933"/>
    <w:rsid w:val="00F64B71"/>
    <w:rsid w:val="00F64BE0"/>
    <w:rsid w:val="00F64D15"/>
    <w:rsid w:val="00F64F89"/>
    <w:rsid w:val="00F651A4"/>
    <w:rsid w:val="00F6524A"/>
    <w:rsid w:val="00F652CE"/>
    <w:rsid w:val="00F6531A"/>
    <w:rsid w:val="00F6552D"/>
    <w:rsid w:val="00F657EC"/>
    <w:rsid w:val="00F65A11"/>
    <w:rsid w:val="00F65B68"/>
    <w:rsid w:val="00F65FD6"/>
    <w:rsid w:val="00F66062"/>
    <w:rsid w:val="00F660ED"/>
    <w:rsid w:val="00F6642B"/>
    <w:rsid w:val="00F6662F"/>
    <w:rsid w:val="00F66AC7"/>
    <w:rsid w:val="00F66D77"/>
    <w:rsid w:val="00F66F9F"/>
    <w:rsid w:val="00F67193"/>
    <w:rsid w:val="00F671C2"/>
    <w:rsid w:val="00F674D9"/>
    <w:rsid w:val="00F675FF"/>
    <w:rsid w:val="00F67846"/>
    <w:rsid w:val="00F67868"/>
    <w:rsid w:val="00F67B42"/>
    <w:rsid w:val="00F67BB8"/>
    <w:rsid w:val="00F67FFE"/>
    <w:rsid w:val="00F6D06C"/>
    <w:rsid w:val="00F70439"/>
    <w:rsid w:val="00F707FE"/>
    <w:rsid w:val="00F7092E"/>
    <w:rsid w:val="00F70B72"/>
    <w:rsid w:val="00F70B9D"/>
    <w:rsid w:val="00F70C9C"/>
    <w:rsid w:val="00F70DEF"/>
    <w:rsid w:val="00F70EA3"/>
    <w:rsid w:val="00F70EAD"/>
    <w:rsid w:val="00F711C8"/>
    <w:rsid w:val="00F71398"/>
    <w:rsid w:val="00F71CDE"/>
    <w:rsid w:val="00F71D38"/>
    <w:rsid w:val="00F71EA3"/>
    <w:rsid w:val="00F722BB"/>
    <w:rsid w:val="00F723CD"/>
    <w:rsid w:val="00F7294C"/>
    <w:rsid w:val="00F72B43"/>
    <w:rsid w:val="00F72C5F"/>
    <w:rsid w:val="00F72E60"/>
    <w:rsid w:val="00F72E9E"/>
    <w:rsid w:val="00F731B6"/>
    <w:rsid w:val="00F73417"/>
    <w:rsid w:val="00F73549"/>
    <w:rsid w:val="00F73E09"/>
    <w:rsid w:val="00F74518"/>
    <w:rsid w:val="00F745DC"/>
    <w:rsid w:val="00F746A8"/>
    <w:rsid w:val="00F74D10"/>
    <w:rsid w:val="00F751FF"/>
    <w:rsid w:val="00F7539A"/>
    <w:rsid w:val="00F75782"/>
    <w:rsid w:val="00F757FF"/>
    <w:rsid w:val="00F75A66"/>
    <w:rsid w:val="00F75B1F"/>
    <w:rsid w:val="00F76456"/>
    <w:rsid w:val="00F76A10"/>
    <w:rsid w:val="00F76B9B"/>
    <w:rsid w:val="00F76C03"/>
    <w:rsid w:val="00F76E8A"/>
    <w:rsid w:val="00F772BE"/>
    <w:rsid w:val="00F773FF"/>
    <w:rsid w:val="00F77F80"/>
    <w:rsid w:val="00F80364"/>
    <w:rsid w:val="00F803EF"/>
    <w:rsid w:val="00F804E2"/>
    <w:rsid w:val="00F80560"/>
    <w:rsid w:val="00F80586"/>
    <w:rsid w:val="00F8086F"/>
    <w:rsid w:val="00F808D9"/>
    <w:rsid w:val="00F80A8E"/>
    <w:rsid w:val="00F80C1D"/>
    <w:rsid w:val="00F81041"/>
    <w:rsid w:val="00F81130"/>
    <w:rsid w:val="00F81425"/>
    <w:rsid w:val="00F818F7"/>
    <w:rsid w:val="00F81928"/>
    <w:rsid w:val="00F819E4"/>
    <w:rsid w:val="00F81F10"/>
    <w:rsid w:val="00F81FA4"/>
    <w:rsid w:val="00F8206D"/>
    <w:rsid w:val="00F8254A"/>
    <w:rsid w:val="00F82830"/>
    <w:rsid w:val="00F82D0A"/>
    <w:rsid w:val="00F82E2A"/>
    <w:rsid w:val="00F8325D"/>
    <w:rsid w:val="00F832A9"/>
    <w:rsid w:val="00F832B0"/>
    <w:rsid w:val="00F83307"/>
    <w:rsid w:val="00F833A5"/>
    <w:rsid w:val="00F837F5"/>
    <w:rsid w:val="00F83E30"/>
    <w:rsid w:val="00F83FD6"/>
    <w:rsid w:val="00F8411E"/>
    <w:rsid w:val="00F841DC"/>
    <w:rsid w:val="00F843D1"/>
    <w:rsid w:val="00F844D3"/>
    <w:rsid w:val="00F84629"/>
    <w:rsid w:val="00F84723"/>
    <w:rsid w:val="00F84763"/>
    <w:rsid w:val="00F848CE"/>
    <w:rsid w:val="00F84A4D"/>
    <w:rsid w:val="00F84B71"/>
    <w:rsid w:val="00F84F0E"/>
    <w:rsid w:val="00F84F73"/>
    <w:rsid w:val="00F8519E"/>
    <w:rsid w:val="00F85A3F"/>
    <w:rsid w:val="00F85CC9"/>
    <w:rsid w:val="00F85FF5"/>
    <w:rsid w:val="00F86364"/>
    <w:rsid w:val="00F864EB"/>
    <w:rsid w:val="00F868D9"/>
    <w:rsid w:val="00F86AF5"/>
    <w:rsid w:val="00F86B32"/>
    <w:rsid w:val="00F86BB4"/>
    <w:rsid w:val="00F86EA0"/>
    <w:rsid w:val="00F870F5"/>
    <w:rsid w:val="00F8710D"/>
    <w:rsid w:val="00F87514"/>
    <w:rsid w:val="00F875C3"/>
    <w:rsid w:val="00F876ED"/>
    <w:rsid w:val="00F879A0"/>
    <w:rsid w:val="00F90183"/>
    <w:rsid w:val="00F902D2"/>
    <w:rsid w:val="00F90323"/>
    <w:rsid w:val="00F90479"/>
    <w:rsid w:val="00F90807"/>
    <w:rsid w:val="00F90A7B"/>
    <w:rsid w:val="00F90B12"/>
    <w:rsid w:val="00F90CBD"/>
    <w:rsid w:val="00F90DB5"/>
    <w:rsid w:val="00F9109E"/>
    <w:rsid w:val="00F91117"/>
    <w:rsid w:val="00F91198"/>
    <w:rsid w:val="00F912A1"/>
    <w:rsid w:val="00F9177E"/>
    <w:rsid w:val="00F918A6"/>
    <w:rsid w:val="00F91E4F"/>
    <w:rsid w:val="00F91FDF"/>
    <w:rsid w:val="00F92493"/>
    <w:rsid w:val="00F924F7"/>
    <w:rsid w:val="00F92AA1"/>
    <w:rsid w:val="00F92E2B"/>
    <w:rsid w:val="00F92EDD"/>
    <w:rsid w:val="00F92FDC"/>
    <w:rsid w:val="00F931D2"/>
    <w:rsid w:val="00F9322B"/>
    <w:rsid w:val="00F933BF"/>
    <w:rsid w:val="00F9340C"/>
    <w:rsid w:val="00F93431"/>
    <w:rsid w:val="00F93558"/>
    <w:rsid w:val="00F93A4A"/>
    <w:rsid w:val="00F93C88"/>
    <w:rsid w:val="00F93D27"/>
    <w:rsid w:val="00F93D99"/>
    <w:rsid w:val="00F93ECE"/>
    <w:rsid w:val="00F93ED2"/>
    <w:rsid w:val="00F94393"/>
    <w:rsid w:val="00F94846"/>
    <w:rsid w:val="00F94AF0"/>
    <w:rsid w:val="00F94E68"/>
    <w:rsid w:val="00F94F8D"/>
    <w:rsid w:val="00F957E0"/>
    <w:rsid w:val="00F95AD0"/>
    <w:rsid w:val="00F95DD6"/>
    <w:rsid w:val="00F95DD9"/>
    <w:rsid w:val="00F961BE"/>
    <w:rsid w:val="00F96247"/>
    <w:rsid w:val="00F9631A"/>
    <w:rsid w:val="00F96370"/>
    <w:rsid w:val="00F964D0"/>
    <w:rsid w:val="00F965DD"/>
    <w:rsid w:val="00F96699"/>
    <w:rsid w:val="00F96804"/>
    <w:rsid w:val="00F96821"/>
    <w:rsid w:val="00F96825"/>
    <w:rsid w:val="00F96C94"/>
    <w:rsid w:val="00F96F77"/>
    <w:rsid w:val="00F97547"/>
    <w:rsid w:val="00F9785B"/>
    <w:rsid w:val="00F97940"/>
    <w:rsid w:val="00F979BA"/>
    <w:rsid w:val="00F979CB"/>
    <w:rsid w:val="00F97BA3"/>
    <w:rsid w:val="00F97EA2"/>
    <w:rsid w:val="00F97F0D"/>
    <w:rsid w:val="00FA01E7"/>
    <w:rsid w:val="00FA0487"/>
    <w:rsid w:val="00FA07F4"/>
    <w:rsid w:val="00FA092B"/>
    <w:rsid w:val="00FA0B0A"/>
    <w:rsid w:val="00FA0DF4"/>
    <w:rsid w:val="00FA0F5E"/>
    <w:rsid w:val="00FA11E3"/>
    <w:rsid w:val="00FA121C"/>
    <w:rsid w:val="00FA1407"/>
    <w:rsid w:val="00FA154F"/>
    <w:rsid w:val="00FA187A"/>
    <w:rsid w:val="00FA1A68"/>
    <w:rsid w:val="00FA1B1A"/>
    <w:rsid w:val="00FA1D16"/>
    <w:rsid w:val="00FA2722"/>
    <w:rsid w:val="00FA2747"/>
    <w:rsid w:val="00FA2777"/>
    <w:rsid w:val="00FA2A33"/>
    <w:rsid w:val="00FA2C8F"/>
    <w:rsid w:val="00FA2CF7"/>
    <w:rsid w:val="00FA3410"/>
    <w:rsid w:val="00FA360B"/>
    <w:rsid w:val="00FA3860"/>
    <w:rsid w:val="00FA3A50"/>
    <w:rsid w:val="00FA3FEE"/>
    <w:rsid w:val="00FA3FF3"/>
    <w:rsid w:val="00FA41FB"/>
    <w:rsid w:val="00FA42CF"/>
    <w:rsid w:val="00FA469E"/>
    <w:rsid w:val="00FA4763"/>
    <w:rsid w:val="00FA4798"/>
    <w:rsid w:val="00FA4830"/>
    <w:rsid w:val="00FA4842"/>
    <w:rsid w:val="00FA4A53"/>
    <w:rsid w:val="00FA4B54"/>
    <w:rsid w:val="00FA4D4F"/>
    <w:rsid w:val="00FA4D57"/>
    <w:rsid w:val="00FA4E0E"/>
    <w:rsid w:val="00FA4EDE"/>
    <w:rsid w:val="00FA5032"/>
    <w:rsid w:val="00FA55C9"/>
    <w:rsid w:val="00FA5DDD"/>
    <w:rsid w:val="00FA5FAB"/>
    <w:rsid w:val="00FA6980"/>
    <w:rsid w:val="00FA6BE9"/>
    <w:rsid w:val="00FA6C56"/>
    <w:rsid w:val="00FA6CDF"/>
    <w:rsid w:val="00FA6CF2"/>
    <w:rsid w:val="00FA7646"/>
    <w:rsid w:val="00FA7699"/>
    <w:rsid w:val="00FA7BB5"/>
    <w:rsid w:val="00FA7BD4"/>
    <w:rsid w:val="00FA7C85"/>
    <w:rsid w:val="00FA7C9B"/>
    <w:rsid w:val="00FA7DF6"/>
    <w:rsid w:val="00FA7F23"/>
    <w:rsid w:val="00FB030D"/>
    <w:rsid w:val="00FB03DC"/>
    <w:rsid w:val="00FB0885"/>
    <w:rsid w:val="00FB0923"/>
    <w:rsid w:val="00FB0C46"/>
    <w:rsid w:val="00FB12D8"/>
    <w:rsid w:val="00FB176A"/>
    <w:rsid w:val="00FB1846"/>
    <w:rsid w:val="00FB197D"/>
    <w:rsid w:val="00FB1CDC"/>
    <w:rsid w:val="00FB1D6C"/>
    <w:rsid w:val="00FB22A5"/>
    <w:rsid w:val="00FB238A"/>
    <w:rsid w:val="00FB2446"/>
    <w:rsid w:val="00FB2465"/>
    <w:rsid w:val="00FB2AE8"/>
    <w:rsid w:val="00FB2C81"/>
    <w:rsid w:val="00FB3926"/>
    <w:rsid w:val="00FB3A5B"/>
    <w:rsid w:val="00FB3BC4"/>
    <w:rsid w:val="00FB3C82"/>
    <w:rsid w:val="00FB3D5F"/>
    <w:rsid w:val="00FB3F9C"/>
    <w:rsid w:val="00FB3FDE"/>
    <w:rsid w:val="00FB4220"/>
    <w:rsid w:val="00FB45E3"/>
    <w:rsid w:val="00FB4676"/>
    <w:rsid w:val="00FB4C0A"/>
    <w:rsid w:val="00FB5552"/>
    <w:rsid w:val="00FB5634"/>
    <w:rsid w:val="00FB5789"/>
    <w:rsid w:val="00FB5DD2"/>
    <w:rsid w:val="00FB5F3A"/>
    <w:rsid w:val="00FB5FF6"/>
    <w:rsid w:val="00FB60B3"/>
    <w:rsid w:val="00FB65ED"/>
    <w:rsid w:val="00FB6766"/>
    <w:rsid w:val="00FB67AB"/>
    <w:rsid w:val="00FB6893"/>
    <w:rsid w:val="00FB6A5D"/>
    <w:rsid w:val="00FB6AA9"/>
    <w:rsid w:val="00FB6AD4"/>
    <w:rsid w:val="00FB6BF1"/>
    <w:rsid w:val="00FB708B"/>
    <w:rsid w:val="00FB727C"/>
    <w:rsid w:val="00FB72F3"/>
    <w:rsid w:val="00FB73D3"/>
    <w:rsid w:val="00FB76AB"/>
    <w:rsid w:val="00FB7D21"/>
    <w:rsid w:val="00FB7F22"/>
    <w:rsid w:val="00FC00F3"/>
    <w:rsid w:val="00FC0607"/>
    <w:rsid w:val="00FC0A33"/>
    <w:rsid w:val="00FC0B83"/>
    <w:rsid w:val="00FC132B"/>
    <w:rsid w:val="00FC1416"/>
    <w:rsid w:val="00FC14B2"/>
    <w:rsid w:val="00FC14E5"/>
    <w:rsid w:val="00FC1519"/>
    <w:rsid w:val="00FC1823"/>
    <w:rsid w:val="00FC1E77"/>
    <w:rsid w:val="00FC2198"/>
    <w:rsid w:val="00FC239B"/>
    <w:rsid w:val="00FC2484"/>
    <w:rsid w:val="00FC26A4"/>
    <w:rsid w:val="00FC26D0"/>
    <w:rsid w:val="00FC2C93"/>
    <w:rsid w:val="00FC2ED5"/>
    <w:rsid w:val="00FC325A"/>
    <w:rsid w:val="00FC33ED"/>
    <w:rsid w:val="00FC3449"/>
    <w:rsid w:val="00FC345D"/>
    <w:rsid w:val="00FC366C"/>
    <w:rsid w:val="00FC399C"/>
    <w:rsid w:val="00FC43AD"/>
    <w:rsid w:val="00FC43FC"/>
    <w:rsid w:val="00FC4411"/>
    <w:rsid w:val="00FC4596"/>
    <w:rsid w:val="00FC46C7"/>
    <w:rsid w:val="00FC4D9D"/>
    <w:rsid w:val="00FC5030"/>
    <w:rsid w:val="00FC50E2"/>
    <w:rsid w:val="00FC5807"/>
    <w:rsid w:val="00FC5872"/>
    <w:rsid w:val="00FC5876"/>
    <w:rsid w:val="00FC589B"/>
    <w:rsid w:val="00FC5989"/>
    <w:rsid w:val="00FC61AE"/>
    <w:rsid w:val="00FC62F5"/>
    <w:rsid w:val="00FC64FF"/>
    <w:rsid w:val="00FC6A07"/>
    <w:rsid w:val="00FC6EBC"/>
    <w:rsid w:val="00FC6FDA"/>
    <w:rsid w:val="00FC731E"/>
    <w:rsid w:val="00FC7DD8"/>
    <w:rsid w:val="00FD0024"/>
    <w:rsid w:val="00FD0063"/>
    <w:rsid w:val="00FD035A"/>
    <w:rsid w:val="00FD0D2C"/>
    <w:rsid w:val="00FD0F76"/>
    <w:rsid w:val="00FD19F1"/>
    <w:rsid w:val="00FD1A7E"/>
    <w:rsid w:val="00FD1B55"/>
    <w:rsid w:val="00FD1F11"/>
    <w:rsid w:val="00FD2319"/>
    <w:rsid w:val="00FD2BFE"/>
    <w:rsid w:val="00FD2CC3"/>
    <w:rsid w:val="00FD2F4B"/>
    <w:rsid w:val="00FD31BF"/>
    <w:rsid w:val="00FD320E"/>
    <w:rsid w:val="00FD3354"/>
    <w:rsid w:val="00FD395E"/>
    <w:rsid w:val="00FD3CC7"/>
    <w:rsid w:val="00FD4148"/>
    <w:rsid w:val="00FD465A"/>
    <w:rsid w:val="00FD4D5B"/>
    <w:rsid w:val="00FD5093"/>
    <w:rsid w:val="00FD5A0E"/>
    <w:rsid w:val="00FD5C81"/>
    <w:rsid w:val="00FD5DF3"/>
    <w:rsid w:val="00FD5E7E"/>
    <w:rsid w:val="00FD5F84"/>
    <w:rsid w:val="00FD6453"/>
    <w:rsid w:val="00FD67A9"/>
    <w:rsid w:val="00FD67FD"/>
    <w:rsid w:val="00FD6C87"/>
    <w:rsid w:val="00FD6E53"/>
    <w:rsid w:val="00FD6EB5"/>
    <w:rsid w:val="00FD71F5"/>
    <w:rsid w:val="00FD7281"/>
    <w:rsid w:val="00FD735C"/>
    <w:rsid w:val="00FD7C27"/>
    <w:rsid w:val="00FD7CB2"/>
    <w:rsid w:val="00FD7D46"/>
    <w:rsid w:val="00FD7D8B"/>
    <w:rsid w:val="00FD7EC5"/>
    <w:rsid w:val="00FE0AF2"/>
    <w:rsid w:val="00FE0FF4"/>
    <w:rsid w:val="00FE14F8"/>
    <w:rsid w:val="00FE155A"/>
    <w:rsid w:val="00FE1A74"/>
    <w:rsid w:val="00FE1C47"/>
    <w:rsid w:val="00FE1E6F"/>
    <w:rsid w:val="00FE201E"/>
    <w:rsid w:val="00FE22DD"/>
    <w:rsid w:val="00FE2586"/>
    <w:rsid w:val="00FE2BE5"/>
    <w:rsid w:val="00FE2C6E"/>
    <w:rsid w:val="00FE2CFB"/>
    <w:rsid w:val="00FE2FA7"/>
    <w:rsid w:val="00FE2FBE"/>
    <w:rsid w:val="00FE3294"/>
    <w:rsid w:val="00FE3299"/>
    <w:rsid w:val="00FE351A"/>
    <w:rsid w:val="00FE356A"/>
    <w:rsid w:val="00FE3584"/>
    <w:rsid w:val="00FE3C83"/>
    <w:rsid w:val="00FE3DD2"/>
    <w:rsid w:val="00FE3FB6"/>
    <w:rsid w:val="00FE3FD8"/>
    <w:rsid w:val="00FE41BF"/>
    <w:rsid w:val="00FE443D"/>
    <w:rsid w:val="00FE4621"/>
    <w:rsid w:val="00FE46F9"/>
    <w:rsid w:val="00FE4A60"/>
    <w:rsid w:val="00FE4A66"/>
    <w:rsid w:val="00FE4DE9"/>
    <w:rsid w:val="00FE54E0"/>
    <w:rsid w:val="00FE55F0"/>
    <w:rsid w:val="00FE5650"/>
    <w:rsid w:val="00FE5769"/>
    <w:rsid w:val="00FE5B38"/>
    <w:rsid w:val="00FE5BDB"/>
    <w:rsid w:val="00FE5D4B"/>
    <w:rsid w:val="00FE6054"/>
    <w:rsid w:val="00FE6284"/>
    <w:rsid w:val="00FE6331"/>
    <w:rsid w:val="00FE643F"/>
    <w:rsid w:val="00FE651C"/>
    <w:rsid w:val="00FE659E"/>
    <w:rsid w:val="00FE685B"/>
    <w:rsid w:val="00FE698F"/>
    <w:rsid w:val="00FE69A5"/>
    <w:rsid w:val="00FE69D3"/>
    <w:rsid w:val="00FE6C12"/>
    <w:rsid w:val="00FE764A"/>
    <w:rsid w:val="00FE7894"/>
    <w:rsid w:val="00FE7B21"/>
    <w:rsid w:val="00FE7D08"/>
    <w:rsid w:val="00FE7EE4"/>
    <w:rsid w:val="00FE7F25"/>
    <w:rsid w:val="00FF002A"/>
    <w:rsid w:val="00FF016F"/>
    <w:rsid w:val="00FF01FA"/>
    <w:rsid w:val="00FF0226"/>
    <w:rsid w:val="00FF023D"/>
    <w:rsid w:val="00FF05D9"/>
    <w:rsid w:val="00FF08B7"/>
    <w:rsid w:val="00FF09BD"/>
    <w:rsid w:val="00FF09EE"/>
    <w:rsid w:val="00FF11CE"/>
    <w:rsid w:val="00FF1256"/>
    <w:rsid w:val="00FF12DE"/>
    <w:rsid w:val="00FF1CBA"/>
    <w:rsid w:val="00FF1D44"/>
    <w:rsid w:val="00FF2015"/>
    <w:rsid w:val="00FF2167"/>
    <w:rsid w:val="00FF21B5"/>
    <w:rsid w:val="00FF21C3"/>
    <w:rsid w:val="00FF21CE"/>
    <w:rsid w:val="00FF240B"/>
    <w:rsid w:val="00FF2483"/>
    <w:rsid w:val="00FF2910"/>
    <w:rsid w:val="00FF29F7"/>
    <w:rsid w:val="00FF2A11"/>
    <w:rsid w:val="00FF2AA0"/>
    <w:rsid w:val="00FF32CE"/>
    <w:rsid w:val="00FF361E"/>
    <w:rsid w:val="00FF3C4C"/>
    <w:rsid w:val="00FF3D29"/>
    <w:rsid w:val="00FF3D6B"/>
    <w:rsid w:val="00FF3F6C"/>
    <w:rsid w:val="00FF4603"/>
    <w:rsid w:val="00FF4998"/>
    <w:rsid w:val="00FF4B07"/>
    <w:rsid w:val="00FF4B74"/>
    <w:rsid w:val="00FF4BFC"/>
    <w:rsid w:val="00FF4C11"/>
    <w:rsid w:val="00FF4D71"/>
    <w:rsid w:val="00FF502C"/>
    <w:rsid w:val="00FF56B9"/>
    <w:rsid w:val="00FF57E8"/>
    <w:rsid w:val="00FF58C0"/>
    <w:rsid w:val="00FF5948"/>
    <w:rsid w:val="00FF5A0A"/>
    <w:rsid w:val="00FF5BCC"/>
    <w:rsid w:val="00FF636E"/>
    <w:rsid w:val="00FF6B71"/>
    <w:rsid w:val="00FF6DF2"/>
    <w:rsid w:val="00FF6EDF"/>
    <w:rsid w:val="00FF6EEA"/>
    <w:rsid w:val="00FF72E9"/>
    <w:rsid w:val="00FF7345"/>
    <w:rsid w:val="00FF73E2"/>
    <w:rsid w:val="00FF7667"/>
    <w:rsid w:val="00FF77A2"/>
    <w:rsid w:val="00FF77DF"/>
    <w:rsid w:val="00FF7ABB"/>
    <w:rsid w:val="00FF7B99"/>
    <w:rsid w:val="00FF7C7A"/>
    <w:rsid w:val="011087F0"/>
    <w:rsid w:val="0122DB33"/>
    <w:rsid w:val="012D0445"/>
    <w:rsid w:val="015FF65B"/>
    <w:rsid w:val="01C8F792"/>
    <w:rsid w:val="01EC2D87"/>
    <w:rsid w:val="026FBD5B"/>
    <w:rsid w:val="02A13011"/>
    <w:rsid w:val="02B9B526"/>
    <w:rsid w:val="02D7D4D4"/>
    <w:rsid w:val="02ED4748"/>
    <w:rsid w:val="032130DA"/>
    <w:rsid w:val="0324B260"/>
    <w:rsid w:val="0347F3A9"/>
    <w:rsid w:val="042DB478"/>
    <w:rsid w:val="043DFB60"/>
    <w:rsid w:val="044D4A7F"/>
    <w:rsid w:val="044EA2AF"/>
    <w:rsid w:val="0474EB2C"/>
    <w:rsid w:val="04B30020"/>
    <w:rsid w:val="04D14745"/>
    <w:rsid w:val="04D48CDE"/>
    <w:rsid w:val="04DED749"/>
    <w:rsid w:val="05066932"/>
    <w:rsid w:val="0516AB8D"/>
    <w:rsid w:val="0550B398"/>
    <w:rsid w:val="0562FEA6"/>
    <w:rsid w:val="0563C626"/>
    <w:rsid w:val="058125E1"/>
    <w:rsid w:val="0592F9E3"/>
    <w:rsid w:val="05E21B16"/>
    <w:rsid w:val="05F3457B"/>
    <w:rsid w:val="0618C01B"/>
    <w:rsid w:val="0644BAA8"/>
    <w:rsid w:val="066FAF26"/>
    <w:rsid w:val="067B820E"/>
    <w:rsid w:val="06B625B7"/>
    <w:rsid w:val="06E37F6E"/>
    <w:rsid w:val="06F72B8F"/>
    <w:rsid w:val="0715C8AB"/>
    <w:rsid w:val="0730641A"/>
    <w:rsid w:val="0771BF97"/>
    <w:rsid w:val="080BC8F9"/>
    <w:rsid w:val="081CF789"/>
    <w:rsid w:val="08690328"/>
    <w:rsid w:val="08781CB2"/>
    <w:rsid w:val="088CDFCE"/>
    <w:rsid w:val="08A9FE01"/>
    <w:rsid w:val="08BE816F"/>
    <w:rsid w:val="0A51E975"/>
    <w:rsid w:val="0A873C54"/>
    <w:rsid w:val="0A9E0AF1"/>
    <w:rsid w:val="0B4C29CC"/>
    <w:rsid w:val="0B525DDE"/>
    <w:rsid w:val="0B6A0B1F"/>
    <w:rsid w:val="0BC4B45C"/>
    <w:rsid w:val="0C71FA0E"/>
    <w:rsid w:val="0C915D20"/>
    <w:rsid w:val="0CB3941D"/>
    <w:rsid w:val="0CFFB03E"/>
    <w:rsid w:val="0CFFBA08"/>
    <w:rsid w:val="0D7437A9"/>
    <w:rsid w:val="0D9013A4"/>
    <w:rsid w:val="0E5AD219"/>
    <w:rsid w:val="0E603045"/>
    <w:rsid w:val="0F12C1AA"/>
    <w:rsid w:val="0F5A64B2"/>
    <w:rsid w:val="0F8F62DD"/>
    <w:rsid w:val="0F960C78"/>
    <w:rsid w:val="0FB86233"/>
    <w:rsid w:val="103356FD"/>
    <w:rsid w:val="113BEC6C"/>
    <w:rsid w:val="119FA5E8"/>
    <w:rsid w:val="11C547D7"/>
    <w:rsid w:val="11F1ADB3"/>
    <w:rsid w:val="11F556D7"/>
    <w:rsid w:val="11FBD406"/>
    <w:rsid w:val="12635148"/>
    <w:rsid w:val="126A836C"/>
    <w:rsid w:val="12915E89"/>
    <w:rsid w:val="1298462F"/>
    <w:rsid w:val="12AF5EBC"/>
    <w:rsid w:val="12B43562"/>
    <w:rsid w:val="12DF350C"/>
    <w:rsid w:val="13666805"/>
    <w:rsid w:val="13DBA020"/>
    <w:rsid w:val="13DDE987"/>
    <w:rsid w:val="13E36AA4"/>
    <w:rsid w:val="13E7C2AA"/>
    <w:rsid w:val="13F4B5D5"/>
    <w:rsid w:val="14713E17"/>
    <w:rsid w:val="14BC94A4"/>
    <w:rsid w:val="14C53EEA"/>
    <w:rsid w:val="15549012"/>
    <w:rsid w:val="15674C4D"/>
    <w:rsid w:val="156BC521"/>
    <w:rsid w:val="16922697"/>
    <w:rsid w:val="17251EE1"/>
    <w:rsid w:val="1768E4AF"/>
    <w:rsid w:val="1768FE4D"/>
    <w:rsid w:val="17848FAF"/>
    <w:rsid w:val="179D2CC8"/>
    <w:rsid w:val="17C1ECDE"/>
    <w:rsid w:val="17CC7ECA"/>
    <w:rsid w:val="17E0FD95"/>
    <w:rsid w:val="182A321D"/>
    <w:rsid w:val="1889B9FD"/>
    <w:rsid w:val="194314B4"/>
    <w:rsid w:val="19972143"/>
    <w:rsid w:val="19D17CF0"/>
    <w:rsid w:val="19DE85D6"/>
    <w:rsid w:val="1A2B83B0"/>
    <w:rsid w:val="1BD25429"/>
    <w:rsid w:val="1C6B5CCB"/>
    <w:rsid w:val="1CAC66DD"/>
    <w:rsid w:val="1CE9F923"/>
    <w:rsid w:val="1CF7244E"/>
    <w:rsid w:val="1D2D6B17"/>
    <w:rsid w:val="1DCA23CF"/>
    <w:rsid w:val="1E36168B"/>
    <w:rsid w:val="1E39835E"/>
    <w:rsid w:val="1F26B3B5"/>
    <w:rsid w:val="1F7300B2"/>
    <w:rsid w:val="1F9A1E38"/>
    <w:rsid w:val="1FB11A0B"/>
    <w:rsid w:val="200B88D6"/>
    <w:rsid w:val="200D0DB2"/>
    <w:rsid w:val="202CE546"/>
    <w:rsid w:val="20471621"/>
    <w:rsid w:val="205FB1FD"/>
    <w:rsid w:val="20694F0E"/>
    <w:rsid w:val="20ACD634"/>
    <w:rsid w:val="20BC5290"/>
    <w:rsid w:val="20C1282E"/>
    <w:rsid w:val="20E7A3A9"/>
    <w:rsid w:val="211BDE7C"/>
    <w:rsid w:val="216BCC1A"/>
    <w:rsid w:val="2171EF0B"/>
    <w:rsid w:val="21BB3B17"/>
    <w:rsid w:val="22521FF1"/>
    <w:rsid w:val="2289BBE1"/>
    <w:rsid w:val="22EA2E27"/>
    <w:rsid w:val="237E039F"/>
    <w:rsid w:val="23D32BFE"/>
    <w:rsid w:val="2427C103"/>
    <w:rsid w:val="246D5149"/>
    <w:rsid w:val="2484D84E"/>
    <w:rsid w:val="24910706"/>
    <w:rsid w:val="24BB322A"/>
    <w:rsid w:val="24C3EDAC"/>
    <w:rsid w:val="24E0B79D"/>
    <w:rsid w:val="252E9830"/>
    <w:rsid w:val="2546C376"/>
    <w:rsid w:val="2579F72C"/>
    <w:rsid w:val="257A50C7"/>
    <w:rsid w:val="25A8B631"/>
    <w:rsid w:val="25BC6BE6"/>
    <w:rsid w:val="25BDA5FF"/>
    <w:rsid w:val="25CAFB6A"/>
    <w:rsid w:val="2627C38B"/>
    <w:rsid w:val="263818B2"/>
    <w:rsid w:val="265A56D7"/>
    <w:rsid w:val="269022B0"/>
    <w:rsid w:val="26E62AE7"/>
    <w:rsid w:val="26E82529"/>
    <w:rsid w:val="273B788D"/>
    <w:rsid w:val="2765053A"/>
    <w:rsid w:val="2791F753"/>
    <w:rsid w:val="279E4A9E"/>
    <w:rsid w:val="27DDF034"/>
    <w:rsid w:val="27FB45CE"/>
    <w:rsid w:val="289A5E1E"/>
    <w:rsid w:val="28A95691"/>
    <w:rsid w:val="28D764CF"/>
    <w:rsid w:val="28D8ECFE"/>
    <w:rsid w:val="292123BE"/>
    <w:rsid w:val="29609ECA"/>
    <w:rsid w:val="29D585AD"/>
    <w:rsid w:val="29E93F1B"/>
    <w:rsid w:val="29F65B78"/>
    <w:rsid w:val="2A640AA7"/>
    <w:rsid w:val="2ABB8371"/>
    <w:rsid w:val="2ADDBC93"/>
    <w:rsid w:val="2B4226DC"/>
    <w:rsid w:val="2B446314"/>
    <w:rsid w:val="2B447DC2"/>
    <w:rsid w:val="2B5AA835"/>
    <w:rsid w:val="2C1CE44C"/>
    <w:rsid w:val="2CCD7379"/>
    <w:rsid w:val="2D6E17A0"/>
    <w:rsid w:val="2D90B864"/>
    <w:rsid w:val="2DB3CBCE"/>
    <w:rsid w:val="2E1C6D71"/>
    <w:rsid w:val="2E86D8B8"/>
    <w:rsid w:val="2EAF2208"/>
    <w:rsid w:val="2EE8FE27"/>
    <w:rsid w:val="2F08F360"/>
    <w:rsid w:val="2F23D066"/>
    <w:rsid w:val="2F423F7C"/>
    <w:rsid w:val="2F4394C7"/>
    <w:rsid w:val="2F52CF07"/>
    <w:rsid w:val="2F52F5AF"/>
    <w:rsid w:val="2F90123C"/>
    <w:rsid w:val="2FF0517F"/>
    <w:rsid w:val="307E7046"/>
    <w:rsid w:val="30E7299E"/>
    <w:rsid w:val="310CA6A9"/>
    <w:rsid w:val="31880EC1"/>
    <w:rsid w:val="319AEF2E"/>
    <w:rsid w:val="31BC02C1"/>
    <w:rsid w:val="32A5F80E"/>
    <w:rsid w:val="32FC3A9A"/>
    <w:rsid w:val="333D8D46"/>
    <w:rsid w:val="33664E16"/>
    <w:rsid w:val="33B3E1CC"/>
    <w:rsid w:val="34323268"/>
    <w:rsid w:val="349BFCE8"/>
    <w:rsid w:val="35718494"/>
    <w:rsid w:val="35D8B493"/>
    <w:rsid w:val="3625446F"/>
    <w:rsid w:val="362A507F"/>
    <w:rsid w:val="3636751D"/>
    <w:rsid w:val="36811FF2"/>
    <w:rsid w:val="36B10C48"/>
    <w:rsid w:val="36B1E116"/>
    <w:rsid w:val="36D8D1A9"/>
    <w:rsid w:val="376EC0C3"/>
    <w:rsid w:val="3783F112"/>
    <w:rsid w:val="37C87EA3"/>
    <w:rsid w:val="3841BEDD"/>
    <w:rsid w:val="38AC7A77"/>
    <w:rsid w:val="38B59275"/>
    <w:rsid w:val="38D4125A"/>
    <w:rsid w:val="39E7467C"/>
    <w:rsid w:val="3A50F889"/>
    <w:rsid w:val="3A5357D4"/>
    <w:rsid w:val="3B2E4275"/>
    <w:rsid w:val="3B719888"/>
    <w:rsid w:val="3B977F58"/>
    <w:rsid w:val="3BA8D496"/>
    <w:rsid w:val="3BC7C6C9"/>
    <w:rsid w:val="3BEF3CD8"/>
    <w:rsid w:val="3C17C267"/>
    <w:rsid w:val="3CC9BBC5"/>
    <w:rsid w:val="3D232513"/>
    <w:rsid w:val="3D2EDAAB"/>
    <w:rsid w:val="3D6BC9E5"/>
    <w:rsid w:val="3DAA474B"/>
    <w:rsid w:val="3E0A2BF1"/>
    <w:rsid w:val="3E5B24A0"/>
    <w:rsid w:val="3F2871E5"/>
    <w:rsid w:val="412C4D53"/>
    <w:rsid w:val="414D9635"/>
    <w:rsid w:val="4152DDCE"/>
    <w:rsid w:val="417F9657"/>
    <w:rsid w:val="41C1E89E"/>
    <w:rsid w:val="4211C8F7"/>
    <w:rsid w:val="42993673"/>
    <w:rsid w:val="42A6FD5F"/>
    <w:rsid w:val="42C133DE"/>
    <w:rsid w:val="42C9488A"/>
    <w:rsid w:val="4330409A"/>
    <w:rsid w:val="4360C686"/>
    <w:rsid w:val="43FFB441"/>
    <w:rsid w:val="442640CC"/>
    <w:rsid w:val="449156C6"/>
    <w:rsid w:val="44997933"/>
    <w:rsid w:val="44A7835D"/>
    <w:rsid w:val="4522E8EA"/>
    <w:rsid w:val="455EB81B"/>
    <w:rsid w:val="455FA92E"/>
    <w:rsid w:val="45B33779"/>
    <w:rsid w:val="4665E025"/>
    <w:rsid w:val="468707B6"/>
    <w:rsid w:val="4768A39E"/>
    <w:rsid w:val="4829E32B"/>
    <w:rsid w:val="4838C4AC"/>
    <w:rsid w:val="488038C1"/>
    <w:rsid w:val="48AD461A"/>
    <w:rsid w:val="4914D018"/>
    <w:rsid w:val="49806C1E"/>
    <w:rsid w:val="49CC03F8"/>
    <w:rsid w:val="49FD6A27"/>
    <w:rsid w:val="4A21F90F"/>
    <w:rsid w:val="4A4DFD44"/>
    <w:rsid w:val="4A62161B"/>
    <w:rsid w:val="4A6CEE6F"/>
    <w:rsid w:val="4A9ABA41"/>
    <w:rsid w:val="4AA7BDA8"/>
    <w:rsid w:val="4AB3BB44"/>
    <w:rsid w:val="4AF14D8C"/>
    <w:rsid w:val="4AF97C9D"/>
    <w:rsid w:val="4B1206FB"/>
    <w:rsid w:val="4B14FC31"/>
    <w:rsid w:val="4B40B6BF"/>
    <w:rsid w:val="4B85F837"/>
    <w:rsid w:val="4C790F16"/>
    <w:rsid w:val="4CA29A2A"/>
    <w:rsid w:val="4D5D53C4"/>
    <w:rsid w:val="4DF6D3BA"/>
    <w:rsid w:val="4E2B9539"/>
    <w:rsid w:val="4E35D985"/>
    <w:rsid w:val="4EA592EE"/>
    <w:rsid w:val="4ED5B844"/>
    <w:rsid w:val="4F442D50"/>
    <w:rsid w:val="508AA81B"/>
    <w:rsid w:val="508F5F89"/>
    <w:rsid w:val="50D316BF"/>
    <w:rsid w:val="51089EBD"/>
    <w:rsid w:val="51F22986"/>
    <w:rsid w:val="520ADA1B"/>
    <w:rsid w:val="520EEAE2"/>
    <w:rsid w:val="52182782"/>
    <w:rsid w:val="527C7CA4"/>
    <w:rsid w:val="542C8E1B"/>
    <w:rsid w:val="54630E98"/>
    <w:rsid w:val="5498A0D4"/>
    <w:rsid w:val="55426A9F"/>
    <w:rsid w:val="555F0C28"/>
    <w:rsid w:val="5568676E"/>
    <w:rsid w:val="55923F18"/>
    <w:rsid w:val="55BB88A7"/>
    <w:rsid w:val="566A3EDE"/>
    <w:rsid w:val="566C64E3"/>
    <w:rsid w:val="567288B2"/>
    <w:rsid w:val="575B4F19"/>
    <w:rsid w:val="57A216FC"/>
    <w:rsid w:val="57CA08AF"/>
    <w:rsid w:val="57E9EFA2"/>
    <w:rsid w:val="583DF040"/>
    <w:rsid w:val="5858423C"/>
    <w:rsid w:val="58B7ECD1"/>
    <w:rsid w:val="58BB4A88"/>
    <w:rsid w:val="58DFAAD3"/>
    <w:rsid w:val="590D0ABF"/>
    <w:rsid w:val="593FFD8C"/>
    <w:rsid w:val="59A59CD0"/>
    <w:rsid w:val="59B8E3A3"/>
    <w:rsid w:val="59DB8253"/>
    <w:rsid w:val="5A08F19A"/>
    <w:rsid w:val="5A0DF615"/>
    <w:rsid w:val="5A690762"/>
    <w:rsid w:val="5A7D8C26"/>
    <w:rsid w:val="5AF51B1E"/>
    <w:rsid w:val="5B02CA6F"/>
    <w:rsid w:val="5B058153"/>
    <w:rsid w:val="5B12E10F"/>
    <w:rsid w:val="5B50DD40"/>
    <w:rsid w:val="5BA6C329"/>
    <w:rsid w:val="5BB30D18"/>
    <w:rsid w:val="5C2B3433"/>
    <w:rsid w:val="5CA9699D"/>
    <w:rsid w:val="5CFBA27B"/>
    <w:rsid w:val="5D785BFF"/>
    <w:rsid w:val="5DAD9E8E"/>
    <w:rsid w:val="5E276E11"/>
    <w:rsid w:val="5E488276"/>
    <w:rsid w:val="5F425794"/>
    <w:rsid w:val="5F6B457F"/>
    <w:rsid w:val="5F8F4047"/>
    <w:rsid w:val="5FC75D2F"/>
    <w:rsid w:val="61228444"/>
    <w:rsid w:val="61442044"/>
    <w:rsid w:val="61765E27"/>
    <w:rsid w:val="61A0E693"/>
    <w:rsid w:val="6201CA1B"/>
    <w:rsid w:val="625F01F6"/>
    <w:rsid w:val="630970EE"/>
    <w:rsid w:val="6329A488"/>
    <w:rsid w:val="632A0FF4"/>
    <w:rsid w:val="6374A6C9"/>
    <w:rsid w:val="638384BB"/>
    <w:rsid w:val="63886BF6"/>
    <w:rsid w:val="63FCEE12"/>
    <w:rsid w:val="647DB944"/>
    <w:rsid w:val="647F4B2C"/>
    <w:rsid w:val="64B93EAD"/>
    <w:rsid w:val="64C7D558"/>
    <w:rsid w:val="650D8A57"/>
    <w:rsid w:val="65F66248"/>
    <w:rsid w:val="65FC0270"/>
    <w:rsid w:val="66375B13"/>
    <w:rsid w:val="66472808"/>
    <w:rsid w:val="6674789C"/>
    <w:rsid w:val="66C69B17"/>
    <w:rsid w:val="679ADCD0"/>
    <w:rsid w:val="679D14D2"/>
    <w:rsid w:val="67DDAC5A"/>
    <w:rsid w:val="67EB8CA6"/>
    <w:rsid w:val="68555B24"/>
    <w:rsid w:val="689E0F76"/>
    <w:rsid w:val="68ED3F98"/>
    <w:rsid w:val="698B0A19"/>
    <w:rsid w:val="699C8867"/>
    <w:rsid w:val="6A1DE425"/>
    <w:rsid w:val="6A71D7DD"/>
    <w:rsid w:val="6A97F0AC"/>
    <w:rsid w:val="6AE27E87"/>
    <w:rsid w:val="6BA804A5"/>
    <w:rsid w:val="6C31EDF9"/>
    <w:rsid w:val="6C67E5E7"/>
    <w:rsid w:val="6C880107"/>
    <w:rsid w:val="6C933454"/>
    <w:rsid w:val="6D05ED82"/>
    <w:rsid w:val="6D829146"/>
    <w:rsid w:val="6D8C40CF"/>
    <w:rsid w:val="6DBF36C2"/>
    <w:rsid w:val="6E1A7228"/>
    <w:rsid w:val="6E34E3F9"/>
    <w:rsid w:val="6E3F949F"/>
    <w:rsid w:val="6E44F958"/>
    <w:rsid w:val="6E7A1916"/>
    <w:rsid w:val="6E8FBFFC"/>
    <w:rsid w:val="6EAD37E5"/>
    <w:rsid w:val="6ED8ECA3"/>
    <w:rsid w:val="6F8122DB"/>
    <w:rsid w:val="70255C0D"/>
    <w:rsid w:val="702D2738"/>
    <w:rsid w:val="7045E03E"/>
    <w:rsid w:val="706C6F57"/>
    <w:rsid w:val="71C48479"/>
    <w:rsid w:val="71D4EB72"/>
    <w:rsid w:val="71EB9B2E"/>
    <w:rsid w:val="72188E4C"/>
    <w:rsid w:val="722338DF"/>
    <w:rsid w:val="723359A9"/>
    <w:rsid w:val="73645BCF"/>
    <w:rsid w:val="73DCCDE0"/>
    <w:rsid w:val="73EC6718"/>
    <w:rsid w:val="74779D1A"/>
    <w:rsid w:val="748B8F41"/>
    <w:rsid w:val="7493F1F4"/>
    <w:rsid w:val="74C92AA2"/>
    <w:rsid w:val="75255441"/>
    <w:rsid w:val="7563B449"/>
    <w:rsid w:val="759446C2"/>
    <w:rsid w:val="7595D988"/>
    <w:rsid w:val="75A72D17"/>
    <w:rsid w:val="76169003"/>
    <w:rsid w:val="763C3D18"/>
    <w:rsid w:val="76A3B952"/>
    <w:rsid w:val="76AFA1EC"/>
    <w:rsid w:val="76C85E16"/>
    <w:rsid w:val="771A9A12"/>
    <w:rsid w:val="77579A7E"/>
    <w:rsid w:val="776DF007"/>
    <w:rsid w:val="777FE27A"/>
    <w:rsid w:val="77950C0A"/>
    <w:rsid w:val="77C142FC"/>
    <w:rsid w:val="77FAC090"/>
    <w:rsid w:val="78841148"/>
    <w:rsid w:val="7892CC69"/>
    <w:rsid w:val="7897B8C3"/>
    <w:rsid w:val="789BDB9F"/>
    <w:rsid w:val="78ADA4C3"/>
    <w:rsid w:val="78AF8CD1"/>
    <w:rsid w:val="78AFBD88"/>
    <w:rsid w:val="78DD7465"/>
    <w:rsid w:val="7935C586"/>
    <w:rsid w:val="79556234"/>
    <w:rsid w:val="79A85787"/>
    <w:rsid w:val="79A90964"/>
    <w:rsid w:val="79A90F4F"/>
    <w:rsid w:val="79D6D075"/>
    <w:rsid w:val="7A144314"/>
    <w:rsid w:val="7A2C993F"/>
    <w:rsid w:val="7A8C5889"/>
    <w:rsid w:val="7AB15D19"/>
    <w:rsid w:val="7B1D4B5F"/>
    <w:rsid w:val="7B1EDE36"/>
    <w:rsid w:val="7B298EEA"/>
    <w:rsid w:val="7B8B2D66"/>
    <w:rsid w:val="7BB3C575"/>
    <w:rsid w:val="7C1D8613"/>
    <w:rsid w:val="7C38B5AD"/>
    <w:rsid w:val="7C7EFA01"/>
    <w:rsid w:val="7C7F77C0"/>
    <w:rsid w:val="7CC04FE0"/>
    <w:rsid w:val="7CE732F6"/>
    <w:rsid w:val="7CE96E82"/>
    <w:rsid w:val="7D20B528"/>
    <w:rsid w:val="7DABABBA"/>
    <w:rsid w:val="7DFF5B72"/>
    <w:rsid w:val="7E0E3CF6"/>
    <w:rsid w:val="7E456BF6"/>
    <w:rsid w:val="7E850A6B"/>
    <w:rsid w:val="7F1CFBEA"/>
    <w:rsid w:val="7FC0B78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5:docId w15:val="{7CE43C6E-79C8-4850-8AEC-8D94172B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2" w:unhideWhenUsed="1"/>
    <w:lsdException w:name="index heading" w:semiHidden="1"/>
    <w:lsdException w:name="caption" w:semiHidden="1" w:uiPriority="8"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uiPriority="1" w:qFormat="1"/>
    <w:lsdException w:name="List 2" w:semiHidden="1"/>
    <w:lsdException w:name="List 3" w:semiHidden="1"/>
    <w:lsdException w:name="List 4" w:semiHidden="1"/>
    <w:lsdException w:name="List 5" w:semiHidden="1"/>
    <w:lsdException w:name="List Bullet 2" w:semiHidden="1" w:uiPriority="1"/>
    <w:lsdException w:name="List Bullet 3" w:semiHidden="1"/>
    <w:lsdException w:name="List Bullet 4" w:semiHidden="1" w:uiPriority="1"/>
    <w:lsdException w:name="List Bullet 5" w:semiHidden="1" w:uiPriority="1"/>
    <w:lsdException w:name="List Number 2" w:semiHidden="1" w:uiPriority="1"/>
    <w:lsdException w:name="List Number 3" w:semiHidden="1"/>
    <w:lsdException w:name="List Number 4" w:semiHidden="1"/>
    <w:lsdException w:name="List Number 5" w:semiHidden="1" w:uiPriority="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iPriority="0"/>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3"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3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CD5333"/>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CD5333"/>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CD5333"/>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CD5333"/>
    <w:pPr>
      <w:outlineLvl w:val="3"/>
    </w:pPr>
    <w:rPr>
      <w:sz w:val="24"/>
    </w:rPr>
  </w:style>
  <w:style w:type="paragraph" w:styleId="Heading5">
    <w:name w:val="heading 5"/>
    <w:basedOn w:val="Normal"/>
    <w:next w:val="BodyText"/>
    <w:link w:val="Heading5Char"/>
    <w:qFormat/>
    <w:rsid w:val="00CD5333"/>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after="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after="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after="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5333"/>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CD5333"/>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CD5333"/>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D5333"/>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CD5333"/>
    <w:rPr>
      <w:rFonts w:ascii="Calibri" w:eastAsiaTheme="majorEastAsia" w:hAnsi="Calibri" w:cstheme="majorBidi"/>
      <w:i/>
      <w:sz w:val="24"/>
      <w:lang w:eastAsia="en-NZ"/>
    </w:rPr>
  </w:style>
  <w:style w:type="paragraph" w:styleId="BodyText">
    <w:name w:val="Body Text"/>
    <w:basedOn w:val="Normal"/>
    <w:link w:val="BodyTextChar"/>
    <w:qFormat/>
    <w:rsid w:val="00CD5333"/>
    <w:pPr>
      <w:jc w:val="left"/>
    </w:pPr>
  </w:style>
  <w:style w:type="character" w:customStyle="1" w:styleId="BodyTextChar">
    <w:name w:val="Body Text Char"/>
    <w:basedOn w:val="DefaultParagraphFont"/>
    <w:link w:val="BodyText"/>
    <w:rsid w:val="00CD5333"/>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CD5333"/>
    <w:pPr>
      <w:spacing w:before="60" w:after="60"/>
      <w:ind w:left="567" w:right="567"/>
      <w:jc w:val="left"/>
    </w:pPr>
    <w:rPr>
      <w:sz w:val="20"/>
    </w:rPr>
  </w:style>
  <w:style w:type="character" w:customStyle="1" w:styleId="QuoteChar">
    <w:name w:val="Quote Char"/>
    <w:basedOn w:val="DefaultParagraphFont"/>
    <w:link w:val="Quote"/>
    <w:uiPriority w:val="1"/>
    <w:rsid w:val="00CD5333"/>
    <w:rPr>
      <w:rFonts w:ascii="Calibri" w:eastAsiaTheme="minorEastAsia" w:hAnsi="Calibri"/>
      <w:sz w:val="20"/>
      <w:lang w:eastAsia="en-NZ"/>
    </w:rPr>
  </w:style>
  <w:style w:type="paragraph" w:customStyle="1" w:styleId="Bullet">
    <w:name w:val="Bullet"/>
    <w:basedOn w:val="Normal"/>
    <w:link w:val="BulletChar"/>
    <w:qFormat/>
    <w:rsid w:val="00CD5333"/>
    <w:pPr>
      <w:numPr>
        <w:numId w:val="30"/>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CD5333"/>
  </w:style>
  <w:style w:type="paragraph" w:styleId="Footer">
    <w:name w:val="footer"/>
    <w:basedOn w:val="Normal"/>
    <w:link w:val="FooterChar"/>
    <w:uiPriority w:val="2"/>
    <w:semiHidden/>
    <w:rsid w:val="00EA64B4"/>
    <w:pPr>
      <w:tabs>
        <w:tab w:val="center" w:pos="4153"/>
        <w:tab w:val="right" w:pos="8306"/>
      </w:tabs>
    </w:pPr>
  </w:style>
  <w:style w:type="character" w:customStyle="1" w:styleId="FooterChar">
    <w:name w:val="Footer Char"/>
    <w:basedOn w:val="DefaultParagraphFont"/>
    <w:link w:val="Footer"/>
    <w:uiPriority w:val="2"/>
    <w:semiHidden/>
    <w:rsid w:val="00F03FF2"/>
    <w:rPr>
      <w:rFonts w:ascii="Calibri" w:eastAsiaTheme="minorEastAsia" w:hAnsi="Calibri"/>
      <w:lang w:eastAsia="en-NZ"/>
    </w:rPr>
  </w:style>
  <w:style w:type="paragraph" w:customStyle="1" w:styleId="Sub-list">
    <w:name w:val="Sub-list"/>
    <w:basedOn w:val="Normal"/>
    <w:qFormat/>
    <w:rsid w:val="00C83C6C"/>
    <w:pPr>
      <w:numPr>
        <w:numId w:val="32"/>
      </w:numPr>
      <w:tabs>
        <w:tab w:val="clear" w:pos="397"/>
        <w:tab w:val="left" w:pos="794"/>
      </w:tabs>
      <w:spacing w:before="0"/>
      <w:jc w:val="left"/>
    </w:pPr>
  </w:style>
  <w:style w:type="paragraph" w:customStyle="1" w:styleId="Figureheading">
    <w:name w:val="Figure heading"/>
    <w:basedOn w:val="Normal"/>
    <w:next w:val="BodyText"/>
    <w:qFormat/>
    <w:rsid w:val="00CD5333"/>
    <w:pPr>
      <w:keepNext/>
      <w:ind w:left="1134" w:hanging="1134"/>
      <w:jc w:val="left"/>
    </w:pPr>
    <w:rPr>
      <w:b/>
      <w:sz w:val="20"/>
    </w:rPr>
  </w:style>
  <w:style w:type="character" w:styleId="FootnoteReference">
    <w:name w:val="footnote reference"/>
    <w:semiHidden/>
    <w:rsid w:val="00CD5333"/>
    <w:rPr>
      <w:rFonts w:ascii="Calibri" w:hAnsi="Calibri"/>
      <w:color w:val="auto"/>
      <w:sz w:val="22"/>
      <w:vertAlign w:val="superscript"/>
    </w:rPr>
  </w:style>
  <w:style w:type="paragraph" w:styleId="FootnoteText">
    <w:name w:val="footnote text"/>
    <w:basedOn w:val="Normal"/>
    <w:link w:val="FootnoteTextChar"/>
    <w:uiPriority w:val="99"/>
    <w:rsid w:val="00CD5333"/>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CD5333"/>
    <w:rPr>
      <w:rFonts w:ascii="Calibri" w:eastAsiaTheme="minorEastAsia" w:hAnsi="Calibri"/>
      <w:sz w:val="19"/>
      <w:lang w:eastAsia="en-NZ"/>
    </w:rPr>
  </w:style>
  <w:style w:type="character" w:styleId="Hyperlink">
    <w:name w:val="Hyperlink"/>
    <w:uiPriority w:val="99"/>
    <w:qFormat/>
    <w:rsid w:val="00CD5333"/>
    <w:rPr>
      <w:color w:val="32809C"/>
      <w:u w:val="none"/>
    </w:rPr>
  </w:style>
  <w:style w:type="paragraph" w:customStyle="1" w:styleId="Imprint">
    <w:name w:val="Imprint"/>
    <w:basedOn w:val="Normal"/>
    <w:uiPriority w:val="3"/>
    <w:rsid w:val="00CD5333"/>
    <w:pPr>
      <w:jc w:val="left"/>
    </w:pPr>
  </w:style>
  <w:style w:type="paragraph" w:customStyle="1" w:styleId="Note">
    <w:name w:val="Note"/>
    <w:basedOn w:val="BodyText"/>
    <w:next w:val="Normal"/>
    <w:uiPriority w:val="1"/>
    <w:qFormat/>
    <w:rsid w:val="00CD5333"/>
    <w:pPr>
      <w:spacing w:line="240" w:lineRule="atLeast"/>
    </w:pPr>
    <w:rPr>
      <w:sz w:val="18"/>
    </w:rPr>
  </w:style>
  <w:style w:type="paragraph" w:customStyle="1" w:styleId="References">
    <w:name w:val="References"/>
    <w:basedOn w:val="Normal"/>
    <w:uiPriority w:val="1"/>
    <w:qFormat/>
    <w:rsid w:val="00CD5333"/>
    <w:pPr>
      <w:spacing w:before="0" w:line="260" w:lineRule="atLeast"/>
      <w:jc w:val="left"/>
    </w:pPr>
    <w:rPr>
      <w:sz w:val="20"/>
    </w:rPr>
  </w:style>
  <w:style w:type="paragraph" w:customStyle="1" w:styleId="Source">
    <w:name w:val="Source"/>
    <w:basedOn w:val="Normal"/>
    <w:next w:val="Normal"/>
    <w:uiPriority w:val="1"/>
    <w:qFormat/>
    <w:rsid w:val="00CD5333"/>
    <w:pPr>
      <w:tabs>
        <w:tab w:val="left" w:pos="680"/>
      </w:tabs>
      <w:spacing w:line="240" w:lineRule="atLeast"/>
      <w:jc w:val="left"/>
    </w:pPr>
    <w:rPr>
      <w:sz w:val="18"/>
    </w:rPr>
  </w:style>
  <w:style w:type="paragraph" w:styleId="Title">
    <w:name w:val="Title"/>
    <w:basedOn w:val="Normal"/>
    <w:link w:val="TitleChar"/>
    <w:uiPriority w:val="2"/>
    <w:rsid w:val="00CD5333"/>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CD5333"/>
    <w:rPr>
      <w:rFonts w:ascii="Georgia" w:eastAsiaTheme="minorEastAsia" w:hAnsi="Georgia"/>
      <w:b/>
      <w:color w:val="1B556B"/>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CD5333"/>
    <w:pPr>
      <w:keepNext/>
      <w:ind w:left="1134" w:hanging="1134"/>
      <w:jc w:val="left"/>
    </w:pPr>
    <w:rPr>
      <w:b/>
      <w:sz w:val="20"/>
    </w:rPr>
  </w:style>
  <w:style w:type="paragraph" w:customStyle="1" w:styleId="TableText">
    <w:name w:val="TableText"/>
    <w:basedOn w:val="Normal"/>
    <w:qFormat/>
    <w:rsid w:val="00CD5333"/>
    <w:pPr>
      <w:spacing w:before="60" w:after="60" w:line="240" w:lineRule="atLeast"/>
      <w:jc w:val="left"/>
    </w:pPr>
    <w:rPr>
      <w:sz w:val="18"/>
    </w:rPr>
  </w:style>
  <w:style w:type="paragraph" w:customStyle="1" w:styleId="TableTextbold">
    <w:name w:val="TableText bold"/>
    <w:basedOn w:val="TableText"/>
    <w:rsid w:val="00CD5333"/>
    <w:rPr>
      <w:b/>
    </w:rPr>
  </w:style>
  <w:style w:type="paragraph" w:styleId="TOC1">
    <w:name w:val="toc 1"/>
    <w:basedOn w:val="Normal"/>
    <w:next w:val="Normal"/>
    <w:uiPriority w:val="39"/>
    <w:rsid w:val="00CD5333"/>
    <w:pPr>
      <w:tabs>
        <w:tab w:val="right" w:pos="8505"/>
      </w:tabs>
      <w:spacing w:before="280" w:after="0" w:line="240" w:lineRule="auto"/>
      <w:ind w:left="567" w:right="567" w:hanging="567"/>
      <w:jc w:val="left"/>
    </w:pPr>
  </w:style>
  <w:style w:type="paragraph" w:styleId="TOC2">
    <w:name w:val="toc 2"/>
    <w:basedOn w:val="Normal"/>
    <w:next w:val="Normal"/>
    <w:uiPriority w:val="39"/>
    <w:rsid w:val="00CD5333"/>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link w:val="GlossaryChar"/>
    <w:uiPriority w:val="1"/>
    <w:qFormat/>
    <w:rsid w:val="00CD5333"/>
    <w:pPr>
      <w:tabs>
        <w:tab w:val="left" w:pos="2835"/>
      </w:tabs>
      <w:spacing w:after="0"/>
      <w:jc w:val="left"/>
    </w:pPr>
  </w:style>
  <w:style w:type="paragraph" w:customStyle="1" w:styleId="Footerodd">
    <w:name w:val="Footer odd"/>
    <w:basedOn w:val="Normal"/>
    <w:uiPriority w:val="2"/>
    <w:rsid w:val="00CD5333"/>
    <w:pPr>
      <w:tabs>
        <w:tab w:val="right" w:pos="7938"/>
        <w:tab w:val="right" w:pos="8505"/>
      </w:tabs>
      <w:jc w:val="left"/>
    </w:pPr>
    <w:rPr>
      <w:sz w:val="16"/>
    </w:rPr>
  </w:style>
  <w:style w:type="paragraph" w:customStyle="1" w:styleId="Footereven">
    <w:name w:val="Footer even"/>
    <w:basedOn w:val="Normal"/>
    <w:uiPriority w:val="2"/>
    <w:rsid w:val="00CD5333"/>
    <w:pPr>
      <w:tabs>
        <w:tab w:val="left" w:pos="567"/>
      </w:tabs>
    </w:pPr>
    <w:rPr>
      <w:sz w:val="16"/>
    </w:rPr>
  </w:style>
  <w:style w:type="paragraph" w:customStyle="1" w:styleId="Numberedparagraph">
    <w:name w:val="Numbered paragraph"/>
    <w:basedOn w:val="Normal"/>
    <w:uiPriority w:val="1"/>
    <w:qFormat/>
    <w:rsid w:val="00CD5333"/>
    <w:pPr>
      <w:numPr>
        <w:numId w:val="31"/>
      </w:numPr>
      <w:spacing w:before="0"/>
      <w:jc w:val="left"/>
    </w:pPr>
  </w:style>
  <w:style w:type="paragraph" w:customStyle="1" w:styleId="Sub-lista">
    <w:name w:val="Sub-list a"/>
    <w:aliases w:val="b"/>
    <w:basedOn w:val="Normal"/>
    <w:uiPriority w:val="2"/>
    <w:rsid w:val="00CD5333"/>
    <w:pPr>
      <w:numPr>
        <w:numId w:val="33"/>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DA51D9"/>
    <w:pPr>
      <w:tabs>
        <w:tab w:val="left" w:pos="1855"/>
        <w:tab w:val="right" w:pos="8495"/>
      </w:tabs>
      <w:spacing w:before="60" w:after="60" w:line="240" w:lineRule="auto"/>
      <w:ind w:left="1832" w:hanging="709"/>
      <w:jc w:val="left"/>
    </w:pPr>
    <w:rPr>
      <w:rFonts w:asciiTheme="minorHAnsi" w:eastAsia="Times New Roman" w:hAnsiTheme="minorHAnsi" w:cs="Times New Roman"/>
      <w:lang w:eastAsia="en-US"/>
    </w:rPr>
  </w:style>
  <w:style w:type="paragraph" w:styleId="TableofFigures">
    <w:name w:val="table of figures"/>
    <w:basedOn w:val="Normal"/>
    <w:next w:val="Normal"/>
    <w:uiPriority w:val="99"/>
    <w:rsid w:val="008E29E7"/>
    <w:pPr>
      <w:tabs>
        <w:tab w:val="right" w:pos="8495"/>
      </w:tabs>
      <w:spacing w:before="0" w:line="240" w:lineRule="auto"/>
      <w:ind w:left="1134" w:right="567" w:hanging="1134"/>
      <w:jc w:val="left"/>
    </w:pPr>
    <w:rPr>
      <w:rFonts w:asciiTheme="minorHAnsi" w:eastAsiaTheme="majorEastAsia" w:hAnsiTheme="minorHAnsi" w:cs="Times New Roman"/>
      <w:iCs/>
      <w:noProof/>
      <w:lang w:eastAsia="en-US"/>
    </w:rPr>
  </w:style>
  <w:style w:type="paragraph" w:customStyle="1" w:styleId="Sub-listi">
    <w:name w:val="Sub-list i"/>
    <w:aliases w:val="ii"/>
    <w:basedOn w:val="BodyText"/>
    <w:semiHidden/>
    <w:rsid w:val="00CD5333"/>
    <w:pPr>
      <w:numPr>
        <w:numId w:val="34"/>
      </w:numPr>
      <w:spacing w:before="60" w:after="60"/>
    </w:pPr>
  </w:style>
  <w:style w:type="paragraph" w:customStyle="1" w:styleId="TableBullet">
    <w:name w:val="TableBullet"/>
    <w:basedOn w:val="Normal"/>
    <w:qFormat/>
    <w:rsid w:val="00CD5333"/>
    <w:pPr>
      <w:numPr>
        <w:numId w:val="35"/>
      </w:numPr>
      <w:spacing w:before="0" w:after="60" w:line="240" w:lineRule="atLeast"/>
      <w:jc w:val="left"/>
    </w:pPr>
    <w:rPr>
      <w:rFonts w:cs="Arial"/>
      <w:sz w:val="18"/>
      <w:szCs w:val="16"/>
    </w:rPr>
  </w:style>
  <w:style w:type="paragraph" w:customStyle="1" w:styleId="TableDash">
    <w:name w:val="TableDash"/>
    <w:basedOn w:val="TableBullet"/>
    <w:qFormat/>
    <w:rsid w:val="00CD5333"/>
    <w:pPr>
      <w:numPr>
        <w:numId w:val="36"/>
      </w:numPr>
    </w:pPr>
  </w:style>
  <w:style w:type="paragraph" w:styleId="ListParagraph">
    <w:name w:val="List Paragraph"/>
    <w:basedOn w:val="Normal"/>
    <w:uiPriority w:val="34"/>
    <w:semiHidden/>
    <w:qFormat/>
    <w:rsid w:val="00EA64B4"/>
    <w:pPr>
      <w:spacing w:before="0" w:after="0" w:line="240" w:lineRule="auto"/>
      <w:ind w:left="720"/>
      <w:contextualSpacing/>
      <w:jc w:val="left"/>
    </w:pPr>
    <w:rPr>
      <w:rFonts w:ascii="Times New Roman" w:eastAsia="Times New Roman" w:hAnsi="Times New Roman" w:cs="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3"/>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CD5333"/>
    <w:rPr>
      <w:color w:val="800080" w:themeColor="followedHyperlink"/>
      <w:u w:val="none"/>
    </w:rPr>
  </w:style>
  <w:style w:type="paragraph" w:customStyle="1" w:styleId="BoxBullet0">
    <w:name w:val="Box Bullet"/>
    <w:basedOn w:val="Normal"/>
    <w:semiHidden/>
    <w:qFormat/>
    <w:rsid w:val="008B5E54"/>
    <w:pPr>
      <w:pBdr>
        <w:top w:val="single" w:sz="6" w:space="15" w:color="auto"/>
        <w:left w:val="single" w:sz="6" w:space="15" w:color="auto"/>
        <w:bottom w:val="single" w:sz="6" w:space="15" w:color="auto"/>
        <w:right w:val="single" w:sz="6" w:space="15" w:color="auto"/>
      </w:pBdr>
      <w:tabs>
        <w:tab w:val="num" w:pos="851"/>
      </w:tabs>
      <w:spacing w:before="0"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jc w:val="left"/>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8"/>
    <w:semiHidden/>
    <w:qFormat/>
    <w:rsid w:val="00EA64B4"/>
    <w:pPr>
      <w:spacing w:before="0" w:after="200" w:line="240" w:lineRule="auto"/>
      <w:jc w:val="left"/>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CD533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pPr>
    <w:rPr>
      <w:b/>
      <w:color w:val="1B556B"/>
      <w:sz w:val="22"/>
    </w:rPr>
  </w:style>
  <w:style w:type="numbering" w:customStyle="1" w:styleId="Style3">
    <w:name w:val="Style3"/>
    <w:uiPriority w:val="99"/>
    <w:rsid w:val="008B5A2D"/>
    <w:pPr>
      <w:numPr>
        <w:numId w:val="6"/>
      </w:numPr>
    </w:pPr>
  </w:style>
  <w:style w:type="paragraph" w:customStyle="1" w:styleId="Boxtext">
    <w:name w:val="Box text"/>
    <w:basedOn w:val="Normal"/>
    <w:uiPriority w:val="1"/>
    <w:qFormat/>
    <w:rsid w:val="00CD5333"/>
    <w:pPr>
      <w:spacing w:line="260" w:lineRule="atLeast"/>
      <w:ind w:left="284" w:right="284"/>
      <w:jc w:val="left"/>
    </w:pPr>
    <w:rPr>
      <w:color w:val="1B556B"/>
      <w:sz w:val="20"/>
    </w:rPr>
  </w:style>
  <w:style w:type="paragraph" w:customStyle="1" w:styleId="Boxbullet">
    <w:name w:val="Box bullet"/>
    <w:basedOn w:val="Boxtext"/>
    <w:uiPriority w:val="1"/>
    <w:qFormat/>
    <w:rsid w:val="00CD5333"/>
    <w:pPr>
      <w:numPr>
        <w:numId w:val="28"/>
      </w:numPr>
      <w:tabs>
        <w:tab w:val="left" w:pos="680"/>
      </w:tabs>
      <w:spacing w:before="0"/>
    </w:pPr>
    <w:rPr>
      <w:rFonts w:cs="Times New Roman"/>
      <w:szCs w:val="20"/>
    </w:rPr>
  </w:style>
  <w:style w:type="paragraph" w:customStyle="1" w:styleId="Boxheading0">
    <w:name w:val="Box heading"/>
    <w:basedOn w:val="Boxtext"/>
    <w:next w:val="Boxtext"/>
    <w:uiPriority w:val="1"/>
    <w:qFormat/>
    <w:rsid w:val="00CD5333"/>
    <w:pPr>
      <w:keepNext/>
      <w:spacing w:before="240" w:after="0"/>
    </w:pPr>
    <w:rPr>
      <w:rFonts w:cs="Times New Roman"/>
      <w:b/>
      <w:sz w:val="22"/>
      <w:szCs w:val="20"/>
    </w:rPr>
  </w:style>
  <w:style w:type="paragraph" w:customStyle="1" w:styleId="Boxsub-bullet">
    <w:name w:val="Box sub-bullet"/>
    <w:basedOn w:val="Boxtext"/>
    <w:uiPriority w:val="1"/>
    <w:qFormat/>
    <w:rsid w:val="00CD5333"/>
    <w:pPr>
      <w:numPr>
        <w:numId w:val="29"/>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7"/>
      </w:numPr>
    </w:pPr>
  </w:style>
  <w:style w:type="character" w:styleId="UnresolvedMention">
    <w:name w:val="Unresolved Mention"/>
    <w:basedOn w:val="DefaultParagraphFont"/>
    <w:uiPriority w:val="99"/>
    <w:semiHidden/>
    <w:unhideWhenUsed/>
    <w:rsid w:val="00DE1771"/>
    <w:rPr>
      <w:color w:val="605E5C"/>
      <w:shd w:val="clear" w:color="auto" w:fill="E1DFDD"/>
    </w:rPr>
  </w:style>
  <w:style w:type="paragraph" w:styleId="Bibliography">
    <w:name w:val="Bibliography"/>
    <w:basedOn w:val="Normal"/>
    <w:next w:val="Normal"/>
    <w:uiPriority w:val="37"/>
    <w:semiHidden/>
    <w:unhideWhenUsed/>
    <w:rsid w:val="00D3504B"/>
  </w:style>
  <w:style w:type="paragraph" w:styleId="CommentText">
    <w:name w:val="annotation text"/>
    <w:basedOn w:val="Normal"/>
    <w:link w:val="CommentTextChar"/>
    <w:uiPriority w:val="99"/>
    <w:semiHidden/>
    <w:rsid w:val="00A7193A"/>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CD5333"/>
    <w:rPr>
      <w:sz w:val="20"/>
      <w:szCs w:val="20"/>
    </w:rPr>
  </w:style>
  <w:style w:type="paragraph" w:customStyle="1" w:styleId="Box">
    <w:name w:val="Box"/>
    <w:basedOn w:val="Normal"/>
    <w:uiPriority w:val="1"/>
    <w:semiHidden/>
    <w:qFormat/>
    <w:rsid w:val="00B60453"/>
    <w:pPr>
      <w:pBdr>
        <w:top w:val="single" w:sz="4" w:space="15" w:color="D2DDE2"/>
        <w:left w:val="single" w:sz="4" w:space="15" w:color="D2DDE2"/>
        <w:bottom w:val="single" w:sz="4" w:space="15" w:color="D2DDE2"/>
        <w:right w:val="single" w:sz="4" w:space="15" w:color="D2DDE2"/>
      </w:pBdr>
      <w:shd w:val="clear" w:color="auto" w:fill="D2DDE2"/>
      <w:spacing w:before="0" w:after="0" w:line="240" w:lineRule="auto"/>
      <w:ind w:left="284" w:right="284"/>
      <w:jc w:val="left"/>
    </w:pPr>
    <w:rPr>
      <w:rFonts w:asciiTheme="minorHAnsi" w:eastAsia="Times New Roman" w:hAnsiTheme="minorHAnsi" w:cs="Times New Roman"/>
      <w:color w:val="1C556C"/>
      <w:sz w:val="20"/>
      <w:lang w:eastAsia="en-US"/>
    </w:rPr>
  </w:style>
  <w:style w:type="character" w:customStyle="1" w:styleId="UnresolvedMention1">
    <w:name w:val="Unresolved Mention1"/>
    <w:basedOn w:val="DefaultParagraphFont"/>
    <w:uiPriority w:val="99"/>
    <w:semiHidden/>
    <w:unhideWhenUsed/>
    <w:rsid w:val="00B60453"/>
    <w:rPr>
      <w:color w:val="605E5C"/>
      <w:shd w:val="clear" w:color="auto" w:fill="E1DFDD"/>
    </w:rPr>
  </w:style>
  <w:style w:type="paragraph" w:styleId="DocumentMap">
    <w:name w:val="Document Map"/>
    <w:basedOn w:val="Normal"/>
    <w:link w:val="DocumentMapChar"/>
    <w:uiPriority w:val="99"/>
    <w:semiHidden/>
    <w:rsid w:val="00D3504B"/>
    <w:pPr>
      <w:spacing w:before="0" w:after="0" w:line="240" w:lineRule="auto"/>
      <w:jc w:val="left"/>
    </w:pPr>
    <w:rPr>
      <w:rFonts w:ascii="Segoe UI" w:eastAsia="Times New Roman" w:hAnsi="Segoe UI" w:cs="Segoe UI"/>
      <w:sz w:val="16"/>
      <w:szCs w:val="16"/>
      <w:lang w:eastAsia="en-US"/>
    </w:rPr>
  </w:style>
  <w:style w:type="character" w:customStyle="1" w:styleId="DocumentMapChar">
    <w:name w:val="Document Map Char"/>
    <w:basedOn w:val="DefaultParagraphFont"/>
    <w:link w:val="DocumentMap"/>
    <w:uiPriority w:val="99"/>
    <w:semiHidden/>
    <w:rsid w:val="00D3504B"/>
    <w:rPr>
      <w:rFonts w:ascii="Segoe UI" w:eastAsia="Times New Roman" w:hAnsi="Segoe UI" w:cs="Segoe UI"/>
      <w:sz w:val="16"/>
      <w:szCs w:val="16"/>
    </w:rPr>
  </w:style>
  <w:style w:type="paragraph" w:styleId="Index1">
    <w:name w:val="index 1"/>
    <w:basedOn w:val="Normal"/>
    <w:next w:val="Normal"/>
    <w:autoRedefine/>
    <w:uiPriority w:val="99"/>
    <w:semiHidden/>
    <w:rsid w:val="00D3504B"/>
    <w:pPr>
      <w:spacing w:before="0" w:after="0" w:line="240" w:lineRule="auto"/>
      <w:ind w:left="220" w:hanging="220"/>
      <w:jc w:val="left"/>
    </w:pPr>
    <w:rPr>
      <w:rFonts w:asciiTheme="minorHAnsi" w:eastAsia="Times New Roman" w:hAnsiTheme="minorHAnsi" w:cs="Times New Roman"/>
      <w:lang w:eastAsia="en-US"/>
    </w:rPr>
  </w:style>
  <w:style w:type="paragraph" w:styleId="Index2">
    <w:name w:val="index 2"/>
    <w:basedOn w:val="Normal"/>
    <w:next w:val="Normal"/>
    <w:autoRedefine/>
    <w:uiPriority w:val="99"/>
    <w:semiHidden/>
    <w:rsid w:val="00D3504B"/>
    <w:pPr>
      <w:spacing w:before="0" w:after="0" w:line="240" w:lineRule="auto"/>
      <w:ind w:left="440" w:hanging="220"/>
      <w:jc w:val="left"/>
    </w:pPr>
    <w:rPr>
      <w:rFonts w:asciiTheme="minorHAnsi" w:eastAsia="Times New Roman" w:hAnsiTheme="minorHAnsi" w:cs="Times New Roman"/>
      <w:lang w:eastAsia="en-US"/>
    </w:rPr>
  </w:style>
  <w:style w:type="paragraph" w:styleId="ListBullet">
    <w:name w:val="List Bullet"/>
    <w:basedOn w:val="BodyText"/>
    <w:semiHidden/>
    <w:qFormat/>
    <w:rsid w:val="00B60453"/>
    <w:pPr>
      <w:numPr>
        <w:numId w:val="8"/>
      </w:numPr>
    </w:pPr>
    <w:rPr>
      <w:lang w:eastAsia="en-AU"/>
    </w:rPr>
  </w:style>
  <w:style w:type="paragraph" w:styleId="ListBullet2">
    <w:name w:val="List Bullet 2"/>
    <w:basedOn w:val="ListBullet"/>
    <w:uiPriority w:val="1"/>
    <w:semiHidden/>
    <w:rsid w:val="00B60453"/>
    <w:pPr>
      <w:numPr>
        <w:ilvl w:val="1"/>
      </w:numPr>
    </w:pPr>
  </w:style>
  <w:style w:type="paragraph" w:styleId="ListBullet4">
    <w:name w:val="List Bullet 4"/>
    <w:basedOn w:val="ListBullet"/>
    <w:uiPriority w:val="1"/>
    <w:semiHidden/>
    <w:rsid w:val="00B60453"/>
    <w:pPr>
      <w:numPr>
        <w:ilvl w:val="3"/>
      </w:numPr>
    </w:pPr>
  </w:style>
  <w:style w:type="paragraph" w:styleId="ListBullet5">
    <w:name w:val="List Bullet 5"/>
    <w:basedOn w:val="ListBullet4"/>
    <w:uiPriority w:val="1"/>
    <w:semiHidden/>
    <w:rsid w:val="00B60453"/>
    <w:pPr>
      <w:numPr>
        <w:ilvl w:val="4"/>
      </w:numPr>
    </w:pPr>
  </w:style>
  <w:style w:type="paragraph" w:customStyle="1" w:styleId="BoxText0">
    <w:name w:val="Box Text"/>
    <w:semiHidden/>
    <w:qFormat/>
    <w:rsid w:val="00B60453"/>
    <w:pPr>
      <w:spacing w:before="120" w:after="120" w:line="240" w:lineRule="auto"/>
      <w:ind w:right="397"/>
    </w:pPr>
    <w:rPr>
      <w:rFonts w:ascii="Calibri" w:eastAsia="Times New Roman" w:hAnsi="Calibri" w:cs="Times New Roman"/>
      <w:szCs w:val="20"/>
      <w:lang w:eastAsia="en-AU"/>
    </w:rPr>
  </w:style>
  <w:style w:type="paragraph" w:customStyle="1" w:styleId="Default">
    <w:name w:val="Default"/>
    <w:semiHidden/>
    <w:rsid w:val="00B60453"/>
    <w:pPr>
      <w:autoSpaceDE w:val="0"/>
      <w:autoSpaceDN w:val="0"/>
      <w:adjustRightInd w:val="0"/>
      <w:spacing w:after="0" w:line="240" w:lineRule="auto"/>
    </w:pPr>
    <w:rPr>
      <w:rFonts w:ascii="Calibri" w:hAnsi="Calibri" w:cs="Calibri"/>
      <w:color w:val="000000"/>
      <w:sz w:val="24"/>
      <w:szCs w:val="24"/>
    </w:rPr>
  </w:style>
  <w:style w:type="paragraph" w:customStyle="1" w:styleId="BoxHeading1">
    <w:name w:val="Box Heading"/>
    <w:basedOn w:val="BoxText0"/>
    <w:next w:val="BoxText0"/>
    <w:semiHidden/>
    <w:qFormat/>
    <w:rsid w:val="00B60453"/>
    <w:pPr>
      <w:keepNext/>
      <w:spacing w:before="200" w:after="200"/>
      <w:contextualSpacing/>
    </w:pPr>
    <w:rPr>
      <w:rFonts w:asciiTheme="majorHAnsi" w:hAnsiTheme="majorHAnsi"/>
      <w:b/>
      <w:bCs/>
      <w:color w:val="1B556B" w:themeColor="text2"/>
      <w:szCs w:val="22"/>
    </w:rPr>
  </w:style>
  <w:style w:type="paragraph" w:styleId="TOCHeading">
    <w:name w:val="TOC Heading"/>
    <w:basedOn w:val="Heading1"/>
    <w:next w:val="Normal"/>
    <w:uiPriority w:val="10"/>
    <w:semiHidden/>
    <w:unhideWhenUsed/>
    <w:qFormat/>
    <w:rsid w:val="00B60453"/>
    <w:pPr>
      <w:tabs>
        <w:tab w:val="clear" w:pos="851"/>
      </w:tabs>
      <w:spacing w:after="480" w:line="240" w:lineRule="auto"/>
      <w:outlineLvl w:val="9"/>
    </w:pPr>
    <w:rPr>
      <w:rFonts w:ascii="Calibri" w:hAnsi="Calibri"/>
      <w:color w:val="6FC7B7"/>
      <w:sz w:val="60"/>
      <w:lang w:eastAsia="en-AU"/>
    </w:rPr>
  </w:style>
  <w:style w:type="paragraph" w:customStyle="1" w:styleId="Note2">
    <w:name w:val="Note2"/>
    <w:uiPriority w:val="6"/>
    <w:semiHidden/>
    <w:qFormat/>
    <w:rsid w:val="00B60453"/>
    <w:pPr>
      <w:numPr>
        <w:numId w:val="14"/>
      </w:numPr>
      <w:spacing w:before="120" w:after="0" w:line="240" w:lineRule="auto"/>
    </w:pPr>
    <w:rPr>
      <w:rFonts w:eastAsia="Times New Roman" w:cs="Times New Roman"/>
      <w:sz w:val="18"/>
      <w:szCs w:val="18"/>
      <w:lang w:eastAsia="en-AU"/>
    </w:rPr>
  </w:style>
  <w:style w:type="character" w:styleId="PageNumber">
    <w:name w:val="page number"/>
    <w:uiPriority w:val="99"/>
    <w:semiHidden/>
    <w:rsid w:val="00B60453"/>
    <w:rPr>
      <w:rFonts w:asciiTheme="minorHAnsi" w:hAnsiTheme="minorHAnsi" w:cs="Calibri"/>
      <w:b/>
      <w:bCs/>
      <w:sz w:val="18"/>
      <w:szCs w:val="20"/>
      <w:lang w:val="en-NZ"/>
    </w:rPr>
  </w:style>
  <w:style w:type="paragraph" w:customStyle="1" w:styleId="TOCSubheading">
    <w:name w:val="TOC Subheading"/>
    <w:next w:val="Normal"/>
    <w:uiPriority w:val="11"/>
    <w:semiHidden/>
    <w:unhideWhenUsed/>
    <w:qFormat/>
    <w:rsid w:val="00B60453"/>
    <w:pPr>
      <w:keepNext/>
      <w:spacing w:before="600" w:after="0" w:line="240" w:lineRule="auto"/>
    </w:pPr>
    <w:rPr>
      <w:rFonts w:eastAsia="Times New Roman" w:cs="Times New Roman"/>
      <w:b/>
      <w:color w:val="6FC7B7"/>
      <w:sz w:val="32"/>
      <w:lang w:eastAsia="en-AU"/>
    </w:rPr>
  </w:style>
  <w:style w:type="paragraph" w:styleId="BlockText">
    <w:name w:val="Block Text"/>
    <w:basedOn w:val="Normal"/>
    <w:uiPriority w:val="99"/>
    <w:semiHidden/>
    <w:rsid w:val="00B60453"/>
    <w:pPr>
      <w:spacing w:before="0" w:after="0" w:line="240" w:lineRule="auto"/>
      <w:ind w:left="1440" w:right="1440"/>
      <w:jc w:val="left"/>
    </w:pPr>
    <w:rPr>
      <w:rFonts w:asciiTheme="minorHAnsi" w:eastAsia="Times New Roman" w:hAnsiTheme="minorHAnsi" w:cs="Times New Roman"/>
      <w:lang w:eastAsia="en-AU"/>
    </w:rPr>
  </w:style>
  <w:style w:type="paragraph" w:styleId="BodyText2">
    <w:name w:val="Body Text 2"/>
    <w:basedOn w:val="BodyText"/>
    <w:next w:val="BodyText"/>
    <w:link w:val="BodyText2Char1"/>
    <w:semiHidden/>
    <w:rsid w:val="00B60453"/>
    <w:pPr>
      <w:spacing w:before="240"/>
    </w:pPr>
    <w:rPr>
      <w:lang w:eastAsia="en-AU"/>
    </w:rPr>
  </w:style>
  <w:style w:type="character" w:customStyle="1" w:styleId="BodyText2Char">
    <w:name w:val="Body Text 2 Char"/>
    <w:basedOn w:val="DefaultParagraphFont"/>
    <w:uiPriority w:val="99"/>
    <w:semiHidden/>
    <w:rsid w:val="00B60453"/>
    <w:rPr>
      <w:rFonts w:ascii="Calibri" w:eastAsiaTheme="minorEastAsia" w:hAnsi="Calibri"/>
      <w:lang w:eastAsia="en-NZ"/>
    </w:rPr>
  </w:style>
  <w:style w:type="paragraph" w:styleId="BodyText3">
    <w:name w:val="Body Text 3"/>
    <w:basedOn w:val="Normal"/>
    <w:link w:val="BodyText3Char"/>
    <w:uiPriority w:val="99"/>
    <w:semiHidden/>
    <w:rsid w:val="00B60453"/>
    <w:pPr>
      <w:spacing w:before="0" w:after="0" w:line="240" w:lineRule="auto"/>
      <w:jc w:val="left"/>
    </w:pPr>
    <w:rPr>
      <w:rFonts w:asciiTheme="minorHAnsi" w:eastAsia="Times New Roman" w:hAnsiTheme="minorHAnsi" w:cs="Times New Roman"/>
      <w:sz w:val="16"/>
      <w:szCs w:val="16"/>
      <w:lang w:eastAsia="en-AU"/>
    </w:rPr>
  </w:style>
  <w:style w:type="character" w:customStyle="1" w:styleId="BodyText3Char">
    <w:name w:val="Body Text 3 Char"/>
    <w:basedOn w:val="DefaultParagraphFont"/>
    <w:link w:val="BodyText3"/>
    <w:uiPriority w:val="99"/>
    <w:semiHidden/>
    <w:rsid w:val="00B60453"/>
    <w:rPr>
      <w:rFonts w:eastAsia="Times New Roman" w:cs="Times New Roman"/>
      <w:sz w:val="16"/>
      <w:szCs w:val="16"/>
      <w:lang w:eastAsia="en-AU"/>
    </w:rPr>
  </w:style>
  <w:style w:type="paragraph" w:styleId="BodyTextFirstIndent">
    <w:name w:val="Body Text First Indent"/>
    <w:basedOn w:val="BodyText"/>
    <w:link w:val="BodyTextFirstIndentChar"/>
    <w:uiPriority w:val="99"/>
    <w:semiHidden/>
    <w:rsid w:val="00B60453"/>
    <w:pPr>
      <w:ind w:firstLine="210"/>
    </w:pPr>
    <w:rPr>
      <w:lang w:eastAsia="en-AU"/>
    </w:rPr>
  </w:style>
  <w:style w:type="character" w:customStyle="1" w:styleId="BodyTextFirstIndentChar">
    <w:name w:val="Body Text First Indent Char"/>
    <w:basedOn w:val="BodyTextChar"/>
    <w:link w:val="BodyTextFirstIndent"/>
    <w:uiPriority w:val="99"/>
    <w:semiHidden/>
    <w:rsid w:val="00B60453"/>
    <w:rPr>
      <w:rFonts w:ascii="Calibri" w:eastAsia="Times New Roman" w:hAnsi="Calibri" w:cs="Times New Roman"/>
      <w:lang w:eastAsia="en-AU"/>
    </w:rPr>
  </w:style>
  <w:style w:type="character" w:customStyle="1" w:styleId="BodyText2Char1">
    <w:name w:val="Body Text 2 Char1"/>
    <w:link w:val="BodyText2"/>
    <w:semiHidden/>
    <w:rsid w:val="00B60453"/>
    <w:rPr>
      <w:rFonts w:eastAsia="Times New Roman" w:cs="Times New Roman"/>
      <w:lang w:eastAsia="en-AU"/>
    </w:rPr>
  </w:style>
  <w:style w:type="paragraph" w:styleId="BodyTextIndent">
    <w:name w:val="Body Text Indent"/>
    <w:basedOn w:val="Normal"/>
    <w:link w:val="BodyTextIndentChar"/>
    <w:uiPriority w:val="99"/>
    <w:semiHidden/>
    <w:unhideWhenUsed/>
    <w:rsid w:val="00B60453"/>
    <w:pPr>
      <w:spacing w:before="0" w:after="0" w:line="240" w:lineRule="auto"/>
      <w:ind w:left="283"/>
      <w:jc w:val="left"/>
    </w:pPr>
    <w:rPr>
      <w:rFonts w:asciiTheme="minorHAnsi" w:eastAsia="Times New Roman" w:hAnsiTheme="minorHAnsi" w:cs="Times New Roman"/>
      <w:lang w:eastAsia="en-AU"/>
    </w:rPr>
  </w:style>
  <w:style w:type="character" w:customStyle="1" w:styleId="BodyTextIndentChar">
    <w:name w:val="Body Text Indent Char"/>
    <w:basedOn w:val="DefaultParagraphFont"/>
    <w:link w:val="BodyTextIndent"/>
    <w:uiPriority w:val="99"/>
    <w:semiHidden/>
    <w:rsid w:val="00B60453"/>
    <w:rPr>
      <w:rFonts w:eastAsia="Times New Roman" w:cs="Times New Roman"/>
      <w:lang w:eastAsia="en-AU"/>
    </w:rPr>
  </w:style>
  <w:style w:type="paragraph" w:styleId="BodyTextFirstIndent2">
    <w:name w:val="Body Text First Indent 2"/>
    <w:basedOn w:val="BodyText2"/>
    <w:link w:val="BodyTextFirstIndent2Char"/>
    <w:uiPriority w:val="99"/>
    <w:semiHidden/>
    <w:rsid w:val="00B60453"/>
    <w:pPr>
      <w:ind w:firstLine="210"/>
    </w:pPr>
  </w:style>
  <w:style w:type="character" w:customStyle="1" w:styleId="BodyTextFirstIndent2Char">
    <w:name w:val="Body Text First Indent 2 Char"/>
    <w:basedOn w:val="BodyTextIndentChar"/>
    <w:link w:val="BodyTextFirstIndent2"/>
    <w:uiPriority w:val="99"/>
    <w:semiHidden/>
    <w:rsid w:val="00B60453"/>
    <w:rPr>
      <w:rFonts w:ascii="Calibri" w:eastAsia="Times New Roman" w:hAnsi="Calibri" w:cs="Times New Roman"/>
      <w:lang w:eastAsia="en-AU"/>
    </w:rPr>
  </w:style>
  <w:style w:type="paragraph" w:styleId="BodyTextIndent2">
    <w:name w:val="Body Text Indent 2"/>
    <w:basedOn w:val="Normal"/>
    <w:link w:val="BodyTextIndent2Char"/>
    <w:uiPriority w:val="99"/>
    <w:semiHidden/>
    <w:rsid w:val="00B60453"/>
    <w:pPr>
      <w:spacing w:before="0" w:after="0" w:line="480" w:lineRule="auto"/>
      <w:ind w:left="283"/>
      <w:jc w:val="left"/>
    </w:pPr>
    <w:rPr>
      <w:rFonts w:asciiTheme="minorHAnsi" w:eastAsia="Times New Roman" w:hAnsiTheme="minorHAnsi" w:cs="Times New Roman"/>
      <w:lang w:eastAsia="en-AU"/>
    </w:rPr>
  </w:style>
  <w:style w:type="character" w:customStyle="1" w:styleId="BodyTextIndent2Char">
    <w:name w:val="Body Text Indent 2 Char"/>
    <w:basedOn w:val="DefaultParagraphFont"/>
    <w:link w:val="BodyTextIndent2"/>
    <w:uiPriority w:val="99"/>
    <w:semiHidden/>
    <w:rsid w:val="00B60453"/>
    <w:rPr>
      <w:rFonts w:eastAsia="Times New Roman" w:cs="Times New Roman"/>
      <w:lang w:eastAsia="en-AU"/>
    </w:rPr>
  </w:style>
  <w:style w:type="paragraph" w:styleId="BodyTextIndent3">
    <w:name w:val="Body Text Indent 3"/>
    <w:basedOn w:val="Normal"/>
    <w:link w:val="BodyTextIndent3Char"/>
    <w:uiPriority w:val="99"/>
    <w:semiHidden/>
    <w:rsid w:val="00B60453"/>
    <w:pPr>
      <w:spacing w:before="0" w:after="0" w:line="240" w:lineRule="auto"/>
      <w:ind w:left="283"/>
      <w:jc w:val="left"/>
    </w:pPr>
    <w:rPr>
      <w:rFonts w:asciiTheme="minorHAnsi" w:eastAsia="Times New Roman" w:hAnsiTheme="minorHAnsi" w:cs="Times New Roman"/>
      <w:sz w:val="16"/>
      <w:szCs w:val="16"/>
      <w:lang w:eastAsia="en-AU"/>
    </w:rPr>
  </w:style>
  <w:style w:type="character" w:customStyle="1" w:styleId="BodyTextIndent3Char">
    <w:name w:val="Body Text Indent 3 Char"/>
    <w:basedOn w:val="DefaultParagraphFont"/>
    <w:link w:val="BodyTextIndent3"/>
    <w:uiPriority w:val="99"/>
    <w:semiHidden/>
    <w:rsid w:val="00B60453"/>
    <w:rPr>
      <w:rFonts w:eastAsia="Times New Roman" w:cs="Times New Roman"/>
      <w:sz w:val="16"/>
      <w:szCs w:val="16"/>
      <w:lang w:eastAsia="en-AU"/>
    </w:rPr>
  </w:style>
  <w:style w:type="paragraph" w:styleId="Date">
    <w:name w:val="Date"/>
    <w:basedOn w:val="Normal"/>
    <w:next w:val="Normal"/>
    <w:link w:val="DateChar"/>
    <w:uiPriority w:val="99"/>
    <w:semiHidden/>
    <w:rsid w:val="00B60453"/>
    <w:pPr>
      <w:spacing w:before="0" w:after="0" w:line="240" w:lineRule="auto"/>
      <w:jc w:val="left"/>
    </w:pPr>
    <w:rPr>
      <w:rFonts w:asciiTheme="minorHAnsi" w:eastAsia="Times New Roman" w:hAnsiTheme="minorHAnsi" w:cs="Times New Roman"/>
      <w:lang w:eastAsia="en-AU"/>
    </w:rPr>
  </w:style>
  <w:style w:type="character" w:customStyle="1" w:styleId="DateChar">
    <w:name w:val="Date Char"/>
    <w:basedOn w:val="DefaultParagraphFont"/>
    <w:link w:val="Date"/>
    <w:uiPriority w:val="99"/>
    <w:semiHidden/>
    <w:rsid w:val="00B60453"/>
    <w:rPr>
      <w:rFonts w:eastAsia="Times New Roman" w:cs="Times New Roman"/>
      <w:lang w:eastAsia="en-AU"/>
    </w:rPr>
  </w:style>
  <w:style w:type="paragraph" w:styleId="E-mailSignature">
    <w:name w:val="E-mail Signature"/>
    <w:basedOn w:val="Normal"/>
    <w:link w:val="E-mailSignatureChar"/>
    <w:uiPriority w:val="99"/>
    <w:semiHidden/>
    <w:rsid w:val="00B60453"/>
    <w:pPr>
      <w:spacing w:before="0" w:after="0" w:line="240" w:lineRule="auto"/>
      <w:jc w:val="left"/>
    </w:pPr>
    <w:rPr>
      <w:rFonts w:asciiTheme="minorHAnsi" w:eastAsia="Times New Roman" w:hAnsiTheme="minorHAnsi" w:cs="Times New Roman"/>
      <w:lang w:eastAsia="en-AU"/>
    </w:rPr>
  </w:style>
  <w:style w:type="character" w:customStyle="1" w:styleId="E-mailSignatureChar">
    <w:name w:val="E-mail Signature Char"/>
    <w:basedOn w:val="DefaultParagraphFont"/>
    <w:link w:val="E-mailSignature"/>
    <w:uiPriority w:val="99"/>
    <w:semiHidden/>
    <w:rsid w:val="00B60453"/>
    <w:rPr>
      <w:rFonts w:eastAsia="Times New Roman" w:cs="Times New Roman"/>
      <w:lang w:eastAsia="en-AU"/>
    </w:rPr>
  </w:style>
  <w:style w:type="character" w:styleId="Emphasis">
    <w:name w:val="Emphasis"/>
    <w:uiPriority w:val="20"/>
    <w:semiHidden/>
    <w:qFormat/>
    <w:rsid w:val="00B60453"/>
    <w:rPr>
      <w:i/>
      <w:iCs/>
    </w:rPr>
  </w:style>
  <w:style w:type="paragraph" w:styleId="EnvelopeAddress">
    <w:name w:val="envelope address"/>
    <w:basedOn w:val="Normal"/>
    <w:uiPriority w:val="99"/>
    <w:semiHidden/>
    <w:rsid w:val="00B60453"/>
    <w:pPr>
      <w:framePr w:w="7920" w:h="1980" w:hRule="exact" w:hSpace="180" w:wrap="auto" w:hAnchor="page" w:xAlign="center" w:yAlign="bottom"/>
      <w:spacing w:before="0" w:after="0" w:line="240" w:lineRule="auto"/>
      <w:ind w:left="2880"/>
      <w:jc w:val="left"/>
    </w:pPr>
    <w:rPr>
      <w:rFonts w:ascii="Arial" w:eastAsia="Times New Roman" w:hAnsi="Arial" w:cs="Arial"/>
      <w:sz w:val="24"/>
      <w:szCs w:val="24"/>
      <w:lang w:eastAsia="en-AU"/>
    </w:rPr>
  </w:style>
  <w:style w:type="character" w:styleId="HTMLAcronym">
    <w:name w:val="HTML Acronym"/>
    <w:basedOn w:val="DefaultParagraphFont"/>
    <w:uiPriority w:val="99"/>
    <w:semiHidden/>
    <w:rsid w:val="00B60453"/>
  </w:style>
  <w:style w:type="paragraph" w:styleId="HTMLAddress">
    <w:name w:val="HTML Address"/>
    <w:basedOn w:val="Normal"/>
    <w:link w:val="HTMLAddressChar"/>
    <w:uiPriority w:val="99"/>
    <w:semiHidden/>
    <w:rsid w:val="00B60453"/>
    <w:pPr>
      <w:spacing w:before="0" w:after="0" w:line="240" w:lineRule="auto"/>
      <w:jc w:val="left"/>
    </w:pPr>
    <w:rPr>
      <w:rFonts w:asciiTheme="minorHAnsi" w:eastAsia="Times New Roman" w:hAnsiTheme="minorHAnsi" w:cs="Times New Roman"/>
      <w:i/>
      <w:iCs/>
      <w:lang w:eastAsia="en-AU"/>
    </w:rPr>
  </w:style>
  <w:style w:type="character" w:customStyle="1" w:styleId="HTMLAddressChar">
    <w:name w:val="HTML Address Char"/>
    <w:basedOn w:val="DefaultParagraphFont"/>
    <w:link w:val="HTMLAddress"/>
    <w:uiPriority w:val="99"/>
    <w:semiHidden/>
    <w:rsid w:val="00B60453"/>
    <w:rPr>
      <w:rFonts w:eastAsia="Times New Roman" w:cs="Times New Roman"/>
      <w:i/>
      <w:iCs/>
      <w:lang w:eastAsia="en-AU"/>
    </w:rPr>
  </w:style>
  <w:style w:type="character" w:styleId="HTMLCite">
    <w:name w:val="HTML Cite"/>
    <w:uiPriority w:val="99"/>
    <w:semiHidden/>
    <w:rsid w:val="00B60453"/>
    <w:rPr>
      <w:i/>
      <w:iCs/>
    </w:rPr>
  </w:style>
  <w:style w:type="character" w:styleId="HTMLCode">
    <w:name w:val="HTML Code"/>
    <w:uiPriority w:val="99"/>
    <w:semiHidden/>
    <w:rsid w:val="00B60453"/>
    <w:rPr>
      <w:rFonts w:ascii="Courier New" w:hAnsi="Courier New" w:cs="Courier New"/>
      <w:sz w:val="20"/>
      <w:szCs w:val="20"/>
    </w:rPr>
  </w:style>
  <w:style w:type="character" w:styleId="HTMLDefinition">
    <w:name w:val="HTML Definition"/>
    <w:uiPriority w:val="99"/>
    <w:semiHidden/>
    <w:rsid w:val="00B60453"/>
    <w:rPr>
      <w:i/>
      <w:iCs/>
    </w:rPr>
  </w:style>
  <w:style w:type="character" w:styleId="HTMLKeyboard">
    <w:name w:val="HTML Keyboard"/>
    <w:uiPriority w:val="99"/>
    <w:semiHidden/>
    <w:rsid w:val="00B60453"/>
    <w:rPr>
      <w:rFonts w:ascii="Courier New" w:hAnsi="Courier New" w:cs="Courier New"/>
      <w:sz w:val="20"/>
      <w:szCs w:val="20"/>
    </w:rPr>
  </w:style>
  <w:style w:type="paragraph" w:styleId="HTMLPreformatted">
    <w:name w:val="HTML Preformatted"/>
    <w:basedOn w:val="Normal"/>
    <w:link w:val="HTMLPreformattedChar"/>
    <w:uiPriority w:val="99"/>
    <w:semiHidden/>
    <w:rsid w:val="00B60453"/>
    <w:pPr>
      <w:spacing w:before="0"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B60453"/>
    <w:rPr>
      <w:rFonts w:ascii="Courier New" w:eastAsia="Times New Roman" w:hAnsi="Courier New" w:cs="Courier New"/>
      <w:sz w:val="20"/>
      <w:szCs w:val="20"/>
      <w:lang w:eastAsia="en-AU"/>
    </w:rPr>
  </w:style>
  <w:style w:type="character" w:styleId="HTMLSample">
    <w:name w:val="HTML Sample"/>
    <w:uiPriority w:val="99"/>
    <w:semiHidden/>
    <w:rsid w:val="00B60453"/>
    <w:rPr>
      <w:rFonts w:ascii="Courier New" w:hAnsi="Courier New" w:cs="Courier New"/>
    </w:rPr>
  </w:style>
  <w:style w:type="character" w:styleId="HTMLTypewriter">
    <w:name w:val="HTML Typewriter"/>
    <w:uiPriority w:val="99"/>
    <w:semiHidden/>
    <w:rsid w:val="00B60453"/>
    <w:rPr>
      <w:rFonts w:ascii="Courier New" w:hAnsi="Courier New" w:cs="Courier New"/>
      <w:sz w:val="20"/>
      <w:szCs w:val="20"/>
    </w:rPr>
  </w:style>
  <w:style w:type="character" w:styleId="HTMLVariable">
    <w:name w:val="HTML Variable"/>
    <w:uiPriority w:val="99"/>
    <w:semiHidden/>
    <w:rsid w:val="00B60453"/>
    <w:rPr>
      <w:i/>
      <w:iCs/>
    </w:rPr>
  </w:style>
  <w:style w:type="character" w:styleId="LineNumber">
    <w:name w:val="line number"/>
    <w:basedOn w:val="DefaultParagraphFont"/>
    <w:uiPriority w:val="99"/>
    <w:semiHidden/>
    <w:rsid w:val="00B60453"/>
  </w:style>
  <w:style w:type="paragraph" w:styleId="List">
    <w:name w:val="List"/>
    <w:basedOn w:val="Normal"/>
    <w:uiPriority w:val="99"/>
    <w:semiHidden/>
    <w:rsid w:val="00B60453"/>
    <w:pPr>
      <w:spacing w:before="0" w:after="0" w:line="240" w:lineRule="auto"/>
      <w:ind w:left="283" w:hanging="283"/>
      <w:jc w:val="left"/>
    </w:pPr>
    <w:rPr>
      <w:rFonts w:asciiTheme="minorHAnsi" w:eastAsia="Times New Roman" w:hAnsiTheme="minorHAnsi" w:cs="Times New Roman"/>
      <w:lang w:eastAsia="en-AU"/>
    </w:rPr>
  </w:style>
  <w:style w:type="paragraph" w:styleId="List2">
    <w:name w:val="List 2"/>
    <w:basedOn w:val="Normal"/>
    <w:uiPriority w:val="99"/>
    <w:semiHidden/>
    <w:rsid w:val="00B60453"/>
    <w:pPr>
      <w:spacing w:before="0" w:after="0" w:line="240" w:lineRule="auto"/>
      <w:ind w:left="566" w:hanging="283"/>
      <w:jc w:val="left"/>
    </w:pPr>
    <w:rPr>
      <w:rFonts w:asciiTheme="minorHAnsi" w:eastAsia="Times New Roman" w:hAnsiTheme="minorHAnsi" w:cs="Times New Roman"/>
      <w:lang w:eastAsia="en-AU"/>
    </w:rPr>
  </w:style>
  <w:style w:type="paragraph" w:styleId="List3">
    <w:name w:val="List 3"/>
    <w:basedOn w:val="Normal"/>
    <w:uiPriority w:val="99"/>
    <w:semiHidden/>
    <w:rsid w:val="00B60453"/>
    <w:pPr>
      <w:spacing w:before="0" w:after="0" w:line="240" w:lineRule="auto"/>
      <w:ind w:left="849" w:hanging="283"/>
      <w:jc w:val="left"/>
    </w:pPr>
    <w:rPr>
      <w:rFonts w:asciiTheme="minorHAnsi" w:eastAsia="Times New Roman" w:hAnsiTheme="minorHAnsi" w:cs="Times New Roman"/>
      <w:lang w:eastAsia="en-AU"/>
    </w:rPr>
  </w:style>
  <w:style w:type="paragraph" w:styleId="List4">
    <w:name w:val="List 4"/>
    <w:basedOn w:val="Normal"/>
    <w:uiPriority w:val="99"/>
    <w:semiHidden/>
    <w:rsid w:val="00B60453"/>
    <w:pPr>
      <w:spacing w:before="0" w:after="0" w:line="240" w:lineRule="auto"/>
      <w:ind w:left="1132" w:hanging="283"/>
      <w:jc w:val="left"/>
    </w:pPr>
    <w:rPr>
      <w:rFonts w:asciiTheme="minorHAnsi" w:eastAsia="Times New Roman" w:hAnsiTheme="minorHAnsi" w:cs="Times New Roman"/>
      <w:lang w:eastAsia="en-AU"/>
    </w:rPr>
  </w:style>
  <w:style w:type="paragraph" w:styleId="List5">
    <w:name w:val="List 5"/>
    <w:basedOn w:val="Normal"/>
    <w:uiPriority w:val="99"/>
    <w:semiHidden/>
    <w:rsid w:val="00B60453"/>
    <w:pPr>
      <w:spacing w:before="0" w:after="0" w:line="240" w:lineRule="auto"/>
      <w:ind w:left="1415" w:hanging="283"/>
      <w:jc w:val="left"/>
    </w:pPr>
    <w:rPr>
      <w:rFonts w:asciiTheme="minorHAnsi" w:eastAsia="Times New Roman" w:hAnsiTheme="minorHAnsi" w:cs="Times New Roman"/>
      <w:lang w:eastAsia="en-AU"/>
    </w:rPr>
  </w:style>
  <w:style w:type="paragraph" w:styleId="ListContinue">
    <w:name w:val="List Continue"/>
    <w:basedOn w:val="Normal"/>
    <w:uiPriority w:val="99"/>
    <w:semiHidden/>
    <w:rsid w:val="00B60453"/>
    <w:pPr>
      <w:spacing w:before="0" w:after="0" w:line="240" w:lineRule="auto"/>
      <w:ind w:left="283"/>
      <w:jc w:val="left"/>
    </w:pPr>
    <w:rPr>
      <w:rFonts w:asciiTheme="minorHAnsi" w:eastAsia="Times New Roman" w:hAnsiTheme="minorHAnsi" w:cs="Times New Roman"/>
      <w:lang w:eastAsia="en-AU"/>
    </w:rPr>
  </w:style>
  <w:style w:type="paragraph" w:styleId="ListContinue2">
    <w:name w:val="List Continue 2"/>
    <w:basedOn w:val="Normal"/>
    <w:uiPriority w:val="99"/>
    <w:semiHidden/>
    <w:rsid w:val="00B60453"/>
    <w:pPr>
      <w:spacing w:before="0" w:after="0" w:line="240" w:lineRule="auto"/>
      <w:ind w:left="566"/>
      <w:jc w:val="left"/>
    </w:pPr>
    <w:rPr>
      <w:rFonts w:asciiTheme="minorHAnsi" w:eastAsia="Times New Roman" w:hAnsiTheme="minorHAnsi" w:cs="Times New Roman"/>
      <w:lang w:eastAsia="en-AU"/>
    </w:rPr>
  </w:style>
  <w:style w:type="paragraph" w:styleId="ListContinue3">
    <w:name w:val="List Continue 3"/>
    <w:basedOn w:val="Normal"/>
    <w:uiPriority w:val="99"/>
    <w:semiHidden/>
    <w:rsid w:val="00B60453"/>
    <w:pPr>
      <w:spacing w:before="0" w:after="0" w:line="240" w:lineRule="auto"/>
      <w:ind w:left="849"/>
      <w:jc w:val="left"/>
    </w:pPr>
    <w:rPr>
      <w:rFonts w:asciiTheme="minorHAnsi" w:eastAsia="Times New Roman" w:hAnsiTheme="minorHAnsi" w:cs="Times New Roman"/>
      <w:lang w:eastAsia="en-AU"/>
    </w:rPr>
  </w:style>
  <w:style w:type="paragraph" w:styleId="ListContinue4">
    <w:name w:val="List Continue 4"/>
    <w:basedOn w:val="Normal"/>
    <w:uiPriority w:val="99"/>
    <w:semiHidden/>
    <w:rsid w:val="00B60453"/>
    <w:pPr>
      <w:spacing w:before="0" w:after="0" w:line="240" w:lineRule="auto"/>
      <w:ind w:left="1132"/>
      <w:jc w:val="left"/>
    </w:pPr>
    <w:rPr>
      <w:rFonts w:asciiTheme="minorHAnsi" w:eastAsia="Times New Roman" w:hAnsiTheme="minorHAnsi" w:cs="Times New Roman"/>
      <w:lang w:eastAsia="en-AU"/>
    </w:rPr>
  </w:style>
  <w:style w:type="paragraph" w:styleId="ListContinue5">
    <w:name w:val="List Continue 5"/>
    <w:basedOn w:val="Normal"/>
    <w:uiPriority w:val="99"/>
    <w:semiHidden/>
    <w:rsid w:val="00B60453"/>
    <w:pPr>
      <w:spacing w:before="0" w:after="0" w:line="240" w:lineRule="auto"/>
      <w:ind w:left="1415"/>
      <w:jc w:val="left"/>
    </w:pPr>
    <w:rPr>
      <w:rFonts w:asciiTheme="minorHAnsi" w:eastAsia="Times New Roman" w:hAnsiTheme="minorHAnsi" w:cs="Times New Roman"/>
      <w:lang w:eastAsia="en-AU"/>
    </w:rPr>
  </w:style>
  <w:style w:type="paragraph" w:styleId="ListNumber">
    <w:name w:val="List Number"/>
    <w:basedOn w:val="BodyText"/>
    <w:uiPriority w:val="1"/>
    <w:semiHidden/>
    <w:qFormat/>
    <w:rsid w:val="00B60453"/>
    <w:pPr>
      <w:numPr>
        <w:numId w:val="12"/>
      </w:numPr>
    </w:pPr>
    <w:rPr>
      <w:lang w:eastAsia="en-AU"/>
    </w:rPr>
  </w:style>
  <w:style w:type="paragraph" w:styleId="ListNumber2">
    <w:name w:val="List Number 2"/>
    <w:basedOn w:val="ListNumber"/>
    <w:uiPriority w:val="1"/>
    <w:semiHidden/>
    <w:rsid w:val="00B60453"/>
    <w:pPr>
      <w:numPr>
        <w:ilvl w:val="1"/>
      </w:numPr>
    </w:pPr>
  </w:style>
  <w:style w:type="paragraph" w:styleId="ListNumber5">
    <w:name w:val="List Number 5"/>
    <w:basedOn w:val="ListNumber2"/>
    <w:uiPriority w:val="1"/>
    <w:semiHidden/>
    <w:rsid w:val="00B60453"/>
    <w:pPr>
      <w:numPr>
        <w:ilvl w:val="4"/>
      </w:numPr>
    </w:pPr>
  </w:style>
  <w:style w:type="paragraph" w:styleId="MessageHeader">
    <w:name w:val="Message Header"/>
    <w:basedOn w:val="Normal"/>
    <w:link w:val="MessageHeaderChar"/>
    <w:uiPriority w:val="99"/>
    <w:semiHidden/>
    <w:rsid w:val="00B6045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uiPriority w:val="99"/>
    <w:semiHidden/>
    <w:rsid w:val="00B60453"/>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B60453"/>
    <w:pPr>
      <w:spacing w:before="0" w:after="0" w:line="240" w:lineRule="auto"/>
      <w:jc w:val="left"/>
    </w:pPr>
    <w:rPr>
      <w:rFonts w:asciiTheme="minorHAnsi" w:eastAsia="Times New Roman" w:hAnsiTheme="minorHAnsi" w:cs="Times New Roman"/>
      <w:sz w:val="24"/>
      <w:szCs w:val="24"/>
      <w:lang w:eastAsia="en-AU"/>
    </w:rPr>
  </w:style>
  <w:style w:type="paragraph" w:styleId="PlainText">
    <w:name w:val="Plain Text"/>
    <w:basedOn w:val="Normal"/>
    <w:link w:val="PlainTextChar"/>
    <w:uiPriority w:val="99"/>
    <w:semiHidden/>
    <w:rsid w:val="00B60453"/>
    <w:pPr>
      <w:spacing w:before="0" w:after="0" w:line="240" w:lineRule="auto"/>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uiPriority w:val="99"/>
    <w:semiHidden/>
    <w:rsid w:val="00B60453"/>
    <w:rPr>
      <w:rFonts w:ascii="Courier New" w:eastAsia="Times New Roman" w:hAnsi="Courier New" w:cs="Courier New"/>
      <w:sz w:val="20"/>
      <w:szCs w:val="20"/>
      <w:lang w:eastAsia="en-AU"/>
    </w:rPr>
  </w:style>
  <w:style w:type="paragraph" w:styleId="Salutation">
    <w:name w:val="Salutation"/>
    <w:basedOn w:val="Normal"/>
    <w:next w:val="Normal"/>
    <w:link w:val="SalutationChar"/>
    <w:uiPriority w:val="99"/>
    <w:semiHidden/>
    <w:rsid w:val="00B60453"/>
    <w:pPr>
      <w:spacing w:before="0" w:after="0" w:line="240" w:lineRule="auto"/>
      <w:jc w:val="left"/>
    </w:pPr>
    <w:rPr>
      <w:rFonts w:asciiTheme="minorHAnsi" w:eastAsia="Times New Roman" w:hAnsiTheme="minorHAnsi" w:cs="Times New Roman"/>
      <w:lang w:eastAsia="en-AU"/>
    </w:rPr>
  </w:style>
  <w:style w:type="character" w:customStyle="1" w:styleId="SalutationChar">
    <w:name w:val="Salutation Char"/>
    <w:basedOn w:val="DefaultParagraphFont"/>
    <w:link w:val="Salutation"/>
    <w:uiPriority w:val="99"/>
    <w:semiHidden/>
    <w:rsid w:val="00B60453"/>
    <w:rPr>
      <w:rFonts w:eastAsia="Times New Roman" w:cs="Times New Roman"/>
      <w:lang w:eastAsia="en-AU"/>
    </w:rPr>
  </w:style>
  <w:style w:type="paragraph" w:styleId="Signature">
    <w:name w:val="Signature"/>
    <w:basedOn w:val="Normal"/>
    <w:link w:val="SignatureChar"/>
    <w:uiPriority w:val="99"/>
    <w:semiHidden/>
    <w:rsid w:val="00B60453"/>
    <w:pPr>
      <w:spacing w:before="0" w:after="0" w:line="240" w:lineRule="auto"/>
      <w:ind w:left="4252"/>
      <w:jc w:val="left"/>
    </w:pPr>
    <w:rPr>
      <w:rFonts w:asciiTheme="minorHAnsi" w:eastAsia="Times New Roman" w:hAnsiTheme="minorHAnsi" w:cs="Times New Roman"/>
      <w:lang w:eastAsia="en-AU"/>
    </w:rPr>
  </w:style>
  <w:style w:type="character" w:customStyle="1" w:styleId="SignatureChar">
    <w:name w:val="Signature Char"/>
    <w:basedOn w:val="DefaultParagraphFont"/>
    <w:link w:val="Signature"/>
    <w:uiPriority w:val="99"/>
    <w:semiHidden/>
    <w:rsid w:val="00B60453"/>
    <w:rPr>
      <w:rFonts w:eastAsia="Times New Roman" w:cs="Times New Roman"/>
      <w:lang w:eastAsia="en-AU"/>
    </w:rPr>
  </w:style>
  <w:style w:type="table" w:styleId="Table3Deffects1">
    <w:name w:val="Table 3D effects 1"/>
    <w:basedOn w:val="TableNormal"/>
    <w:uiPriority w:val="99"/>
    <w:semiHidden/>
    <w:rsid w:val="00B60453"/>
    <w:pPr>
      <w:spacing w:after="0" w:line="240" w:lineRule="auto"/>
    </w:pPr>
    <w:rPr>
      <w:rFonts w:ascii="Calibri" w:eastAsia="Times New Roman" w:hAnsi="Calibri" w:cs="Calibri"/>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B60453"/>
    <w:pPr>
      <w:spacing w:after="0" w:line="240" w:lineRule="auto"/>
    </w:pPr>
    <w:rPr>
      <w:rFonts w:ascii="Calibri" w:eastAsia="Times New Roman" w:hAnsi="Calibri" w:cs="Calibri"/>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B60453"/>
    <w:pPr>
      <w:spacing w:after="0" w:line="240" w:lineRule="auto"/>
    </w:pPr>
    <w:rPr>
      <w:rFonts w:ascii="Calibri" w:eastAsia="Times New Roman" w:hAnsi="Calibri" w:cs="Calibri"/>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B60453"/>
    <w:pPr>
      <w:spacing w:before="0" w:after="0" w:line="240" w:lineRule="auto"/>
      <w:ind w:left="720"/>
      <w:jc w:val="left"/>
    </w:pPr>
    <w:rPr>
      <w:rFonts w:asciiTheme="minorHAnsi" w:eastAsia="Times New Roman" w:hAnsiTheme="minorHAnsi" w:cs="Times New Roman"/>
      <w:lang w:eastAsia="en-AU"/>
    </w:rPr>
  </w:style>
  <w:style w:type="table" w:styleId="TableClassic3">
    <w:name w:val="Table Classic 3"/>
    <w:basedOn w:val="TableNormal"/>
    <w:uiPriority w:val="99"/>
    <w:semiHidden/>
    <w:rsid w:val="00B60453"/>
    <w:pPr>
      <w:spacing w:after="0" w:line="240" w:lineRule="auto"/>
    </w:pPr>
    <w:rPr>
      <w:rFonts w:ascii="Calibri" w:eastAsia="Times New Roman" w:hAnsi="Calibri" w:cs="Calibri"/>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B60453"/>
    <w:pPr>
      <w:spacing w:after="0" w:line="240" w:lineRule="auto"/>
    </w:pPr>
    <w:rPr>
      <w:rFonts w:ascii="Calibri" w:eastAsia="Times New Roman" w:hAnsi="Calibri" w:cs="Calibri"/>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B60453"/>
    <w:pPr>
      <w:spacing w:after="0" w:line="240" w:lineRule="auto"/>
    </w:pPr>
    <w:rPr>
      <w:rFonts w:ascii="Calibri" w:eastAsia="Times New Roman" w:hAnsi="Calibri" w:cs="Calibri"/>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B60453"/>
    <w:pPr>
      <w:spacing w:after="0" w:line="240" w:lineRule="auto"/>
    </w:pPr>
    <w:rPr>
      <w:rFonts w:ascii="Calibri" w:eastAsia="Times New Roman" w:hAnsi="Calibri" w:cs="Calibri"/>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B60453"/>
    <w:pPr>
      <w:spacing w:after="0" w:line="240" w:lineRule="auto"/>
    </w:pPr>
    <w:rPr>
      <w:rFonts w:ascii="Calibri" w:eastAsia="Times New Roman" w:hAnsi="Calibri" w:cs="Calibri"/>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B60453"/>
    <w:pPr>
      <w:spacing w:after="0" w:line="240" w:lineRule="auto"/>
    </w:pPr>
    <w:rPr>
      <w:rFonts w:ascii="Calibri" w:eastAsia="Times New Roman" w:hAnsi="Calibri" w:cs="Calibri"/>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B60453"/>
    <w:pPr>
      <w:spacing w:after="0" w:line="240" w:lineRule="auto"/>
    </w:pPr>
    <w:rPr>
      <w:rFonts w:ascii="Calibri" w:eastAsia="Times New Roman" w:hAnsi="Calibri" w:cs="Calibri"/>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B60453"/>
    <w:pPr>
      <w:spacing w:after="0" w:line="240" w:lineRule="auto"/>
    </w:pPr>
    <w:rPr>
      <w:rFonts w:ascii="Calibri" w:eastAsia="Times New Roman" w:hAnsi="Calibri" w:cs="Calibri"/>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B60453"/>
    <w:pPr>
      <w:spacing w:after="0" w:line="240" w:lineRule="auto"/>
    </w:pPr>
    <w:rPr>
      <w:rFonts w:ascii="Calibri" w:eastAsia="Times New Roman" w:hAnsi="Calibri" w:cs="Calibri"/>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B60453"/>
    <w:pPr>
      <w:spacing w:after="0" w:line="240" w:lineRule="auto"/>
    </w:pPr>
    <w:rPr>
      <w:rFonts w:ascii="Calibri" w:eastAsia="Times New Roman" w:hAnsi="Calibri" w:cs="Calibri"/>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B60453"/>
    <w:pPr>
      <w:spacing w:after="0" w:line="240" w:lineRule="auto"/>
    </w:pPr>
    <w:rPr>
      <w:rFonts w:ascii="Calibri" w:eastAsia="Times New Roman" w:hAnsi="Calibri" w:cs="Calibri"/>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B60453"/>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B60453"/>
    <w:pPr>
      <w:spacing w:after="0" w:line="240" w:lineRule="auto"/>
    </w:pPr>
    <w:rPr>
      <w:rFonts w:ascii="Calibri" w:eastAsia="Times New Roman" w:hAnsi="Calibri" w:cs="Calibri"/>
      <w:lang w:val="en-AU" w:eastAsia="en-A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B60453"/>
    <w:pPr>
      <w:spacing w:after="0" w:line="240" w:lineRule="auto"/>
    </w:pPr>
    <w:rPr>
      <w:rFonts w:ascii="Calibri" w:eastAsia="Times New Roman" w:hAnsi="Calibri" w:cs="Calibri"/>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B60453"/>
    <w:pPr>
      <w:spacing w:after="0" w:line="240" w:lineRule="auto"/>
    </w:pPr>
    <w:rPr>
      <w:rFonts w:ascii="Calibri" w:eastAsia="Times New Roman" w:hAnsi="Calibri" w:cs="Calibri"/>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B60453"/>
    <w:pPr>
      <w:spacing w:after="0" w:line="240" w:lineRule="auto"/>
    </w:pPr>
    <w:rPr>
      <w:rFonts w:ascii="Calibri" w:eastAsia="Times New Roman" w:hAnsi="Calibri" w:cs="Calibri"/>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B60453"/>
    <w:pPr>
      <w:spacing w:after="0" w:line="240" w:lineRule="auto"/>
    </w:pPr>
    <w:rPr>
      <w:rFonts w:ascii="Calibri" w:eastAsia="Times New Roman" w:hAnsi="Calibri" w:cs="Calibri"/>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B60453"/>
    <w:pPr>
      <w:spacing w:after="0" w:line="240" w:lineRule="auto"/>
    </w:pPr>
    <w:rPr>
      <w:rFonts w:ascii="Calibri" w:eastAsia="Times New Roman" w:hAnsi="Calibri" w:cs="Calibri"/>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B60453"/>
    <w:pPr>
      <w:spacing w:after="0" w:line="240" w:lineRule="auto"/>
    </w:pPr>
    <w:rPr>
      <w:rFonts w:ascii="Calibri" w:eastAsia="Times New Roman" w:hAnsi="Calibri" w:cs="Calibri"/>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B60453"/>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B60453"/>
    <w:pPr>
      <w:spacing w:after="0" w:line="240" w:lineRule="auto"/>
    </w:pPr>
    <w:rPr>
      <w:rFonts w:ascii="Calibri" w:eastAsia="Times New Roman" w:hAnsi="Calibri" w:cs="Calibri"/>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B60453"/>
    <w:pPr>
      <w:spacing w:after="0" w:line="240" w:lineRule="auto"/>
    </w:pPr>
    <w:rPr>
      <w:rFonts w:ascii="Calibri" w:eastAsia="Times New Roman" w:hAnsi="Calibri" w:cs="Calibri"/>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B60453"/>
    <w:pPr>
      <w:spacing w:after="0" w:line="240" w:lineRule="auto"/>
    </w:pPr>
    <w:rPr>
      <w:rFonts w:ascii="Calibri" w:eastAsia="Times New Roman" w:hAnsi="Calibri" w:cs="Calibri"/>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B60453"/>
    <w:pPr>
      <w:spacing w:after="0" w:line="240" w:lineRule="auto"/>
    </w:pPr>
    <w:rPr>
      <w:rFonts w:ascii="Calibri" w:eastAsia="Times New Roman" w:hAnsi="Calibri" w:cs="Calibri"/>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B60453"/>
    <w:pPr>
      <w:spacing w:after="0" w:line="240" w:lineRule="auto"/>
    </w:pPr>
    <w:rPr>
      <w:rFonts w:ascii="Calibri" w:eastAsia="Times New Roman" w:hAnsi="Calibri" w:cs="Calibri"/>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B60453"/>
    <w:pPr>
      <w:spacing w:after="0" w:line="240" w:lineRule="auto"/>
    </w:pPr>
    <w:rPr>
      <w:rFonts w:ascii="Calibri" w:eastAsia="Times New Roman" w:hAnsi="Calibri" w:cs="Calibri"/>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B60453"/>
    <w:pPr>
      <w:spacing w:after="0" w:line="240" w:lineRule="auto"/>
    </w:pPr>
    <w:rPr>
      <w:rFonts w:ascii="Calibri" w:eastAsia="Times New Roman" w:hAnsi="Calibri" w:cs="Calibri"/>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B60453"/>
    <w:pPr>
      <w:spacing w:after="0" w:line="240" w:lineRule="auto"/>
    </w:pPr>
    <w:rPr>
      <w:rFonts w:ascii="Calibri" w:eastAsia="Times New Roman" w:hAnsi="Calibri" w:cs="Calibri"/>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B60453"/>
    <w:pPr>
      <w:spacing w:after="0" w:line="240" w:lineRule="auto"/>
    </w:pPr>
    <w:rPr>
      <w:rFonts w:ascii="Calibri" w:eastAsia="Times New Roman" w:hAnsi="Calibri" w:cs="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B60453"/>
    <w:pPr>
      <w:spacing w:after="0" w:line="240" w:lineRule="auto"/>
    </w:pPr>
    <w:rPr>
      <w:rFonts w:ascii="Calibri" w:eastAsia="Times New Roman" w:hAnsi="Calibri" w:cs="Calibri"/>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B60453"/>
    <w:pPr>
      <w:spacing w:after="0" w:line="240" w:lineRule="auto"/>
    </w:pPr>
    <w:rPr>
      <w:rFonts w:ascii="Calibri" w:eastAsia="Times New Roman" w:hAnsi="Calibri" w:cs="Calibri"/>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B60453"/>
    <w:pPr>
      <w:spacing w:after="0" w:line="240" w:lineRule="auto"/>
    </w:pPr>
    <w:rPr>
      <w:rFonts w:ascii="Calibri" w:eastAsia="Times New Roman" w:hAnsi="Calibri" w:cs="Calibri"/>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B60453"/>
    <w:pPr>
      <w:spacing w:before="0" w:after="0" w:line="240" w:lineRule="auto"/>
      <w:ind w:left="4252"/>
      <w:jc w:val="left"/>
    </w:pPr>
    <w:rPr>
      <w:rFonts w:asciiTheme="minorHAnsi" w:eastAsia="Times New Roman" w:hAnsiTheme="minorHAnsi" w:cs="Times New Roman"/>
      <w:lang w:eastAsia="en-AU"/>
    </w:rPr>
  </w:style>
  <w:style w:type="character" w:customStyle="1" w:styleId="ClosingChar">
    <w:name w:val="Closing Char"/>
    <w:basedOn w:val="DefaultParagraphFont"/>
    <w:link w:val="Closing"/>
    <w:uiPriority w:val="99"/>
    <w:semiHidden/>
    <w:rsid w:val="00B60453"/>
    <w:rPr>
      <w:rFonts w:eastAsia="Times New Roman" w:cs="Times New Roman"/>
      <w:lang w:eastAsia="en-AU"/>
    </w:rPr>
  </w:style>
  <w:style w:type="paragraph" w:styleId="EnvelopeReturn">
    <w:name w:val="envelope return"/>
    <w:basedOn w:val="Normal"/>
    <w:uiPriority w:val="99"/>
    <w:semiHidden/>
    <w:rsid w:val="00B60453"/>
    <w:pPr>
      <w:spacing w:before="0" w:after="0" w:line="240" w:lineRule="auto"/>
      <w:jc w:val="left"/>
    </w:pPr>
    <w:rPr>
      <w:rFonts w:ascii="Arial" w:eastAsia="Times New Roman" w:hAnsi="Arial" w:cs="Arial"/>
      <w:sz w:val="20"/>
      <w:szCs w:val="20"/>
      <w:lang w:eastAsia="en-AU"/>
    </w:rPr>
  </w:style>
  <w:style w:type="paragraph" w:styleId="NoteHeading">
    <w:name w:val="Note Heading"/>
    <w:basedOn w:val="Normal"/>
    <w:next w:val="Normal"/>
    <w:link w:val="NoteHeadingChar"/>
    <w:uiPriority w:val="99"/>
    <w:semiHidden/>
    <w:rsid w:val="00B60453"/>
    <w:pPr>
      <w:spacing w:before="0" w:after="0" w:line="240" w:lineRule="auto"/>
      <w:jc w:val="left"/>
    </w:pPr>
    <w:rPr>
      <w:rFonts w:asciiTheme="minorHAnsi" w:eastAsia="Times New Roman" w:hAnsiTheme="minorHAnsi" w:cs="Times New Roman"/>
      <w:lang w:eastAsia="en-AU"/>
    </w:rPr>
  </w:style>
  <w:style w:type="character" w:customStyle="1" w:styleId="NoteHeadingChar">
    <w:name w:val="Note Heading Char"/>
    <w:basedOn w:val="DefaultParagraphFont"/>
    <w:link w:val="NoteHeading"/>
    <w:uiPriority w:val="99"/>
    <w:semiHidden/>
    <w:rsid w:val="00B60453"/>
    <w:rPr>
      <w:rFonts w:eastAsia="Times New Roman" w:cs="Times New Roman"/>
      <w:lang w:eastAsia="en-AU"/>
    </w:rPr>
  </w:style>
  <w:style w:type="numbering" w:styleId="1ai">
    <w:name w:val="Outline List 1"/>
    <w:basedOn w:val="NoList"/>
    <w:uiPriority w:val="99"/>
    <w:semiHidden/>
    <w:unhideWhenUsed/>
    <w:rsid w:val="00B60453"/>
    <w:pPr>
      <w:numPr>
        <w:numId w:val="10"/>
      </w:numPr>
    </w:pPr>
  </w:style>
  <w:style w:type="numbering" w:styleId="111111">
    <w:name w:val="Outline List 2"/>
    <w:basedOn w:val="NoList"/>
    <w:uiPriority w:val="99"/>
    <w:semiHidden/>
    <w:unhideWhenUsed/>
    <w:rsid w:val="00B60453"/>
    <w:pPr>
      <w:numPr>
        <w:numId w:val="9"/>
      </w:numPr>
    </w:pPr>
  </w:style>
  <w:style w:type="numbering" w:styleId="ArticleSection">
    <w:name w:val="Outline List 3"/>
    <w:basedOn w:val="NoList"/>
    <w:uiPriority w:val="99"/>
    <w:semiHidden/>
    <w:unhideWhenUsed/>
    <w:rsid w:val="00B60453"/>
    <w:pPr>
      <w:numPr>
        <w:numId w:val="11"/>
      </w:numPr>
    </w:pPr>
  </w:style>
  <w:style w:type="paragraph" w:customStyle="1" w:styleId="CoverText">
    <w:name w:val="Cover Text"/>
    <w:uiPriority w:val="21"/>
    <w:semiHidden/>
    <w:rsid w:val="00B60453"/>
    <w:pPr>
      <w:spacing w:after="0" w:line="240" w:lineRule="auto"/>
    </w:pPr>
    <w:rPr>
      <w:rFonts w:eastAsia="Times New Roman" w:cs="Times New Roman"/>
      <w:b/>
      <w:caps/>
      <w:color w:val="FFFFFF"/>
      <w:lang w:val="en-AU" w:eastAsia="en-AU"/>
    </w:rPr>
  </w:style>
  <w:style w:type="paragraph" w:customStyle="1" w:styleId="Note1">
    <w:name w:val="Note1"/>
    <w:uiPriority w:val="6"/>
    <w:semiHidden/>
    <w:qFormat/>
    <w:rsid w:val="00B60453"/>
    <w:pPr>
      <w:numPr>
        <w:numId w:val="13"/>
      </w:numPr>
      <w:spacing w:before="120" w:after="0" w:line="240" w:lineRule="auto"/>
    </w:pPr>
    <w:rPr>
      <w:rFonts w:eastAsia="Times New Roman" w:cs="Times New Roman"/>
      <w:sz w:val="18"/>
      <w:szCs w:val="18"/>
      <w:lang w:eastAsia="en-AU"/>
    </w:rPr>
  </w:style>
  <w:style w:type="paragraph" w:customStyle="1" w:styleId="TextBoxHeading">
    <w:name w:val="Text Box Heading"/>
    <w:basedOn w:val="TextBoxNormal"/>
    <w:uiPriority w:val="14"/>
    <w:semiHidden/>
    <w:qFormat/>
    <w:rsid w:val="00B60453"/>
    <w:rPr>
      <w:b/>
    </w:rPr>
  </w:style>
  <w:style w:type="paragraph" w:customStyle="1" w:styleId="TextBoxNormal">
    <w:name w:val="Text Box Normal"/>
    <w:basedOn w:val="Normal"/>
    <w:uiPriority w:val="14"/>
    <w:semiHidden/>
    <w:qFormat/>
    <w:rsid w:val="00B60453"/>
    <w:pPr>
      <w:spacing w:before="0" w:after="0" w:line="240" w:lineRule="auto"/>
      <w:jc w:val="left"/>
    </w:pPr>
    <w:rPr>
      <w:rFonts w:asciiTheme="minorHAnsi" w:eastAsia="Times New Roman" w:hAnsiTheme="minorHAnsi" w:cs="Times New Roman"/>
      <w:color w:val="FFFFFF"/>
      <w:lang w:eastAsia="en-AU"/>
    </w:rPr>
  </w:style>
  <w:style w:type="paragraph" w:customStyle="1" w:styleId="QuoteBoxText">
    <w:name w:val="Quote Box Text"/>
    <w:uiPriority w:val="15"/>
    <w:semiHidden/>
    <w:qFormat/>
    <w:rsid w:val="00B60453"/>
    <w:pPr>
      <w:spacing w:before="120" w:after="0" w:line="240" w:lineRule="auto"/>
      <w:ind w:left="397" w:right="397"/>
    </w:pPr>
    <w:rPr>
      <w:rFonts w:eastAsia="Times New Roman" w:cs="Times New Roman"/>
      <w:color w:val="FFFFFF"/>
      <w:lang w:val="en-AU" w:eastAsia="en-AU"/>
    </w:rPr>
  </w:style>
  <w:style w:type="paragraph" w:customStyle="1" w:styleId="QuoteBoxHeading">
    <w:name w:val="Quote Box Heading"/>
    <w:basedOn w:val="QuoteBoxText"/>
    <w:uiPriority w:val="15"/>
    <w:semiHidden/>
    <w:qFormat/>
    <w:rsid w:val="00B60453"/>
    <w:pPr>
      <w:spacing w:before="280" w:after="120"/>
    </w:pPr>
    <w:rPr>
      <w:b/>
    </w:rPr>
  </w:style>
  <w:style w:type="paragraph" w:customStyle="1" w:styleId="SectionTitle">
    <w:name w:val="Section Title"/>
    <w:uiPriority w:val="22"/>
    <w:semiHidden/>
    <w:qFormat/>
    <w:rsid w:val="00B60453"/>
    <w:pPr>
      <w:spacing w:after="0" w:line="240" w:lineRule="auto"/>
    </w:pPr>
    <w:rPr>
      <w:rFonts w:eastAsia="Times New Roman" w:cs="Times New Roman"/>
      <w:b/>
      <w:color w:val="1B556B" w:themeColor="text2"/>
      <w:sz w:val="60"/>
      <w:lang w:val="en-AU" w:eastAsia="en-AU"/>
    </w:rPr>
  </w:style>
  <w:style w:type="paragraph" w:customStyle="1" w:styleId="Watermark">
    <w:name w:val="Watermark"/>
    <w:uiPriority w:val="99"/>
    <w:semiHidden/>
    <w:rsid w:val="00B60453"/>
    <w:pPr>
      <w:spacing w:after="0" w:line="1200" w:lineRule="exact"/>
    </w:pPr>
    <w:rPr>
      <w:rFonts w:asciiTheme="majorHAnsi" w:eastAsia="Times New Roman" w:hAnsiTheme="majorHAnsi" w:cs="Times New Roman"/>
      <w:b/>
      <w:caps/>
      <w:color w:val="D5EBE8" w:themeColor="accent3"/>
      <w:sz w:val="140"/>
      <w:lang w:val="en-AU" w:eastAsia="en-AU"/>
    </w:rPr>
  </w:style>
  <w:style w:type="character" w:customStyle="1" w:styleId="GlossaryChar">
    <w:name w:val="Glossary Char"/>
    <w:basedOn w:val="DefaultParagraphFont"/>
    <w:link w:val="Glossary"/>
    <w:uiPriority w:val="1"/>
    <w:rsid w:val="00B60453"/>
    <w:rPr>
      <w:rFonts w:ascii="Calibri" w:eastAsiaTheme="minorEastAsia" w:hAnsi="Calibri"/>
      <w:lang w:eastAsia="en-NZ"/>
    </w:rPr>
  </w:style>
  <w:style w:type="paragraph" w:customStyle="1" w:styleId="Sub-listabc">
    <w:name w:val="Sub-list a b c"/>
    <w:basedOn w:val="BodyText"/>
    <w:qFormat/>
    <w:rsid w:val="00B60453"/>
    <w:rPr>
      <w:lang w:eastAsia="en-AU"/>
    </w:rPr>
  </w:style>
  <w:style w:type="paragraph" w:customStyle="1" w:styleId="Quotebullet">
    <w:name w:val="Quote bullet"/>
    <w:basedOn w:val="ListBullet"/>
    <w:uiPriority w:val="99"/>
    <w:semiHidden/>
    <w:qFormat/>
    <w:rsid w:val="00B60453"/>
    <w:pPr>
      <w:numPr>
        <w:numId w:val="0"/>
      </w:numPr>
      <w:ind w:left="794" w:right="397" w:firstLine="397"/>
    </w:pPr>
  </w:style>
  <w:style w:type="paragraph" w:customStyle="1" w:styleId="Hyperlink1">
    <w:name w:val="Hyperlink1"/>
    <w:basedOn w:val="BodyText"/>
    <w:link w:val="hyperlinkChar"/>
    <w:uiPriority w:val="99"/>
    <w:semiHidden/>
    <w:qFormat/>
    <w:rsid w:val="00B60453"/>
    <w:rPr>
      <w:color w:val="6FC7B7"/>
      <w:lang w:eastAsia="en-AU"/>
    </w:rPr>
  </w:style>
  <w:style w:type="character" w:customStyle="1" w:styleId="hyperlinkChar">
    <w:name w:val="hyperlink Char"/>
    <w:basedOn w:val="BodyTextChar"/>
    <w:link w:val="Hyperlink1"/>
    <w:uiPriority w:val="99"/>
    <w:semiHidden/>
    <w:rsid w:val="00B60453"/>
    <w:rPr>
      <w:rFonts w:ascii="Calibri" w:eastAsia="Times New Roman" w:hAnsi="Calibri" w:cs="Times New Roman"/>
      <w:color w:val="6FC7B7"/>
      <w:lang w:eastAsia="en-AU"/>
    </w:rPr>
  </w:style>
  <w:style w:type="paragraph" w:customStyle="1" w:styleId="Casestudybullets">
    <w:name w:val="Case study bullets"/>
    <w:basedOn w:val="Casestudytext"/>
    <w:uiPriority w:val="1"/>
    <w:semiHidden/>
    <w:qFormat/>
    <w:rsid w:val="00B60453"/>
    <w:pPr>
      <w:ind w:left="644" w:hanging="360"/>
    </w:pPr>
  </w:style>
  <w:style w:type="paragraph" w:customStyle="1" w:styleId="Casestudytext">
    <w:name w:val="Case study text"/>
    <w:basedOn w:val="BodyText"/>
    <w:uiPriority w:val="1"/>
    <w:semiHidden/>
    <w:qFormat/>
    <w:rsid w:val="00B60453"/>
    <w:pPr>
      <w:ind w:left="284" w:right="284"/>
    </w:pPr>
    <w:rPr>
      <w:color w:val="1C556C"/>
      <w:sz w:val="20"/>
    </w:rPr>
  </w:style>
  <w:style w:type="paragraph" w:customStyle="1" w:styleId="Casestudybold">
    <w:name w:val="Case study bold"/>
    <w:basedOn w:val="Casestudytext"/>
    <w:next w:val="Casestudytext"/>
    <w:uiPriority w:val="1"/>
    <w:semiHidden/>
    <w:rsid w:val="00B60453"/>
    <w:pPr>
      <w:spacing w:before="240"/>
    </w:pPr>
    <w:rPr>
      <w:b/>
    </w:rPr>
  </w:style>
  <w:style w:type="character" w:customStyle="1" w:styleId="UnresolvedMention10">
    <w:name w:val="Unresolved Mention10"/>
    <w:basedOn w:val="DefaultParagraphFont"/>
    <w:uiPriority w:val="99"/>
    <w:semiHidden/>
    <w:unhideWhenUsed/>
    <w:rsid w:val="00B60453"/>
    <w:rPr>
      <w:color w:val="808080"/>
      <w:shd w:val="clear" w:color="auto" w:fill="E6E6E6"/>
    </w:rPr>
  </w:style>
  <w:style w:type="paragraph" w:customStyle="1" w:styleId="CaptionText">
    <w:name w:val="CaptionText"/>
    <w:basedOn w:val="BodyText"/>
    <w:next w:val="BodyText"/>
    <w:semiHidden/>
    <w:rsid w:val="00B60453"/>
    <w:pPr>
      <w:spacing w:after="180"/>
    </w:pPr>
    <w:rPr>
      <w:rFonts w:ascii="Arial" w:hAnsi="Arial"/>
      <w:sz w:val="20"/>
      <w:szCs w:val="24"/>
      <w:lang w:eastAsia="en-GB"/>
    </w:rPr>
  </w:style>
  <w:style w:type="character" w:styleId="PlaceholderText">
    <w:name w:val="Placeholder Text"/>
    <w:basedOn w:val="DefaultParagraphFont"/>
    <w:uiPriority w:val="99"/>
    <w:semiHidden/>
    <w:rsid w:val="00B60453"/>
    <w:rPr>
      <w:color w:val="808080"/>
    </w:rPr>
  </w:style>
  <w:style w:type="table" w:customStyle="1" w:styleId="TableGrid10">
    <w:name w:val="Table Grid1"/>
    <w:basedOn w:val="TableNormal"/>
    <w:next w:val="TableGrid"/>
    <w:uiPriority w:val="59"/>
    <w:rsid w:val="00B60453"/>
    <w:pPr>
      <w:spacing w:after="0" w:line="240" w:lineRule="auto"/>
    </w:pPr>
    <w:rPr>
      <w:rFonts w:ascii="Calibri" w:eastAsia="Times New Roman" w:hAnsi="Calibri" w:cs="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0">
    <w:name w:val="Unresolved Mention100"/>
    <w:basedOn w:val="DefaultParagraphFont"/>
    <w:uiPriority w:val="99"/>
    <w:semiHidden/>
    <w:unhideWhenUsed/>
    <w:rsid w:val="00B60453"/>
    <w:rPr>
      <w:color w:val="808080"/>
      <w:shd w:val="clear" w:color="auto" w:fill="E6E6E6"/>
    </w:rPr>
  </w:style>
  <w:style w:type="character" w:customStyle="1" w:styleId="UnresolvedMention1000">
    <w:name w:val="Unresolved Mention1000"/>
    <w:basedOn w:val="DefaultParagraphFont"/>
    <w:uiPriority w:val="99"/>
    <w:semiHidden/>
    <w:unhideWhenUsed/>
    <w:rsid w:val="00B60453"/>
    <w:rPr>
      <w:color w:val="808080"/>
      <w:shd w:val="clear" w:color="auto" w:fill="E6E6E6"/>
    </w:rPr>
  </w:style>
  <w:style w:type="character" w:customStyle="1" w:styleId="UnresolvedMention10000">
    <w:name w:val="Unresolved Mention10000"/>
    <w:basedOn w:val="DefaultParagraphFont"/>
    <w:uiPriority w:val="99"/>
    <w:semiHidden/>
    <w:unhideWhenUsed/>
    <w:rsid w:val="00B60453"/>
    <w:rPr>
      <w:color w:val="808080"/>
      <w:shd w:val="clear" w:color="auto" w:fill="E6E6E6"/>
    </w:rPr>
  </w:style>
  <w:style w:type="paragraph" w:styleId="Index3">
    <w:name w:val="index 3"/>
    <w:basedOn w:val="Normal"/>
    <w:next w:val="Normal"/>
    <w:autoRedefine/>
    <w:uiPriority w:val="99"/>
    <w:semiHidden/>
    <w:rsid w:val="00D3504B"/>
    <w:pPr>
      <w:spacing w:before="0" w:after="0" w:line="240" w:lineRule="auto"/>
      <w:ind w:left="660" w:hanging="220"/>
      <w:jc w:val="left"/>
    </w:pPr>
    <w:rPr>
      <w:rFonts w:asciiTheme="minorHAnsi" w:eastAsia="Times New Roman" w:hAnsiTheme="minorHAnsi" w:cs="Times New Roman"/>
      <w:lang w:eastAsia="en-US"/>
    </w:rPr>
  </w:style>
  <w:style w:type="paragraph" w:styleId="Index4">
    <w:name w:val="index 4"/>
    <w:basedOn w:val="Normal"/>
    <w:next w:val="Normal"/>
    <w:autoRedefine/>
    <w:uiPriority w:val="99"/>
    <w:semiHidden/>
    <w:rsid w:val="00D3504B"/>
    <w:pPr>
      <w:spacing w:before="0" w:after="0" w:line="240" w:lineRule="auto"/>
      <w:ind w:left="880" w:hanging="220"/>
      <w:jc w:val="left"/>
    </w:pPr>
    <w:rPr>
      <w:rFonts w:asciiTheme="minorHAnsi" w:eastAsia="Times New Roman" w:hAnsiTheme="minorHAnsi" w:cs="Times New Roman"/>
      <w:lang w:eastAsia="en-US"/>
    </w:rPr>
  </w:style>
  <w:style w:type="paragraph" w:customStyle="1" w:styleId="Subclauselista">
    <w:name w:val="Subclause list (a)"/>
    <w:basedOn w:val="Normal"/>
    <w:uiPriority w:val="2"/>
    <w:qFormat/>
    <w:rsid w:val="00B60453"/>
    <w:pPr>
      <w:numPr>
        <w:ilvl w:val="4"/>
        <w:numId w:val="15"/>
      </w:numPr>
      <w:spacing w:before="0" w:after="0" w:line="240" w:lineRule="auto"/>
      <w:jc w:val="left"/>
    </w:pPr>
    <w:rPr>
      <w:rFonts w:asciiTheme="minorHAnsi" w:eastAsia="Times New Roman" w:hAnsiTheme="minorHAnsi" w:cs="Times New Roman"/>
      <w:lang w:eastAsia="en-US"/>
    </w:rPr>
  </w:style>
  <w:style w:type="paragraph" w:customStyle="1" w:styleId="Subclauselisti">
    <w:name w:val="Subclause list (i)"/>
    <w:aliases w:val="(ii)"/>
    <w:basedOn w:val="BodyText"/>
    <w:uiPriority w:val="2"/>
    <w:qFormat/>
    <w:rsid w:val="00B60453"/>
    <w:pPr>
      <w:numPr>
        <w:ilvl w:val="5"/>
        <w:numId w:val="16"/>
      </w:numPr>
    </w:pPr>
  </w:style>
  <w:style w:type="paragraph" w:customStyle="1" w:styleId="Subclause1">
    <w:name w:val="Subclause (1)"/>
    <w:aliases w:val="(2)"/>
    <w:basedOn w:val="Subclauselista"/>
    <w:uiPriority w:val="2"/>
    <w:qFormat/>
    <w:rsid w:val="00B60453"/>
    <w:pPr>
      <w:numPr>
        <w:ilvl w:val="0"/>
        <w:numId w:val="17"/>
      </w:numPr>
      <w:spacing w:before="120"/>
    </w:pPr>
  </w:style>
  <w:style w:type="paragraph" w:styleId="Index5">
    <w:name w:val="index 5"/>
    <w:basedOn w:val="Normal"/>
    <w:next w:val="Normal"/>
    <w:autoRedefine/>
    <w:uiPriority w:val="99"/>
    <w:semiHidden/>
    <w:rsid w:val="00D3504B"/>
    <w:pPr>
      <w:spacing w:before="0" w:after="0" w:line="240" w:lineRule="auto"/>
      <w:ind w:left="1100" w:hanging="220"/>
      <w:jc w:val="left"/>
    </w:pPr>
    <w:rPr>
      <w:rFonts w:asciiTheme="minorHAnsi" w:eastAsia="Times New Roman" w:hAnsiTheme="minorHAnsi" w:cs="Times New Roman"/>
      <w:lang w:eastAsia="en-US"/>
    </w:rPr>
  </w:style>
  <w:style w:type="paragraph" w:styleId="Index6">
    <w:name w:val="index 6"/>
    <w:basedOn w:val="Normal"/>
    <w:next w:val="Normal"/>
    <w:autoRedefine/>
    <w:uiPriority w:val="99"/>
    <w:semiHidden/>
    <w:rsid w:val="00D3504B"/>
    <w:pPr>
      <w:spacing w:before="0" w:after="0" w:line="240" w:lineRule="auto"/>
      <w:ind w:left="1320" w:hanging="220"/>
      <w:jc w:val="left"/>
    </w:pPr>
    <w:rPr>
      <w:rFonts w:asciiTheme="minorHAnsi" w:eastAsia="Times New Roman" w:hAnsiTheme="minorHAnsi" w:cs="Times New Roman"/>
      <w:lang w:eastAsia="en-US"/>
    </w:rPr>
  </w:style>
  <w:style w:type="paragraph" w:styleId="Index7">
    <w:name w:val="index 7"/>
    <w:basedOn w:val="Normal"/>
    <w:next w:val="Normal"/>
    <w:autoRedefine/>
    <w:uiPriority w:val="99"/>
    <w:semiHidden/>
    <w:rsid w:val="00D3504B"/>
    <w:pPr>
      <w:spacing w:before="0" w:after="0" w:line="240" w:lineRule="auto"/>
      <w:ind w:left="1540" w:hanging="220"/>
      <w:jc w:val="left"/>
    </w:pPr>
    <w:rPr>
      <w:rFonts w:asciiTheme="minorHAnsi" w:eastAsia="Times New Roman" w:hAnsiTheme="minorHAnsi" w:cs="Times New Roman"/>
      <w:lang w:eastAsia="en-US"/>
    </w:rPr>
  </w:style>
  <w:style w:type="paragraph" w:styleId="Index8">
    <w:name w:val="index 8"/>
    <w:basedOn w:val="Normal"/>
    <w:next w:val="Normal"/>
    <w:autoRedefine/>
    <w:uiPriority w:val="99"/>
    <w:semiHidden/>
    <w:rsid w:val="00D3504B"/>
    <w:pPr>
      <w:spacing w:before="0" w:after="0" w:line="240" w:lineRule="auto"/>
      <w:ind w:left="1760" w:hanging="220"/>
      <w:jc w:val="left"/>
    </w:pPr>
    <w:rPr>
      <w:rFonts w:asciiTheme="minorHAnsi" w:eastAsia="Times New Roman" w:hAnsiTheme="minorHAnsi" w:cs="Times New Roman"/>
      <w:lang w:eastAsia="en-US"/>
    </w:rPr>
  </w:style>
  <w:style w:type="paragraph" w:styleId="Index9">
    <w:name w:val="index 9"/>
    <w:basedOn w:val="Normal"/>
    <w:next w:val="Normal"/>
    <w:autoRedefine/>
    <w:uiPriority w:val="99"/>
    <w:semiHidden/>
    <w:rsid w:val="00D3504B"/>
    <w:pPr>
      <w:spacing w:before="0" w:after="0" w:line="240" w:lineRule="auto"/>
      <w:ind w:left="1980" w:hanging="220"/>
      <w:jc w:val="left"/>
    </w:pPr>
    <w:rPr>
      <w:rFonts w:asciiTheme="minorHAnsi" w:eastAsia="Times New Roman" w:hAnsiTheme="minorHAnsi" w:cs="Times New Roman"/>
      <w:lang w:eastAsia="en-US"/>
    </w:rPr>
  </w:style>
  <w:style w:type="paragraph" w:styleId="IndexHeading">
    <w:name w:val="index heading"/>
    <w:basedOn w:val="Normal"/>
    <w:next w:val="Index1"/>
    <w:uiPriority w:val="99"/>
    <w:semiHidden/>
    <w:rsid w:val="00D3504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D3504B"/>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D3504B"/>
    <w:rPr>
      <w:rFonts w:ascii="Calibri" w:eastAsiaTheme="minorEastAsia" w:hAnsi="Calibri"/>
      <w:i/>
      <w:iCs/>
      <w:color w:val="1C556C" w:themeColor="accent1"/>
      <w:lang w:eastAsia="en-NZ"/>
    </w:rPr>
  </w:style>
  <w:style w:type="paragraph" w:styleId="ListBullet3">
    <w:name w:val="List Bullet 3"/>
    <w:basedOn w:val="Normal"/>
    <w:uiPriority w:val="99"/>
    <w:semiHidden/>
    <w:rsid w:val="00D3504B"/>
    <w:pPr>
      <w:numPr>
        <w:numId w:val="19"/>
      </w:numPr>
      <w:contextualSpacing/>
    </w:pPr>
  </w:style>
  <w:style w:type="paragraph" w:styleId="ListNumber3">
    <w:name w:val="List Number 3"/>
    <w:basedOn w:val="Normal"/>
    <w:uiPriority w:val="99"/>
    <w:semiHidden/>
    <w:rsid w:val="00D3504B"/>
    <w:pPr>
      <w:numPr>
        <w:numId w:val="20"/>
      </w:numPr>
      <w:contextualSpacing/>
    </w:pPr>
  </w:style>
  <w:style w:type="paragraph" w:styleId="ListNumber4">
    <w:name w:val="List Number 4"/>
    <w:basedOn w:val="Normal"/>
    <w:uiPriority w:val="99"/>
    <w:semiHidden/>
    <w:rsid w:val="00D3504B"/>
    <w:pPr>
      <w:numPr>
        <w:numId w:val="21"/>
      </w:numPr>
      <w:contextualSpacing/>
    </w:pPr>
  </w:style>
  <w:style w:type="paragraph" w:styleId="MacroText">
    <w:name w:val="macro"/>
    <w:link w:val="MacroTextChar"/>
    <w:uiPriority w:val="99"/>
    <w:semiHidden/>
    <w:rsid w:val="00D3504B"/>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D3504B"/>
    <w:rPr>
      <w:rFonts w:ascii="Consolas" w:eastAsiaTheme="minorEastAsia" w:hAnsi="Consolas"/>
      <w:sz w:val="20"/>
      <w:szCs w:val="20"/>
      <w:lang w:eastAsia="en-NZ"/>
    </w:rPr>
  </w:style>
  <w:style w:type="paragraph" w:styleId="NoSpacing">
    <w:name w:val="No Spacing"/>
    <w:uiPriority w:val="1"/>
    <w:semiHidden/>
    <w:qFormat/>
    <w:rsid w:val="00D3504B"/>
    <w:pPr>
      <w:spacing w:after="0" w:line="240" w:lineRule="auto"/>
      <w:jc w:val="both"/>
    </w:pPr>
    <w:rPr>
      <w:rFonts w:ascii="Calibri" w:eastAsiaTheme="minorEastAsia" w:hAnsi="Calibri"/>
      <w:lang w:eastAsia="en-NZ"/>
    </w:rPr>
  </w:style>
  <w:style w:type="paragraph" w:styleId="TableofAuthorities">
    <w:name w:val="table of authorities"/>
    <w:basedOn w:val="Normal"/>
    <w:next w:val="Normal"/>
    <w:uiPriority w:val="99"/>
    <w:semiHidden/>
    <w:unhideWhenUsed/>
    <w:rsid w:val="00D3504B"/>
    <w:pPr>
      <w:spacing w:before="0" w:after="0" w:line="240" w:lineRule="auto"/>
      <w:ind w:left="220" w:hanging="220"/>
      <w:jc w:val="left"/>
    </w:pPr>
    <w:rPr>
      <w:rFonts w:asciiTheme="minorHAnsi" w:eastAsia="Times New Roman" w:hAnsiTheme="minorHAnsi" w:cs="Times New Roman"/>
      <w:lang w:eastAsia="en-US"/>
    </w:rPr>
  </w:style>
  <w:style w:type="paragraph" w:styleId="TOAHeading">
    <w:name w:val="toa heading"/>
    <w:basedOn w:val="Normal"/>
    <w:next w:val="Normal"/>
    <w:uiPriority w:val="99"/>
    <w:semiHidden/>
    <w:unhideWhenUsed/>
    <w:rsid w:val="00D3504B"/>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D3504B"/>
    <w:pPr>
      <w:spacing w:after="100"/>
      <w:ind w:left="880"/>
    </w:pPr>
  </w:style>
  <w:style w:type="paragraph" w:styleId="TOC6">
    <w:name w:val="toc 6"/>
    <w:basedOn w:val="Normal"/>
    <w:next w:val="Normal"/>
    <w:autoRedefine/>
    <w:uiPriority w:val="39"/>
    <w:semiHidden/>
    <w:unhideWhenUsed/>
    <w:rsid w:val="00D3504B"/>
    <w:pPr>
      <w:spacing w:after="100"/>
      <w:ind w:left="1100"/>
    </w:pPr>
  </w:style>
  <w:style w:type="paragraph" w:styleId="TOC7">
    <w:name w:val="toc 7"/>
    <w:basedOn w:val="Normal"/>
    <w:next w:val="Normal"/>
    <w:autoRedefine/>
    <w:uiPriority w:val="39"/>
    <w:semiHidden/>
    <w:unhideWhenUsed/>
    <w:rsid w:val="00D3504B"/>
    <w:pPr>
      <w:spacing w:after="100"/>
      <w:ind w:left="1320"/>
    </w:pPr>
  </w:style>
  <w:style w:type="paragraph" w:styleId="TOC8">
    <w:name w:val="toc 8"/>
    <w:basedOn w:val="Normal"/>
    <w:next w:val="Normal"/>
    <w:autoRedefine/>
    <w:uiPriority w:val="39"/>
    <w:semiHidden/>
    <w:unhideWhenUsed/>
    <w:rsid w:val="00D3504B"/>
    <w:pPr>
      <w:spacing w:after="100"/>
      <w:ind w:left="1540"/>
    </w:pPr>
  </w:style>
  <w:style w:type="paragraph" w:styleId="TOC9">
    <w:name w:val="toc 9"/>
    <w:basedOn w:val="Normal"/>
    <w:next w:val="Normal"/>
    <w:autoRedefine/>
    <w:uiPriority w:val="39"/>
    <w:semiHidden/>
    <w:unhideWhenUsed/>
    <w:rsid w:val="00D3504B"/>
    <w:pPr>
      <w:spacing w:after="100"/>
      <w:ind w:left="1760"/>
    </w:pPr>
  </w:style>
  <w:style w:type="paragraph" w:customStyle="1" w:styleId="TableParagraph">
    <w:name w:val="Table Paragraph"/>
    <w:basedOn w:val="Normal"/>
    <w:uiPriority w:val="1"/>
    <w:semiHidden/>
    <w:qFormat/>
    <w:rsid w:val="00D52320"/>
    <w:pPr>
      <w:widowControl w:val="0"/>
      <w:spacing w:before="0" w:after="0" w:line="240" w:lineRule="auto"/>
      <w:jc w:val="left"/>
    </w:pPr>
    <w:rPr>
      <w:rFonts w:asciiTheme="minorHAnsi" w:eastAsiaTheme="minorHAnsi" w:hAnsiTheme="minorHAnsi"/>
      <w:lang w:val="en-US" w:eastAsia="en-US"/>
    </w:rPr>
  </w:style>
  <w:style w:type="table" w:customStyle="1" w:styleId="MinistryfortheEnvironment">
    <w:name w:val="Ministry for the Environment"/>
    <w:basedOn w:val="TableNormal"/>
    <w:uiPriority w:val="99"/>
    <w:rsid w:val="00926375"/>
    <w:pPr>
      <w:spacing w:after="0" w:line="240" w:lineRule="auto"/>
    </w:pPr>
    <w:rPr>
      <w:rFonts w:ascii="Calibri" w:eastAsia="Calibri" w:hAnsi="Calibri" w:cs="Times New Roman"/>
      <w:sz w:val="20"/>
      <w:szCs w:val="20"/>
      <w:lang w:eastAsia="en-NZ"/>
    </w:rPr>
    <w:tblPr>
      <w:tblBorders>
        <w:bottom w:val="single" w:sz="4" w:space="0" w:color="1B556B"/>
        <w:insideH w:val="single" w:sz="4" w:space="0" w:color="1B556B"/>
        <w:insideV w:val="single" w:sz="4" w:space="0" w:color="1B556B"/>
      </w:tblBorders>
      <w:tblCellMar>
        <w:bottom w:w="57" w:type="dxa"/>
      </w:tblCellMar>
    </w:tblPr>
    <w:tblStylePr w:type="firstRow">
      <w:rPr>
        <w:b/>
        <w:color w:val="FFFFFF"/>
      </w:rPr>
      <w:tblPr/>
      <w:tcPr>
        <w:shd w:val="clear" w:color="auto" w:fill="1B556B"/>
      </w:tcPr>
    </w:tblStylePr>
  </w:style>
  <w:style w:type="character" w:styleId="Mention">
    <w:name w:val="Mention"/>
    <w:basedOn w:val="DefaultParagraphFont"/>
    <w:uiPriority w:val="99"/>
    <w:unhideWhenUsed/>
    <w:rsid w:val="00B96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75406811">
      <w:bodyDiv w:val="1"/>
      <w:marLeft w:val="0"/>
      <w:marRight w:val="0"/>
      <w:marTop w:val="0"/>
      <w:marBottom w:val="0"/>
      <w:divBdr>
        <w:top w:val="none" w:sz="0" w:space="0" w:color="auto"/>
        <w:left w:val="none" w:sz="0" w:space="0" w:color="auto"/>
        <w:bottom w:val="none" w:sz="0" w:space="0" w:color="auto"/>
        <w:right w:val="none" w:sz="0" w:space="0" w:color="auto"/>
      </w:divBdr>
    </w:div>
    <w:div w:id="352346368">
      <w:bodyDiv w:val="1"/>
      <w:marLeft w:val="0"/>
      <w:marRight w:val="0"/>
      <w:marTop w:val="0"/>
      <w:marBottom w:val="0"/>
      <w:divBdr>
        <w:top w:val="none" w:sz="0" w:space="0" w:color="auto"/>
        <w:left w:val="none" w:sz="0" w:space="0" w:color="auto"/>
        <w:bottom w:val="none" w:sz="0" w:space="0" w:color="auto"/>
        <w:right w:val="none" w:sz="0" w:space="0" w:color="auto"/>
      </w:divBdr>
    </w:div>
    <w:div w:id="360211074">
      <w:bodyDiv w:val="1"/>
      <w:marLeft w:val="0"/>
      <w:marRight w:val="0"/>
      <w:marTop w:val="0"/>
      <w:marBottom w:val="0"/>
      <w:divBdr>
        <w:top w:val="none" w:sz="0" w:space="0" w:color="auto"/>
        <w:left w:val="none" w:sz="0" w:space="0" w:color="auto"/>
        <w:bottom w:val="none" w:sz="0" w:space="0" w:color="auto"/>
        <w:right w:val="none" w:sz="0" w:space="0" w:color="auto"/>
      </w:divBdr>
    </w:div>
    <w:div w:id="6523685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3252173">
      <w:bodyDiv w:val="1"/>
      <w:marLeft w:val="0"/>
      <w:marRight w:val="0"/>
      <w:marTop w:val="0"/>
      <w:marBottom w:val="0"/>
      <w:divBdr>
        <w:top w:val="none" w:sz="0" w:space="0" w:color="auto"/>
        <w:left w:val="none" w:sz="0" w:space="0" w:color="auto"/>
        <w:bottom w:val="none" w:sz="0" w:space="0" w:color="auto"/>
        <w:right w:val="none" w:sz="0" w:space="0" w:color="auto"/>
      </w:divBdr>
    </w:div>
    <w:div w:id="1777481861">
      <w:bodyDiv w:val="1"/>
      <w:marLeft w:val="0"/>
      <w:marRight w:val="0"/>
      <w:marTop w:val="0"/>
      <w:marBottom w:val="0"/>
      <w:divBdr>
        <w:top w:val="none" w:sz="0" w:space="0" w:color="auto"/>
        <w:left w:val="none" w:sz="0" w:space="0" w:color="auto"/>
        <w:bottom w:val="none" w:sz="0" w:space="0" w:color="auto"/>
        <w:right w:val="none" w:sz="0" w:space="0" w:color="auto"/>
      </w:divBdr>
      <w:divsChild>
        <w:div w:id="255402189">
          <w:marLeft w:val="0"/>
          <w:marRight w:val="0"/>
          <w:marTop w:val="0"/>
          <w:marBottom w:val="0"/>
          <w:divBdr>
            <w:top w:val="none" w:sz="0" w:space="0" w:color="auto"/>
            <w:left w:val="none" w:sz="0" w:space="0" w:color="auto"/>
            <w:bottom w:val="none" w:sz="0" w:space="0" w:color="auto"/>
            <w:right w:val="none" w:sz="0" w:space="0" w:color="auto"/>
          </w:divBdr>
        </w:div>
        <w:div w:id="538668998">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11841596">
          <w:marLeft w:val="0"/>
          <w:marRight w:val="0"/>
          <w:marTop w:val="0"/>
          <w:marBottom w:val="0"/>
          <w:divBdr>
            <w:top w:val="none" w:sz="0" w:space="0" w:color="auto"/>
            <w:left w:val="none" w:sz="0" w:space="0" w:color="auto"/>
            <w:bottom w:val="none" w:sz="0" w:space="0" w:color="auto"/>
            <w:right w:val="none" w:sz="0" w:space="0" w:color="auto"/>
          </w:divBdr>
        </w:div>
      </w:divsChild>
    </w:div>
    <w:div w:id="1904489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Colors" Target="diagrams/colors1.xml"/><Relationship Id="rId42" Type="http://schemas.openxmlformats.org/officeDocument/2006/relationships/hyperlink" Target="https://environment.govt.nz/acts-and-regulations/freshwater-implementation-guidance/factsheets-on-policies-and-regulations-in-the-essential-freshwater-package/" TargetMode="External"/><Relationship Id="rId47" Type="http://schemas.openxmlformats.org/officeDocument/2006/relationships/hyperlink" Target="https://environment.govt.nz/publications/guidance-for-implementing-the-npsfm-sediment-requirements/" TargetMode="External"/><Relationship Id="rId63" Type="http://schemas.openxmlformats.org/officeDocument/2006/relationships/hyperlink" Target="https://environment.govt.nz/publications/freshwater-science-and-technical-advisory-group-supplementary-report-to-the-minister-for-the-environment/" TargetMode="External"/><Relationship Id="rId68" Type="http://schemas.openxmlformats.org/officeDocument/2006/relationships/hyperlink" Target="https://environment.govt.nz/assets/publications/freshwater-policy/Instream-Nutrients-ME-1662-FINAL-V3.pdf"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hyperlink" Target="https://environment.govt.nz/publications/setting-instream-nutrient-concentration-thresholds-for-nutrient-affected-attributes-in-rivers/" TargetMode="External"/><Relationship Id="rId58" Type="http://schemas.openxmlformats.org/officeDocument/2006/relationships/hyperlink" Target="https://environment.govt.nz/publications/guidance-on-look-up-tables-for-setting-nutrient-targets-for-periphyton-second-edition/" TargetMode="External"/><Relationship Id="rId74" Type="http://schemas.openxmlformats.org/officeDocument/2006/relationships/hyperlink" Target="https://niwa.co.nz/freshwater/research-projects/the-new-zealand-estuary-trophic-index" TargetMode="External"/><Relationship Id="rId79"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s://environment.govt.nz/publications/guidance-on-look-up-tables-for-setting-nutrient-targets-for-periphyton-second-edition/" TargetMode="External"/><Relationship Id="rId82" Type="http://schemas.microsoft.com/office/2019/05/relationships/documenttasks" Target="documenttasks/documenttasks1.xml"/><Relationship Id="rId19" Type="http://schemas.openxmlformats.org/officeDocument/2006/relationships/diagramLayout" Target="diagrams/layout1.xml"/><Relationship Id="rId14" Type="http://schemas.openxmlformats.org/officeDocument/2006/relationships/image" Target="media/image2.jp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hyperlink" Target="https://environment.govt.nz/publications/guidance-on-the-national-objectives-framework-of-the-nps-fm/" TargetMode="External"/><Relationship Id="rId48" Type="http://schemas.openxmlformats.org/officeDocument/2006/relationships/hyperlink" Target="https://environment.govt.nz/publications/mahinga-kai-kete/" TargetMode="External"/><Relationship Id="rId56" Type="http://schemas.openxmlformats.org/officeDocument/2006/relationships/hyperlink" Target="https://environment.govt.nz/publications/guidance-on-the-national-objectives-framework-of-the-nps-fm/" TargetMode="External"/><Relationship Id="rId64" Type="http://schemas.openxmlformats.org/officeDocument/2006/relationships/hyperlink" Target="https://environment.govt.nz/publications/freshwater-science-and-technical-advisory-group-report-to-the-minister-for-the-environment/" TargetMode="External"/><Relationship Id="rId69" Type="http://schemas.openxmlformats.org/officeDocument/2006/relationships/hyperlink" Target="https://environment.govt.nz/publications/setting-instream-nutrient-concentration-thresholds-for-nutrient-affected-attributes-in-rivers/" TargetMode="External"/><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environment.govt.nz/publications/setting-instream-nutrient-concentration-thresholds-for-nutrient-affected-attributes-in-rivers/" TargetMode="External"/><Relationship Id="rId72" Type="http://schemas.openxmlformats.org/officeDocument/2006/relationships/hyperlink" Target="https://data.mfe.govt.nz/table/107868-nz-freshwater-nutrient-and-biomass-measurements-for-periphyton-2012-2020/"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vironment.govt.nz/publications/setting-instream-nutrient-concentration-thresholds-for-nutrient-affected-attributes-in-rivers/" TargetMode="Externa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hyperlink" Target="https://environment.govt.nz/publications/setting-instream-nutrient-concentration-thresholds-for-nutrient-affected-attributes-in-rivers/" TargetMode="External"/><Relationship Id="rId59" Type="http://schemas.openxmlformats.org/officeDocument/2006/relationships/image" Target="media/image12.jpg"/><Relationship Id="rId67" Type="http://schemas.openxmlformats.org/officeDocument/2006/relationships/image" Target="media/image14.png"/><Relationship Id="rId20" Type="http://schemas.openxmlformats.org/officeDocument/2006/relationships/diagramQuickStyle" Target="diagrams/quickStyle1.xml"/><Relationship Id="rId41" Type="http://schemas.openxmlformats.org/officeDocument/2006/relationships/hyperlink" Target="https://environment.govt.nz/what-government-is-doing/areas-of-work/freshwater/work-programme/supporting-evidence-for-government-freshwater-work-programme/science-and-technical-advisory-group/" TargetMode="External"/><Relationship Id="rId54" Type="http://schemas.openxmlformats.org/officeDocument/2006/relationships/hyperlink" Target="https://environment.govt.nz/publications/guidance-on-the-national-objectives-framework-of-the-nps-fm/" TargetMode="External"/><Relationship Id="rId62" Type="http://schemas.openxmlformats.org/officeDocument/2006/relationships/hyperlink" Target="https://environment.govt.nz/publications/freshwater-science-and-technical-advisory-group-supplementary-report-to-the-minister-for-the-environment/" TargetMode="External"/><Relationship Id="rId70" Type="http://schemas.openxmlformats.org/officeDocument/2006/relationships/hyperlink" Target="https://environment.govt.nz/publications/guidance-on-look-up-tables-for-setting-nutrient-targets-for-periphyton-second-edition/" TargetMode="External"/><Relationship Id="rId75" Type="http://schemas.openxmlformats.org/officeDocument/2006/relationships/hyperlink" Target="https://niwa.co.nz/freshwater/research-projects/the-new-zealand-estuary-trophic-inde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https://environment.govt.nz/publications/guidance-on-the-national-objectives-framework-of-the-nps-fm/" TargetMode="Externa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hyperlink" Target="https://environment.govt.nz/publications/guidance-on-the-national-objectives-framework-of-the-nps-fm/" TargetMode="External"/><Relationship Id="rId57" Type="http://schemas.openxmlformats.org/officeDocument/2006/relationships/hyperlink" Target="https://environment.govt.nz/publications/setting-instream-nutrient-concentration-thresholds-for-nutrient-affected-attributes-in-rivers/" TargetMode="External"/><Relationship Id="rId10" Type="http://schemas.openxmlformats.org/officeDocument/2006/relationships/footnotes" Target="footnotes.xml"/><Relationship Id="rId31" Type="http://schemas.openxmlformats.org/officeDocument/2006/relationships/diagramData" Target="diagrams/data3.xml"/><Relationship Id="rId44" Type="http://schemas.openxmlformats.org/officeDocument/2006/relationships/hyperlink" Target="https://environment.govt.nz/publications/guidance-on-look-up-tables-for-setting-nutrient-targets-for-periphyton-second-edition/" TargetMode="External"/><Relationship Id="rId52" Type="http://schemas.openxmlformats.org/officeDocument/2006/relationships/hyperlink" Target="https://environment.govt.nz/publications/guidance-on-look-up-tables-for-setting-nutrient-targets-for-periphyton-second-edition/" TargetMode="External"/><Relationship Id="rId60" Type="http://schemas.openxmlformats.org/officeDocument/2006/relationships/hyperlink" Target="https://environment.govt.nz/publications/derivation-of-nutrient-criteria-for-periphyton-biomass-objectives/" TargetMode="External"/><Relationship Id="rId65" Type="http://schemas.openxmlformats.org/officeDocument/2006/relationships/hyperlink" Target="https://environment.govt.nz/publications/freshwater-science-and-technical-advisory-group-supplementary-report-to-the-minister-for-the-environment/" TargetMode="External"/><Relationship Id="rId73" Type="http://schemas.openxmlformats.org/officeDocument/2006/relationships/image" Target="media/image15.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diagramColors" Target="diagrams/colors4.xml"/><Relationship Id="rId34" Type="http://schemas.openxmlformats.org/officeDocument/2006/relationships/diagramColors" Target="diagrams/colors3.xml"/><Relationship Id="rId50" Type="http://schemas.openxmlformats.org/officeDocument/2006/relationships/hyperlink" Target="https://environment.govt.nz/publications/setting-instream-nutrient-concentration-thresholds-for-nutrient-affected-attributes-in-rivers/" TargetMode="External"/><Relationship Id="rId55" Type="http://schemas.openxmlformats.org/officeDocument/2006/relationships/image" Target="media/image11.png"/><Relationship Id="rId76" Type="http://schemas.openxmlformats.org/officeDocument/2006/relationships/hyperlink" Target="https://data.mfe.govt.nz/table/107868-nz-freshwater-nutrient-and-biomass-measurements-for-periphyton-2012-2020/" TargetMode="External"/><Relationship Id="rId7" Type="http://schemas.openxmlformats.org/officeDocument/2006/relationships/styles" Target="styles.xml"/><Relationship Id="rId71" Type="http://schemas.openxmlformats.org/officeDocument/2006/relationships/hyperlink" Target="https://environment.govt.nz/publications/derivation-of-nutrient-criteria-for-periphyton-biomass-objectives/" TargetMode="External"/><Relationship Id="rId2" Type="http://schemas.openxmlformats.org/officeDocument/2006/relationships/customXml" Target="../customXml/item2.xml"/><Relationship Id="rId29" Type="http://schemas.openxmlformats.org/officeDocument/2006/relationships/diagramColors" Target="diagrams/colors2.xml"/><Relationship Id="rId24" Type="http://schemas.openxmlformats.org/officeDocument/2006/relationships/hyperlink" Target="https://environment.govt.nz/publications/guidance-on-look-up-tables-for-setting-nutrient-targets-for-periphyton-second-edition/" TargetMode="External"/><Relationship Id="rId40" Type="http://schemas.microsoft.com/office/2007/relationships/diagramDrawing" Target="diagrams/drawing4.xml"/><Relationship Id="rId45" Type="http://schemas.openxmlformats.org/officeDocument/2006/relationships/hyperlink" Target="https://environment.govt.nz/publications/setting-instream-nutrient-concentration-thresholds-for-nutrient-affected-attributes-in-rivers/" TargetMode="External"/><Relationship Id="rId66"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publications/guidance-on-look-up-tables-for-setting-nutrient-targets-for-periphyton-second-edition/" TargetMode="External"/><Relationship Id="rId2" Type="http://schemas.openxmlformats.org/officeDocument/2006/relationships/hyperlink" Target="https://environment.govt.nz/publications/guidance-on-the-national-objectives-framework-of-the-nps-fm/" TargetMode="External"/><Relationship Id="rId1" Type="http://schemas.openxmlformats.org/officeDocument/2006/relationships/hyperlink" Target="https://environment.govt.nz/publications/guidance-on-the-national-objectives-framework-of-the-nps-fm/clause-3-9/" TargetMode="External"/></Relationships>
</file>

<file path=word/diagrams/_rels/data2.xml.rels><?xml version="1.0" encoding="UTF-8" standalone="yes"?>
<Relationships xmlns="http://schemas.openxmlformats.org/package/2006/relationships"><Relationship Id="rId3" Type="http://schemas.openxmlformats.org/officeDocument/2006/relationships/hyperlink" Target="https://environment.govt.nz/assets/publications/freshwater-policy/freshwater-science-and-technical-advisory-group-supplementary-report.pdf" TargetMode="External"/><Relationship Id="rId2" Type="http://schemas.openxmlformats.org/officeDocument/2006/relationships/hyperlink" Target="https://environment.govt.nz/assets/Publications/Files/freshwater-science-and-technical-advisory-group-report.pdf" TargetMode="External"/><Relationship Id="rId1" Type="http://schemas.openxmlformats.org/officeDocument/2006/relationships/hyperlink" Target="https://environment.govt.nz/assets/Publications/Files/a-draft-guide-to-attributes.pdf"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diagrams/_rels/data3.xml.rels><?xml version="1.0" encoding="UTF-8" standalone="yes"?>
<Relationships xmlns="http://schemas.openxmlformats.org/package/2006/relationships"><Relationship Id="rId3" Type="http://schemas.openxmlformats.org/officeDocument/2006/relationships/hyperlink" Target="https://environment.govt.nz/assets/Publications/Guidance-for-setting-instream-nutrient-concentrations-under-Clause-3.13-FINAL.pdf" TargetMode="External"/><Relationship Id="rId2" Type="http://schemas.openxmlformats.org/officeDocument/2006/relationships/hyperlink" Target="https://environment.govt.nz/assets/publications/Files/Derivation-of-nutrient-criteria-for-periphyton-biomass-objectives.pdf" TargetMode="External"/><Relationship Id="rId1" Type="http://schemas.openxmlformats.org/officeDocument/2006/relationships/hyperlink" Target="https://environment.govt.nz/assets/publications/Files/Guidance-on-look-up-tables-for-setting-nutrient-targets-for-periphyton-010622.pdf" TargetMode="Externa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ata4.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hyperlink" Target="https://environment.govt.nz/assets/publications/freshwater-policy/Instream-Nutrients-ME-1662-FINAL-V3.pdf" TargetMode="External"/></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6D52B-9D8A-4B07-BD58-085766F6CE98}"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NZ"/>
        </a:p>
      </dgm:t>
    </dgm:pt>
    <dgm:pt modelId="{12D757A1-7AFF-4C63-9365-65494DF70575}">
      <dgm:prSet phldrT="[Text]"/>
      <dgm:spPr/>
      <dgm:t>
        <a:bodyPr/>
        <a:lstStyle/>
        <a:p>
          <a:r>
            <a:rPr lang="en-NZ"/>
            <a:t>1 August 2020</a:t>
          </a:r>
        </a:p>
      </dgm:t>
    </dgm:pt>
    <dgm:pt modelId="{5A4BED2C-D4D4-416D-95A5-35006C318057}" type="parTrans" cxnId="{CF6AE0FF-68D1-4E6C-B085-CDBA90927372}">
      <dgm:prSet/>
      <dgm:spPr/>
      <dgm:t>
        <a:bodyPr/>
        <a:lstStyle/>
        <a:p>
          <a:endParaRPr lang="en-NZ"/>
        </a:p>
      </dgm:t>
    </dgm:pt>
    <dgm:pt modelId="{C41BE47F-9E30-483C-98E3-141D8C05F893}" type="sibTrans" cxnId="{CF6AE0FF-68D1-4E6C-B085-CDBA90927372}">
      <dgm:prSet/>
      <dgm:spPr/>
      <dgm:t>
        <a:bodyPr/>
        <a:lstStyle/>
        <a:p>
          <a:endParaRPr lang="en-NZ"/>
        </a:p>
      </dgm:t>
    </dgm:pt>
    <dgm:pt modelId="{D2957F18-201C-4F39-94FB-A537EA99FD4F}">
      <dgm:prSet phldrT="[Text]"/>
      <dgm:spPr/>
      <dgm:t>
        <a:bodyPr/>
        <a:lstStyle/>
        <a:p>
          <a:r>
            <a:rPr lang="en-NZ"/>
            <a:t>NPS-FM 2020 published.</a:t>
          </a:r>
        </a:p>
      </dgm:t>
    </dgm:pt>
    <dgm:pt modelId="{07C9A330-E043-43FA-A31B-446C44D14EF7}" type="parTrans" cxnId="{F2723DC3-0480-4C90-B04C-CCE2C76F4293}">
      <dgm:prSet/>
      <dgm:spPr/>
      <dgm:t>
        <a:bodyPr/>
        <a:lstStyle/>
        <a:p>
          <a:endParaRPr lang="en-NZ"/>
        </a:p>
      </dgm:t>
    </dgm:pt>
    <dgm:pt modelId="{F8E56DA9-C8BB-4186-9013-8E95EFDEBBB6}" type="sibTrans" cxnId="{F2723DC3-0480-4C90-B04C-CCE2C76F4293}">
      <dgm:prSet/>
      <dgm:spPr/>
      <dgm:t>
        <a:bodyPr/>
        <a:lstStyle/>
        <a:p>
          <a:endParaRPr lang="en-NZ"/>
        </a:p>
      </dgm:t>
    </dgm:pt>
    <dgm:pt modelId="{7C393DBA-9285-42A1-9269-9F400A650A2D}">
      <dgm:prSet phldrT="[Text]"/>
      <dgm:spPr/>
      <dgm:t>
        <a:bodyPr/>
        <a:lstStyle/>
        <a:p>
          <a:r>
            <a:rPr lang="en-NZ"/>
            <a:t>Various guidance documents, including the original version of this document, published.</a:t>
          </a:r>
        </a:p>
      </dgm:t>
    </dgm:pt>
    <dgm:pt modelId="{848FA84D-86CD-44C2-9EB4-18173B79C837}" type="parTrans" cxnId="{F984E564-5BB2-4C94-A4C2-D03553B9C6EE}">
      <dgm:prSet/>
      <dgm:spPr/>
      <dgm:t>
        <a:bodyPr/>
        <a:lstStyle/>
        <a:p>
          <a:endParaRPr lang="en-NZ"/>
        </a:p>
      </dgm:t>
    </dgm:pt>
    <dgm:pt modelId="{92421B1B-165C-4A0A-9407-09FAD49D4D7A}" type="sibTrans" cxnId="{F984E564-5BB2-4C94-A4C2-D03553B9C6EE}">
      <dgm:prSet/>
      <dgm:spPr/>
      <dgm:t>
        <a:bodyPr/>
        <a:lstStyle/>
        <a:p>
          <a:endParaRPr lang="en-NZ"/>
        </a:p>
      </dgm:t>
    </dgm:pt>
    <dgm:pt modelId="{14AD81F9-8CD4-40F3-8677-60E8F9D118CA}">
      <dgm:prSet phldrT="[Text]"/>
      <dgm:spPr/>
      <dgm:t>
        <a:bodyPr/>
        <a:lstStyle/>
        <a:p>
          <a:r>
            <a:rPr lang="en-NZ"/>
            <a:t>1 August 2020– 31 May 2022</a:t>
          </a:r>
        </a:p>
      </dgm:t>
    </dgm:pt>
    <dgm:pt modelId="{660E49EF-C34E-47C0-8D88-E8D11AC70DCB}" type="parTrans" cxnId="{59A9079C-35A1-4A0D-A012-5CABF1646B01}">
      <dgm:prSet/>
      <dgm:spPr/>
      <dgm:t>
        <a:bodyPr/>
        <a:lstStyle/>
        <a:p>
          <a:endParaRPr lang="en-NZ"/>
        </a:p>
      </dgm:t>
    </dgm:pt>
    <dgm:pt modelId="{D7A842B1-E1AD-4973-A9CC-A9B7F8554C0A}" type="sibTrans" cxnId="{59A9079C-35A1-4A0D-A012-5CABF1646B01}">
      <dgm:prSet/>
      <dgm:spPr/>
      <dgm:t>
        <a:bodyPr/>
        <a:lstStyle/>
        <a:p>
          <a:endParaRPr lang="en-NZ"/>
        </a:p>
      </dgm:t>
    </dgm:pt>
    <dgm:pt modelId="{B24D06FA-90D2-4A59-9B18-C520645E388A}">
      <dgm:prSet phldrT="[Text]"/>
      <dgm:spPr/>
      <dgm:t>
        <a:bodyPr/>
        <a:lstStyle/>
        <a:p>
          <a:r>
            <a:rPr lang="en-NZ"/>
            <a:t>Collation of feedback on NPS-FM in relation to technical corrections and clarifications. </a:t>
          </a:r>
        </a:p>
      </dgm:t>
    </dgm:pt>
    <dgm:pt modelId="{BF82B0F5-6E1C-43D6-B92F-8DE5FC7507D5}" type="parTrans" cxnId="{D0DB4E81-7010-43F2-AFDC-9029A253FD94}">
      <dgm:prSet/>
      <dgm:spPr/>
      <dgm:t>
        <a:bodyPr/>
        <a:lstStyle/>
        <a:p>
          <a:endParaRPr lang="en-NZ"/>
        </a:p>
      </dgm:t>
    </dgm:pt>
    <dgm:pt modelId="{DFBA96EF-D481-4A7F-A191-B8B5A5947517}" type="sibTrans" cxnId="{D0DB4E81-7010-43F2-AFDC-9029A253FD94}">
      <dgm:prSet/>
      <dgm:spPr/>
      <dgm:t>
        <a:bodyPr/>
        <a:lstStyle/>
        <a:p>
          <a:endParaRPr lang="en-NZ"/>
        </a:p>
      </dgm:t>
    </dgm:pt>
    <dgm:pt modelId="{0C5C1103-7340-46FA-BCC2-38A2A323A318}">
      <dgm:prSet phldrT="[Text]"/>
      <dgm:spPr/>
      <dgm:t>
        <a:bodyPr/>
        <a:lstStyle/>
        <a:p>
          <a:r>
            <a:rPr lang="en-NZ"/>
            <a:t>31 May–10 June 2022</a:t>
          </a:r>
        </a:p>
      </dgm:t>
    </dgm:pt>
    <dgm:pt modelId="{6F00FB76-8FB8-4800-B039-AB7389B108F2}" type="parTrans" cxnId="{B8DF6E04-4490-4089-A8DE-03E2511F15E6}">
      <dgm:prSet/>
      <dgm:spPr/>
      <dgm:t>
        <a:bodyPr/>
        <a:lstStyle/>
        <a:p>
          <a:endParaRPr lang="en-NZ"/>
        </a:p>
      </dgm:t>
    </dgm:pt>
    <dgm:pt modelId="{809C0807-455D-4B05-9D35-7BBED256C36F}" type="sibTrans" cxnId="{B8DF6E04-4490-4089-A8DE-03E2511F15E6}">
      <dgm:prSet/>
      <dgm:spPr/>
      <dgm:t>
        <a:bodyPr/>
        <a:lstStyle/>
        <a:p>
          <a:endParaRPr lang="en-NZ"/>
        </a:p>
      </dgm:t>
    </dgm:pt>
    <dgm:pt modelId="{10A76177-1CC0-4903-996D-606D83BA6989}">
      <dgm:prSet phldrT="[Text]"/>
      <dgm:spPr/>
      <dgm:t>
        <a:bodyPr/>
        <a:lstStyle/>
        <a:p>
          <a:r>
            <a:rPr lang="en-NZ"/>
            <a:t>Consultation on document: “Overview of technical correctons and clarifications in the NPS-FM exposure draft”. Ministry requested feedback on the proposed drafting of technical amendments to the NPS-FM, which aim to improve clarity of policies, reduce complexity of drafting and, in some cases, correct errors.</a:t>
          </a:r>
        </a:p>
      </dgm:t>
    </dgm:pt>
    <dgm:pt modelId="{2E615309-2550-401C-84B7-92B813A1F775}" type="parTrans" cxnId="{1255098C-3F26-4E9E-BBD5-82601CFA4B63}">
      <dgm:prSet/>
      <dgm:spPr/>
      <dgm:t>
        <a:bodyPr/>
        <a:lstStyle/>
        <a:p>
          <a:endParaRPr lang="en-NZ"/>
        </a:p>
      </dgm:t>
    </dgm:pt>
    <dgm:pt modelId="{737B27AC-B7FB-429A-970E-9553F3211263}" type="sibTrans" cxnId="{1255098C-3F26-4E9E-BBD5-82601CFA4B63}">
      <dgm:prSet/>
      <dgm:spPr/>
      <dgm:t>
        <a:bodyPr/>
        <a:lstStyle/>
        <a:p>
          <a:endParaRPr lang="en-NZ"/>
        </a:p>
      </dgm:t>
    </dgm:pt>
    <dgm:pt modelId="{9899D7D9-5AD4-4137-BED0-A98629F04AB0}">
      <dgm:prSet/>
      <dgm:spPr/>
      <dgm:t>
        <a:bodyPr/>
        <a:lstStyle/>
        <a:p>
          <a:r>
            <a:rPr lang="en-NZ"/>
            <a:t>December 2022</a:t>
          </a:r>
        </a:p>
      </dgm:t>
    </dgm:pt>
    <dgm:pt modelId="{2DD9FF17-5A24-46D9-9C78-E0336D492DDA}" type="parTrans" cxnId="{F9D44352-B37C-4AFE-B8AD-3C45CE74A189}">
      <dgm:prSet/>
      <dgm:spPr/>
      <dgm:t>
        <a:bodyPr/>
        <a:lstStyle/>
        <a:p>
          <a:endParaRPr lang="en-NZ"/>
        </a:p>
      </dgm:t>
    </dgm:pt>
    <dgm:pt modelId="{BD721DF3-A461-488E-94F8-228F6ACCC3BB}" type="sibTrans" cxnId="{F9D44352-B37C-4AFE-B8AD-3C45CE74A189}">
      <dgm:prSet/>
      <dgm:spPr/>
      <dgm:t>
        <a:bodyPr/>
        <a:lstStyle/>
        <a:p>
          <a:endParaRPr lang="en-NZ"/>
        </a:p>
      </dgm:t>
    </dgm:pt>
    <dgm:pt modelId="{E4052E39-8DCD-463B-8630-7EC1C9ECC390}">
      <dgm:prSet phldrT="[Text]"/>
      <dgm:spPr/>
      <dgm:t>
        <a:bodyPr/>
        <a:lstStyle/>
        <a:p>
          <a:r>
            <a:rPr lang="en-NZ"/>
            <a:t>Feedback received indicated the provisions relating to nutrients needed further clarification, and terminology to be more consistent and clearer.</a:t>
          </a:r>
        </a:p>
      </dgm:t>
    </dgm:pt>
    <dgm:pt modelId="{2DDE2320-1851-45FD-A421-0BC490116E77}" type="parTrans" cxnId="{13A2BC37-0B4D-4B9B-A7BE-4ECBD5628074}">
      <dgm:prSet/>
      <dgm:spPr/>
      <dgm:t>
        <a:bodyPr/>
        <a:lstStyle/>
        <a:p>
          <a:endParaRPr lang="en-NZ"/>
        </a:p>
      </dgm:t>
    </dgm:pt>
    <dgm:pt modelId="{A055F145-1B11-4765-A0DF-E9D1F128E94A}" type="sibTrans" cxnId="{13A2BC37-0B4D-4B9B-A7BE-4ECBD5628074}">
      <dgm:prSet/>
      <dgm:spPr/>
      <dgm:t>
        <a:bodyPr/>
        <a:lstStyle/>
        <a:p>
          <a:endParaRPr lang="en-NZ"/>
        </a:p>
      </dgm:t>
    </dgm:pt>
    <dgm:pt modelId="{2B2B6AF4-2734-4B8F-A5D8-D0002098DF50}">
      <dgm:prSet/>
      <dgm:spPr/>
      <dgm:t>
        <a:bodyPr/>
        <a:lstStyle/>
        <a:p>
          <a:r>
            <a:rPr lang="en-NZ"/>
            <a:t>The NPS-FM was amended, with amendments coming into effect on 5 January 2023. This included changes to clause 3.13.</a:t>
          </a:r>
        </a:p>
      </dgm:t>
    </dgm:pt>
    <dgm:pt modelId="{76F4EC81-CAF9-4EF3-88BD-1BC716676EF3}" type="parTrans" cxnId="{82305A57-0857-43EF-B031-EC219448D269}">
      <dgm:prSet/>
      <dgm:spPr/>
      <dgm:t>
        <a:bodyPr/>
        <a:lstStyle/>
        <a:p>
          <a:endParaRPr lang="en-NZ"/>
        </a:p>
      </dgm:t>
    </dgm:pt>
    <dgm:pt modelId="{928897C8-ACD0-436A-95DE-2E60E54581A3}" type="sibTrans" cxnId="{82305A57-0857-43EF-B031-EC219448D269}">
      <dgm:prSet/>
      <dgm:spPr/>
      <dgm:t>
        <a:bodyPr/>
        <a:lstStyle/>
        <a:p>
          <a:endParaRPr lang="en-NZ"/>
        </a:p>
      </dgm:t>
    </dgm:pt>
    <dgm:pt modelId="{A3047C79-500D-4587-B8BA-588194AABE63}" type="pres">
      <dgm:prSet presAssocID="{8616D52B-9D8A-4B07-BD58-085766F6CE98}" presName="linearFlow" presStyleCnt="0">
        <dgm:presLayoutVars>
          <dgm:dir/>
          <dgm:animLvl val="lvl"/>
          <dgm:resizeHandles val="exact"/>
        </dgm:presLayoutVars>
      </dgm:prSet>
      <dgm:spPr/>
    </dgm:pt>
    <dgm:pt modelId="{8BB82FA9-0F5A-423B-B891-CD6DCD6EFF95}" type="pres">
      <dgm:prSet presAssocID="{12D757A1-7AFF-4C63-9365-65494DF70575}" presName="composite" presStyleCnt="0"/>
      <dgm:spPr/>
    </dgm:pt>
    <dgm:pt modelId="{B93452F6-BEE5-46E8-8028-E66B060FCDA4}" type="pres">
      <dgm:prSet presAssocID="{12D757A1-7AFF-4C63-9365-65494DF70575}" presName="parentText" presStyleLbl="alignNode1" presStyleIdx="0" presStyleCnt="4">
        <dgm:presLayoutVars>
          <dgm:chMax val="1"/>
          <dgm:bulletEnabled val="1"/>
        </dgm:presLayoutVars>
      </dgm:prSet>
      <dgm:spPr/>
    </dgm:pt>
    <dgm:pt modelId="{59D7CDC8-294B-4AEC-B39A-524EF147D843}" type="pres">
      <dgm:prSet presAssocID="{12D757A1-7AFF-4C63-9365-65494DF70575}" presName="descendantText" presStyleLbl="alignAcc1" presStyleIdx="0" presStyleCnt="4">
        <dgm:presLayoutVars>
          <dgm:bulletEnabled val="1"/>
        </dgm:presLayoutVars>
      </dgm:prSet>
      <dgm:spPr/>
    </dgm:pt>
    <dgm:pt modelId="{5512A0F5-14A8-4517-B019-778A6012C4B2}" type="pres">
      <dgm:prSet presAssocID="{C41BE47F-9E30-483C-98E3-141D8C05F893}" presName="sp" presStyleCnt="0"/>
      <dgm:spPr/>
    </dgm:pt>
    <dgm:pt modelId="{14550845-DABE-49B2-BDBD-E5B1B95E4807}" type="pres">
      <dgm:prSet presAssocID="{14AD81F9-8CD4-40F3-8677-60E8F9D118CA}" presName="composite" presStyleCnt="0"/>
      <dgm:spPr/>
    </dgm:pt>
    <dgm:pt modelId="{04626E79-2A98-4DC8-B37C-B74D992DB329}" type="pres">
      <dgm:prSet presAssocID="{14AD81F9-8CD4-40F3-8677-60E8F9D118CA}" presName="parentText" presStyleLbl="alignNode1" presStyleIdx="1" presStyleCnt="4">
        <dgm:presLayoutVars>
          <dgm:chMax val="1"/>
          <dgm:bulletEnabled val="1"/>
        </dgm:presLayoutVars>
      </dgm:prSet>
      <dgm:spPr/>
    </dgm:pt>
    <dgm:pt modelId="{E8D28DB0-F716-49B5-A51F-4731759D19A4}" type="pres">
      <dgm:prSet presAssocID="{14AD81F9-8CD4-40F3-8677-60E8F9D118CA}" presName="descendantText" presStyleLbl="alignAcc1" presStyleIdx="1" presStyleCnt="4">
        <dgm:presLayoutVars>
          <dgm:bulletEnabled val="1"/>
        </dgm:presLayoutVars>
      </dgm:prSet>
      <dgm:spPr/>
    </dgm:pt>
    <dgm:pt modelId="{B64EAB21-6871-41B3-BCCE-E2F638D0EA1F}" type="pres">
      <dgm:prSet presAssocID="{D7A842B1-E1AD-4973-A9CC-A9B7F8554C0A}" presName="sp" presStyleCnt="0"/>
      <dgm:spPr/>
    </dgm:pt>
    <dgm:pt modelId="{9703184A-7F5A-4FA2-9FB1-B1020A36ACA1}" type="pres">
      <dgm:prSet presAssocID="{0C5C1103-7340-46FA-BCC2-38A2A323A318}" presName="composite" presStyleCnt="0"/>
      <dgm:spPr/>
    </dgm:pt>
    <dgm:pt modelId="{A77819AC-1965-4E60-8015-4DE048646216}" type="pres">
      <dgm:prSet presAssocID="{0C5C1103-7340-46FA-BCC2-38A2A323A318}" presName="parentText" presStyleLbl="alignNode1" presStyleIdx="2" presStyleCnt="4">
        <dgm:presLayoutVars>
          <dgm:chMax val="1"/>
          <dgm:bulletEnabled val="1"/>
        </dgm:presLayoutVars>
      </dgm:prSet>
      <dgm:spPr/>
    </dgm:pt>
    <dgm:pt modelId="{08EE20E4-0BB9-4FDD-BE3A-535E5820F24A}" type="pres">
      <dgm:prSet presAssocID="{0C5C1103-7340-46FA-BCC2-38A2A323A318}" presName="descendantText" presStyleLbl="alignAcc1" presStyleIdx="2" presStyleCnt="4">
        <dgm:presLayoutVars>
          <dgm:bulletEnabled val="1"/>
        </dgm:presLayoutVars>
      </dgm:prSet>
      <dgm:spPr/>
    </dgm:pt>
    <dgm:pt modelId="{4B801C34-155A-4F02-8BC0-F7C9B5D0A278}" type="pres">
      <dgm:prSet presAssocID="{809C0807-455D-4B05-9D35-7BBED256C36F}" presName="sp" presStyleCnt="0"/>
      <dgm:spPr/>
    </dgm:pt>
    <dgm:pt modelId="{9A051545-7350-49EC-8890-D786337A3249}" type="pres">
      <dgm:prSet presAssocID="{9899D7D9-5AD4-4137-BED0-A98629F04AB0}" presName="composite" presStyleCnt="0"/>
      <dgm:spPr/>
    </dgm:pt>
    <dgm:pt modelId="{345E7BF5-F246-457F-90E6-057F7A5B2CD1}" type="pres">
      <dgm:prSet presAssocID="{9899D7D9-5AD4-4137-BED0-A98629F04AB0}" presName="parentText" presStyleLbl="alignNode1" presStyleIdx="3" presStyleCnt="4">
        <dgm:presLayoutVars>
          <dgm:chMax val="1"/>
          <dgm:bulletEnabled val="1"/>
        </dgm:presLayoutVars>
      </dgm:prSet>
      <dgm:spPr/>
    </dgm:pt>
    <dgm:pt modelId="{8B018D8F-BF77-4472-A575-CD789E400457}" type="pres">
      <dgm:prSet presAssocID="{9899D7D9-5AD4-4137-BED0-A98629F04AB0}" presName="descendantText" presStyleLbl="alignAcc1" presStyleIdx="3" presStyleCnt="4">
        <dgm:presLayoutVars>
          <dgm:bulletEnabled val="1"/>
        </dgm:presLayoutVars>
      </dgm:prSet>
      <dgm:spPr/>
    </dgm:pt>
  </dgm:ptLst>
  <dgm:cxnLst>
    <dgm:cxn modelId="{B8DF6E04-4490-4089-A8DE-03E2511F15E6}" srcId="{8616D52B-9D8A-4B07-BD58-085766F6CE98}" destId="{0C5C1103-7340-46FA-BCC2-38A2A323A318}" srcOrd="2" destOrd="0" parTransId="{6F00FB76-8FB8-4800-B039-AB7389B108F2}" sibTransId="{809C0807-455D-4B05-9D35-7BBED256C36F}"/>
    <dgm:cxn modelId="{C3B2FC2A-D11D-4CB1-BC22-DF8AFDDF34AE}" type="presOf" srcId="{9899D7D9-5AD4-4137-BED0-A98629F04AB0}" destId="{345E7BF5-F246-457F-90E6-057F7A5B2CD1}" srcOrd="0" destOrd="0" presId="urn:microsoft.com/office/officeart/2005/8/layout/chevron2"/>
    <dgm:cxn modelId="{13A2BC37-0B4D-4B9B-A7BE-4ECBD5628074}" srcId="{14AD81F9-8CD4-40F3-8677-60E8F9D118CA}" destId="{E4052E39-8DCD-463B-8630-7EC1C9ECC390}" srcOrd="1" destOrd="0" parTransId="{2DDE2320-1851-45FD-A421-0BC490116E77}" sibTransId="{A055F145-1B11-4765-A0DF-E9D1F128E94A}"/>
    <dgm:cxn modelId="{658EF15F-245B-43F7-AF75-C2A2890DB92E}" type="presOf" srcId="{14AD81F9-8CD4-40F3-8677-60E8F9D118CA}" destId="{04626E79-2A98-4DC8-B37C-B74D992DB329}" srcOrd="0" destOrd="0" presId="urn:microsoft.com/office/officeart/2005/8/layout/chevron2"/>
    <dgm:cxn modelId="{F984E564-5BB2-4C94-A4C2-D03553B9C6EE}" srcId="{12D757A1-7AFF-4C63-9365-65494DF70575}" destId="{7C393DBA-9285-42A1-9269-9F400A650A2D}" srcOrd="1" destOrd="0" parTransId="{848FA84D-86CD-44C2-9EB4-18173B79C837}" sibTransId="{92421B1B-165C-4A0A-9407-09FAD49D4D7A}"/>
    <dgm:cxn modelId="{300BA049-365C-4DE0-AC1D-671C2C416303}" type="presOf" srcId="{0C5C1103-7340-46FA-BCC2-38A2A323A318}" destId="{A77819AC-1965-4E60-8015-4DE048646216}" srcOrd="0" destOrd="0" presId="urn:microsoft.com/office/officeart/2005/8/layout/chevron2"/>
    <dgm:cxn modelId="{136BF36C-D9D3-4FB7-8957-8A136FAC935F}" type="presOf" srcId="{10A76177-1CC0-4903-996D-606D83BA6989}" destId="{08EE20E4-0BB9-4FDD-BE3A-535E5820F24A}" srcOrd="0" destOrd="0" presId="urn:microsoft.com/office/officeart/2005/8/layout/chevron2"/>
    <dgm:cxn modelId="{F9D44352-B37C-4AFE-B8AD-3C45CE74A189}" srcId="{8616D52B-9D8A-4B07-BD58-085766F6CE98}" destId="{9899D7D9-5AD4-4137-BED0-A98629F04AB0}" srcOrd="3" destOrd="0" parTransId="{2DD9FF17-5A24-46D9-9C78-E0336D492DDA}" sibTransId="{BD721DF3-A461-488E-94F8-228F6ACCC3BB}"/>
    <dgm:cxn modelId="{82305A57-0857-43EF-B031-EC219448D269}" srcId="{9899D7D9-5AD4-4137-BED0-A98629F04AB0}" destId="{2B2B6AF4-2734-4B8F-A5D8-D0002098DF50}" srcOrd="0" destOrd="0" parTransId="{76F4EC81-CAF9-4EF3-88BD-1BC716676EF3}" sibTransId="{928897C8-ACD0-436A-95DE-2E60E54581A3}"/>
    <dgm:cxn modelId="{AC356C5A-3CC9-4C93-B909-279FADF6972C}" type="presOf" srcId="{7C393DBA-9285-42A1-9269-9F400A650A2D}" destId="{59D7CDC8-294B-4AEC-B39A-524EF147D843}" srcOrd="0" destOrd="1" presId="urn:microsoft.com/office/officeart/2005/8/layout/chevron2"/>
    <dgm:cxn modelId="{D0DB4E81-7010-43F2-AFDC-9029A253FD94}" srcId="{14AD81F9-8CD4-40F3-8677-60E8F9D118CA}" destId="{B24D06FA-90D2-4A59-9B18-C520645E388A}" srcOrd="0" destOrd="0" parTransId="{BF82B0F5-6E1C-43D6-B92F-8DE5FC7507D5}" sibTransId="{DFBA96EF-D481-4A7F-A191-B8B5A5947517}"/>
    <dgm:cxn modelId="{1255098C-3F26-4E9E-BBD5-82601CFA4B63}" srcId="{0C5C1103-7340-46FA-BCC2-38A2A323A318}" destId="{10A76177-1CC0-4903-996D-606D83BA6989}" srcOrd="0" destOrd="0" parTransId="{2E615309-2550-401C-84B7-92B813A1F775}" sibTransId="{737B27AC-B7FB-429A-970E-9553F3211263}"/>
    <dgm:cxn modelId="{E6482D93-FF5A-4A05-8130-4282BD299974}" type="presOf" srcId="{12D757A1-7AFF-4C63-9365-65494DF70575}" destId="{B93452F6-BEE5-46E8-8028-E66B060FCDA4}" srcOrd="0" destOrd="0" presId="urn:microsoft.com/office/officeart/2005/8/layout/chevron2"/>
    <dgm:cxn modelId="{59A9079C-35A1-4A0D-A012-5CABF1646B01}" srcId="{8616D52B-9D8A-4B07-BD58-085766F6CE98}" destId="{14AD81F9-8CD4-40F3-8677-60E8F9D118CA}" srcOrd="1" destOrd="0" parTransId="{660E49EF-C34E-47C0-8D88-E8D11AC70DCB}" sibTransId="{D7A842B1-E1AD-4973-A9CC-A9B7F8554C0A}"/>
    <dgm:cxn modelId="{1559EE9D-02B9-49AA-9E34-79C5250D8486}" type="presOf" srcId="{8616D52B-9D8A-4B07-BD58-085766F6CE98}" destId="{A3047C79-500D-4587-B8BA-588194AABE63}" srcOrd="0" destOrd="0" presId="urn:microsoft.com/office/officeart/2005/8/layout/chevron2"/>
    <dgm:cxn modelId="{15CA44AB-117E-44A6-BCCC-2800A6296E1A}" type="presOf" srcId="{D2957F18-201C-4F39-94FB-A537EA99FD4F}" destId="{59D7CDC8-294B-4AEC-B39A-524EF147D843}" srcOrd="0" destOrd="0" presId="urn:microsoft.com/office/officeart/2005/8/layout/chevron2"/>
    <dgm:cxn modelId="{FFD0E7BE-DABC-43CC-87E0-62596C99BD7F}" type="presOf" srcId="{2B2B6AF4-2734-4B8F-A5D8-D0002098DF50}" destId="{8B018D8F-BF77-4472-A575-CD789E400457}" srcOrd="0" destOrd="0" presId="urn:microsoft.com/office/officeart/2005/8/layout/chevron2"/>
    <dgm:cxn modelId="{F2723DC3-0480-4C90-B04C-CCE2C76F4293}" srcId="{12D757A1-7AFF-4C63-9365-65494DF70575}" destId="{D2957F18-201C-4F39-94FB-A537EA99FD4F}" srcOrd="0" destOrd="0" parTransId="{07C9A330-E043-43FA-A31B-446C44D14EF7}" sibTransId="{F8E56DA9-C8BB-4186-9013-8E95EFDEBBB6}"/>
    <dgm:cxn modelId="{3DAB28D1-5A58-4FAA-A05B-03B33DF1C18E}" type="presOf" srcId="{B24D06FA-90D2-4A59-9B18-C520645E388A}" destId="{E8D28DB0-F716-49B5-A51F-4731759D19A4}" srcOrd="0" destOrd="0" presId="urn:microsoft.com/office/officeart/2005/8/layout/chevron2"/>
    <dgm:cxn modelId="{2B52E6F6-BBA0-4149-B5DB-8DFE5446B4D9}" type="presOf" srcId="{E4052E39-8DCD-463B-8630-7EC1C9ECC390}" destId="{E8D28DB0-F716-49B5-A51F-4731759D19A4}" srcOrd="0" destOrd="1" presId="urn:microsoft.com/office/officeart/2005/8/layout/chevron2"/>
    <dgm:cxn modelId="{CF6AE0FF-68D1-4E6C-B085-CDBA90927372}" srcId="{8616D52B-9D8A-4B07-BD58-085766F6CE98}" destId="{12D757A1-7AFF-4C63-9365-65494DF70575}" srcOrd="0" destOrd="0" parTransId="{5A4BED2C-D4D4-416D-95A5-35006C318057}" sibTransId="{C41BE47F-9E30-483C-98E3-141D8C05F893}"/>
    <dgm:cxn modelId="{8633A8BD-310E-49F0-9F14-44405D33F0E5}" type="presParOf" srcId="{A3047C79-500D-4587-B8BA-588194AABE63}" destId="{8BB82FA9-0F5A-423B-B891-CD6DCD6EFF95}" srcOrd="0" destOrd="0" presId="urn:microsoft.com/office/officeart/2005/8/layout/chevron2"/>
    <dgm:cxn modelId="{88CFABB8-2946-4D2A-B278-9AD1026C5C0C}" type="presParOf" srcId="{8BB82FA9-0F5A-423B-B891-CD6DCD6EFF95}" destId="{B93452F6-BEE5-46E8-8028-E66B060FCDA4}" srcOrd="0" destOrd="0" presId="urn:microsoft.com/office/officeart/2005/8/layout/chevron2"/>
    <dgm:cxn modelId="{B05E7505-66FD-42EA-A2AC-0F569EBF1F6E}" type="presParOf" srcId="{8BB82FA9-0F5A-423B-B891-CD6DCD6EFF95}" destId="{59D7CDC8-294B-4AEC-B39A-524EF147D843}" srcOrd="1" destOrd="0" presId="urn:microsoft.com/office/officeart/2005/8/layout/chevron2"/>
    <dgm:cxn modelId="{D7BC358E-E24C-4BA8-9FEA-4DA9CD761B7B}" type="presParOf" srcId="{A3047C79-500D-4587-B8BA-588194AABE63}" destId="{5512A0F5-14A8-4517-B019-778A6012C4B2}" srcOrd="1" destOrd="0" presId="urn:microsoft.com/office/officeart/2005/8/layout/chevron2"/>
    <dgm:cxn modelId="{9E95F353-541D-4502-81F5-3FE7FB9B096E}" type="presParOf" srcId="{A3047C79-500D-4587-B8BA-588194AABE63}" destId="{14550845-DABE-49B2-BDBD-E5B1B95E4807}" srcOrd="2" destOrd="0" presId="urn:microsoft.com/office/officeart/2005/8/layout/chevron2"/>
    <dgm:cxn modelId="{129ECE3C-2380-41CA-9C40-B9D6600CF28D}" type="presParOf" srcId="{14550845-DABE-49B2-BDBD-E5B1B95E4807}" destId="{04626E79-2A98-4DC8-B37C-B74D992DB329}" srcOrd="0" destOrd="0" presId="urn:microsoft.com/office/officeart/2005/8/layout/chevron2"/>
    <dgm:cxn modelId="{34E25E27-430F-4655-AB4E-A9FA93E5B6C7}" type="presParOf" srcId="{14550845-DABE-49B2-BDBD-E5B1B95E4807}" destId="{E8D28DB0-F716-49B5-A51F-4731759D19A4}" srcOrd="1" destOrd="0" presId="urn:microsoft.com/office/officeart/2005/8/layout/chevron2"/>
    <dgm:cxn modelId="{3F2E66D7-556F-4DB0-945E-4EDF59E621F2}" type="presParOf" srcId="{A3047C79-500D-4587-B8BA-588194AABE63}" destId="{B64EAB21-6871-41B3-BCCE-E2F638D0EA1F}" srcOrd="3" destOrd="0" presId="urn:microsoft.com/office/officeart/2005/8/layout/chevron2"/>
    <dgm:cxn modelId="{FE3298ED-4698-47A5-A062-9F2EED3A68EA}" type="presParOf" srcId="{A3047C79-500D-4587-B8BA-588194AABE63}" destId="{9703184A-7F5A-4FA2-9FB1-B1020A36ACA1}" srcOrd="4" destOrd="0" presId="urn:microsoft.com/office/officeart/2005/8/layout/chevron2"/>
    <dgm:cxn modelId="{AC693D40-0D07-4090-8EB2-204B00D5F0AB}" type="presParOf" srcId="{9703184A-7F5A-4FA2-9FB1-B1020A36ACA1}" destId="{A77819AC-1965-4E60-8015-4DE048646216}" srcOrd="0" destOrd="0" presId="urn:microsoft.com/office/officeart/2005/8/layout/chevron2"/>
    <dgm:cxn modelId="{3DA8837F-EDE6-4087-9980-F3EFFE188A43}" type="presParOf" srcId="{9703184A-7F5A-4FA2-9FB1-B1020A36ACA1}" destId="{08EE20E4-0BB9-4FDD-BE3A-535E5820F24A}" srcOrd="1" destOrd="0" presId="urn:microsoft.com/office/officeart/2005/8/layout/chevron2"/>
    <dgm:cxn modelId="{B51BA15B-B07B-4EEB-A82F-3AFBE89519BF}" type="presParOf" srcId="{A3047C79-500D-4587-B8BA-588194AABE63}" destId="{4B801C34-155A-4F02-8BC0-F7C9B5D0A278}" srcOrd="5" destOrd="0" presId="urn:microsoft.com/office/officeart/2005/8/layout/chevron2"/>
    <dgm:cxn modelId="{2421DA5C-4172-4CB0-A291-443347FDC088}" type="presParOf" srcId="{A3047C79-500D-4587-B8BA-588194AABE63}" destId="{9A051545-7350-49EC-8890-D786337A3249}" srcOrd="6" destOrd="0" presId="urn:microsoft.com/office/officeart/2005/8/layout/chevron2"/>
    <dgm:cxn modelId="{B3AD1BAF-59F4-4688-9DFD-71E05A5B05A0}" type="presParOf" srcId="{9A051545-7350-49EC-8890-D786337A3249}" destId="{345E7BF5-F246-457F-90E6-057F7A5B2CD1}" srcOrd="0" destOrd="0" presId="urn:microsoft.com/office/officeart/2005/8/layout/chevron2"/>
    <dgm:cxn modelId="{7EB8E2A0-A500-43F5-8F16-0E016C2C11B0}" type="presParOf" srcId="{9A051545-7350-49EC-8890-D786337A3249}" destId="{8B018D8F-BF77-4472-A575-CD789E400457}"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1789C0A-23AC-4865-8F86-40472AA77EA6}" type="doc">
      <dgm:prSet loTypeId="urn:microsoft.com/office/officeart/2005/8/layout/hProcess10" loCatId="picture" qsTypeId="urn:microsoft.com/office/officeart/2005/8/quickstyle/simple1" qsCatId="simple" csTypeId="urn:microsoft.com/office/officeart/2005/8/colors/accent1_2" csCatId="accent1" phldr="1"/>
      <dgm:spPr/>
      <dgm:t>
        <a:bodyPr/>
        <a:lstStyle/>
        <a:p>
          <a:endParaRPr lang="en-NZ"/>
        </a:p>
      </dgm:t>
    </dgm:pt>
    <dgm:pt modelId="{E48D8882-0108-4EDF-960E-C7EDC09D67A6}">
      <dgm:prSet phldrT="[Text]" custT="1"/>
      <dgm:spPr>
        <a:xfrm>
          <a:off x="211375" y="1325333"/>
          <a:ext cx="1265466" cy="1265466"/>
        </a:xfrm>
        <a:prstGeom prst="roundRect">
          <a:avLst>
            <a:gd name="adj" fmla="val 10000"/>
          </a:avLst>
        </a:prstGeom>
        <a:solidFill>
          <a:schemeClr val="accent1"/>
        </a:solidFill>
        <a:ln w="25400" cap="flat" cmpd="sng" algn="ctr">
          <a:noFill/>
          <a:prstDash val="solid"/>
        </a:ln>
        <a:effectLst/>
      </dgm:spPr>
      <dgm:t>
        <a:bodyPr/>
        <a:lstStyle/>
        <a:p>
          <a:pPr>
            <a:buNone/>
          </a:pPr>
          <a:r>
            <a:rPr lang="en-NZ" sz="1100" b="1">
              <a:solidFill>
                <a:srgbClr val="1B556B"/>
              </a:solidFill>
              <a:latin typeface="Calibri"/>
              <a:ea typeface="+mn-ea"/>
              <a:cs typeface="+mn-cs"/>
            </a:rPr>
            <a:t>September 2015 </a:t>
          </a:r>
          <a:r>
            <a:rPr lang="en-NZ" sz="1100" b="1">
              <a:solidFill>
                <a:srgbClr val="1B556B"/>
              </a:solidFill>
              <a:latin typeface="MS Gothic" panose="020B0609070205080204" pitchFamily="49" charset="-128"/>
              <a:ea typeface="MS Gothic" panose="020B0609070205080204" pitchFamily="49" charset="-128"/>
              <a:cs typeface="+mn-cs"/>
            </a:rPr>
            <a:t>­</a:t>
          </a:r>
          <a:r>
            <a:rPr lang="en-NZ" sz="1100" b="1">
              <a:solidFill>
                <a:srgbClr val="1B556B"/>
              </a:solidFill>
              <a:latin typeface="Calibri"/>
              <a:ea typeface="+mn-ea"/>
              <a:cs typeface="+mn-cs"/>
            </a:rPr>
            <a:t> </a:t>
          </a:r>
          <a:r>
            <a:rPr lang="en-NZ" sz="1100" b="1">
              <a:solidFill>
                <a:schemeClr val="bg1"/>
              </a:solidFill>
              <a:latin typeface="Calibri"/>
              <a:ea typeface="+mn-ea"/>
              <a:cs typeface="+mn-cs"/>
            </a:rPr>
            <a:t>March 2018</a:t>
          </a:r>
        </a:p>
        <a:p>
          <a:pPr>
            <a:buNone/>
          </a:pPr>
          <a:r>
            <a:rPr lang="en-NZ" sz="900">
              <a:solidFill>
                <a:schemeClr val="bg1"/>
              </a:solidFill>
              <a:latin typeface="Calibri"/>
              <a:ea typeface="+mn-ea"/>
              <a:cs typeface="+mn-cs"/>
            </a:rPr>
            <a:t>A guide to attributes: </a:t>
          </a:r>
          <a:br>
            <a:rPr lang="en-NZ" sz="900">
              <a:solidFill>
                <a:schemeClr val="bg1"/>
              </a:solidFill>
              <a:latin typeface="Calibri"/>
              <a:ea typeface="+mn-ea"/>
              <a:cs typeface="+mn-cs"/>
            </a:rPr>
          </a:br>
          <a:r>
            <a:rPr lang="en-NZ" sz="800">
              <a:solidFill>
                <a:schemeClr val="bg1"/>
              </a:solidFill>
              <a:latin typeface="Calibri"/>
              <a:ea typeface="+mn-ea"/>
              <a:cs typeface="+mn-cs"/>
            </a:rPr>
            <a:t>In appendix 2 of the National Policy Statement for Freshwater Management 2014 (as amended 2017)</a:t>
          </a:r>
          <a:r>
            <a:rPr lang="en-NZ" sz="800" baseline="30000">
              <a:solidFill>
                <a:schemeClr val="bg1"/>
              </a:solidFill>
              <a:latin typeface="Calibri"/>
              <a:ea typeface="+mn-ea"/>
              <a:cs typeface="+mn-cs"/>
            </a:rPr>
            <a:t>1</a:t>
          </a:r>
        </a:p>
      </dgm:t>
      <dgm:extLst>
        <a:ext uri="{E40237B7-FDA0-4F09-8148-C483321AD2D9}">
          <dgm14:cNvPr xmlns:dgm14="http://schemas.microsoft.com/office/drawing/2010/diagram" id="0" name="">
            <a:hlinkClick xmlns:r="http://schemas.openxmlformats.org/officeDocument/2006/relationships" r:id="rId1"/>
          </dgm14:cNvPr>
        </a:ext>
      </dgm:extLst>
    </dgm:pt>
    <dgm:pt modelId="{20DB698B-DA8E-49D4-AF0C-7534C64311AB}" type="parTrans" cxnId="{5DCCC9C8-EF37-4665-9A42-0102BCFA68EA}">
      <dgm:prSet/>
      <dgm:spPr/>
      <dgm:t>
        <a:bodyPr/>
        <a:lstStyle/>
        <a:p>
          <a:endParaRPr lang="en-NZ"/>
        </a:p>
      </dgm:t>
    </dgm:pt>
    <dgm:pt modelId="{7E679383-9F2F-4454-BD4E-C16D8FB80EA6}" type="sibTrans" cxnId="{5DCCC9C8-EF37-4665-9A42-0102BCFA68EA}">
      <dgm:prSet/>
      <dgm:spPr>
        <a:xfrm>
          <a:off x="1511909" y="763722"/>
          <a:ext cx="243756" cy="304074"/>
        </a:xfrm>
        <a:prstGeom prst="rightArrow">
          <a:avLst>
            <a:gd name="adj1" fmla="val 60000"/>
            <a:gd name="adj2" fmla="val 50000"/>
          </a:avLst>
        </a:prstGeom>
        <a:noFill/>
        <a:ln>
          <a:noFill/>
        </a:ln>
        <a:effectLst/>
      </dgm:spPr>
      <dgm:t>
        <a:bodyPr/>
        <a:lstStyle/>
        <a:p>
          <a:pPr>
            <a:buNone/>
          </a:pPr>
          <a:endParaRPr lang="en-NZ">
            <a:solidFill>
              <a:sysClr val="window" lastClr="FFFFFF"/>
            </a:solidFill>
            <a:latin typeface="Calibri"/>
            <a:ea typeface="+mn-ea"/>
            <a:cs typeface="+mn-cs"/>
          </a:endParaRPr>
        </a:p>
      </dgm:t>
    </dgm:pt>
    <dgm:pt modelId="{17F0F7A7-9FCB-48DC-B8AB-0E92DA91C874}">
      <dgm:prSet phldrT="[Text]" custT="1"/>
      <dgm:spPr>
        <a:xfrm>
          <a:off x="2173290" y="1325333"/>
          <a:ext cx="1265466" cy="1265466"/>
        </a:xfrm>
        <a:prstGeom prst="roundRect">
          <a:avLst>
            <a:gd name="adj" fmla="val 10000"/>
          </a:avLst>
        </a:prstGeom>
        <a:solidFill>
          <a:schemeClr val="tx2"/>
        </a:solidFill>
        <a:ln w="25400" cap="flat" cmpd="sng" algn="ctr">
          <a:noFill/>
          <a:prstDash val="solid"/>
        </a:ln>
        <a:effectLst/>
      </dgm:spPr>
      <dgm:t>
        <a:bodyPr/>
        <a:lstStyle/>
        <a:p>
          <a:pPr algn="ctr">
            <a:buNone/>
          </a:pPr>
          <a:r>
            <a:rPr lang="en-NZ" sz="1100" b="1">
              <a:solidFill>
                <a:schemeClr val="bg1"/>
              </a:solidFill>
              <a:latin typeface="Calibri"/>
              <a:ea typeface="+mn-ea"/>
              <a:cs typeface="+mn-cs"/>
            </a:rPr>
            <a:t>June</a:t>
          </a:r>
          <a:r>
            <a:rPr lang="en-NZ" sz="1200" b="1">
              <a:solidFill>
                <a:schemeClr val="bg1"/>
              </a:solidFill>
              <a:latin typeface="Calibri"/>
              <a:ea typeface="+mn-ea"/>
              <a:cs typeface="+mn-cs"/>
            </a:rPr>
            <a:t> </a:t>
          </a:r>
          <a:r>
            <a:rPr lang="en-NZ" sz="1100" b="1">
              <a:solidFill>
                <a:schemeClr val="bg1"/>
              </a:solidFill>
              <a:latin typeface="Calibri"/>
              <a:ea typeface="+mn-ea"/>
              <a:cs typeface="+mn-cs"/>
            </a:rPr>
            <a:t>2019</a:t>
          </a:r>
        </a:p>
        <a:p>
          <a:pPr algn="ctr">
            <a:buNone/>
          </a:pPr>
          <a:r>
            <a:rPr lang="en-NZ" sz="900">
              <a:solidFill>
                <a:schemeClr val="bg1"/>
              </a:solidFill>
              <a:latin typeface="Calibri"/>
              <a:ea typeface="+mn-ea"/>
              <a:cs typeface="+mn-cs"/>
            </a:rPr>
            <a:t>Freshwater Science and Technical Advisory Group:</a:t>
          </a:r>
          <a:br>
            <a:rPr lang="en-NZ" sz="900">
              <a:solidFill>
                <a:schemeClr val="bg1"/>
              </a:solidFill>
              <a:latin typeface="Calibri"/>
              <a:ea typeface="+mn-ea"/>
              <a:cs typeface="+mn-cs"/>
            </a:rPr>
          </a:br>
          <a:r>
            <a:rPr lang="en-NZ" sz="800">
              <a:solidFill>
                <a:schemeClr val="bg1"/>
              </a:solidFill>
              <a:latin typeface="Calibri"/>
              <a:ea typeface="+mn-ea"/>
              <a:cs typeface="+mn-cs"/>
            </a:rPr>
            <a:t>Report to the Minister for the Environment</a:t>
          </a:r>
          <a:r>
            <a:rPr lang="en-NZ" sz="800" baseline="30000">
              <a:solidFill>
                <a:schemeClr val="bg1"/>
              </a:solidFill>
              <a:latin typeface="Calibri"/>
              <a:ea typeface="+mn-ea"/>
              <a:cs typeface="+mn-cs"/>
            </a:rPr>
            <a:t>2</a:t>
          </a:r>
          <a:endParaRPr lang="en-NZ" sz="800">
            <a:solidFill>
              <a:schemeClr val="bg1"/>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887017E7-D1B5-46A4-9466-DD3ABC59DAA2}" type="parTrans" cxnId="{AA86F6A8-B9B6-4EA3-9162-E854085AB73B}">
      <dgm:prSet/>
      <dgm:spPr/>
      <dgm:t>
        <a:bodyPr/>
        <a:lstStyle/>
        <a:p>
          <a:endParaRPr lang="en-NZ"/>
        </a:p>
      </dgm:t>
    </dgm:pt>
    <dgm:pt modelId="{E068518F-E209-4636-8331-03E2BCBC5174}" type="sibTrans" cxnId="{AA86F6A8-B9B6-4EA3-9162-E854085AB73B}">
      <dgm:prSet/>
      <dgm:spPr>
        <a:xfrm>
          <a:off x="3473824" y="763722"/>
          <a:ext cx="243756" cy="304074"/>
        </a:xfrm>
        <a:prstGeom prst="rightArrow">
          <a:avLst>
            <a:gd name="adj1" fmla="val 60000"/>
            <a:gd name="adj2" fmla="val 50000"/>
          </a:avLst>
        </a:prstGeom>
        <a:noFill/>
        <a:ln>
          <a:noFill/>
        </a:ln>
        <a:effectLst/>
      </dgm:spPr>
      <dgm:t>
        <a:bodyPr/>
        <a:lstStyle/>
        <a:p>
          <a:pPr>
            <a:buNone/>
          </a:pPr>
          <a:endParaRPr lang="en-NZ">
            <a:solidFill>
              <a:sysClr val="window" lastClr="FFFFFF"/>
            </a:solidFill>
            <a:latin typeface="Calibri"/>
            <a:ea typeface="+mn-ea"/>
            <a:cs typeface="+mn-cs"/>
          </a:endParaRPr>
        </a:p>
      </dgm:t>
    </dgm:pt>
    <dgm:pt modelId="{3A1D5247-45D5-440F-BF2F-DE39FF1B4353}">
      <dgm:prSet phldrT="[Text]" custT="1"/>
      <dgm:spPr>
        <a:xfrm>
          <a:off x="4135204" y="1325333"/>
          <a:ext cx="1265466" cy="1265466"/>
        </a:xfrm>
        <a:prstGeom prst="roundRect">
          <a:avLst>
            <a:gd name="adj" fmla="val 10000"/>
          </a:avLst>
        </a:prstGeom>
        <a:solidFill>
          <a:schemeClr val="tx2"/>
        </a:solidFill>
        <a:ln w="25400" cap="flat" cmpd="sng" algn="ctr">
          <a:noFill/>
          <a:prstDash val="solid"/>
        </a:ln>
        <a:effectLst/>
      </dgm:spPr>
      <dgm:t>
        <a:bodyPr/>
        <a:lstStyle/>
        <a:p>
          <a:pPr algn="ctr">
            <a:buNone/>
          </a:pPr>
          <a:r>
            <a:rPr lang="en-NZ" sz="1100" b="1">
              <a:solidFill>
                <a:schemeClr val="bg1"/>
              </a:solidFill>
              <a:latin typeface="Calibri"/>
              <a:ea typeface="+mn-ea"/>
              <a:cs typeface="+mn-cs"/>
            </a:rPr>
            <a:t>April 2020</a:t>
          </a:r>
        </a:p>
        <a:p>
          <a:pPr algn="ctr">
            <a:buNone/>
          </a:pPr>
          <a:r>
            <a:rPr lang="en-NZ" sz="900">
              <a:solidFill>
                <a:schemeClr val="bg1"/>
              </a:solidFill>
              <a:latin typeface="Calibri"/>
              <a:ea typeface="+mn-ea"/>
              <a:cs typeface="+mn-cs"/>
            </a:rPr>
            <a:t>Freshwater Science and Technical Advisory Group: </a:t>
          </a:r>
          <a:br>
            <a:rPr lang="en-NZ" sz="900">
              <a:solidFill>
                <a:schemeClr val="bg1"/>
              </a:solidFill>
              <a:latin typeface="Calibri"/>
              <a:ea typeface="+mn-ea"/>
              <a:cs typeface="+mn-cs"/>
            </a:rPr>
          </a:br>
          <a:r>
            <a:rPr lang="en-NZ" sz="800">
              <a:solidFill>
                <a:schemeClr val="bg1"/>
              </a:solidFill>
              <a:latin typeface="Calibri"/>
              <a:ea typeface="+mn-ea"/>
              <a:cs typeface="+mn-cs"/>
            </a:rPr>
            <a:t>Supplementary report to the Minister for the Environment</a:t>
          </a:r>
          <a:r>
            <a:rPr lang="en-NZ" sz="800" baseline="30000">
              <a:solidFill>
                <a:schemeClr val="bg1"/>
              </a:solidFill>
              <a:latin typeface="Calibri"/>
              <a:ea typeface="+mn-ea"/>
              <a:cs typeface="+mn-cs"/>
            </a:rPr>
            <a:t>2,3</a:t>
          </a:r>
          <a:endParaRPr lang="en-NZ" sz="1100" b="1" baseline="30000">
            <a:solidFill>
              <a:schemeClr val="bg1"/>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99558589-DC35-461D-8209-255B4DD10357}" type="parTrans" cxnId="{773FB0EF-6E88-42BC-8084-A9509BAC8E2E}">
      <dgm:prSet/>
      <dgm:spPr/>
      <dgm:t>
        <a:bodyPr/>
        <a:lstStyle/>
        <a:p>
          <a:endParaRPr lang="en-NZ"/>
        </a:p>
      </dgm:t>
    </dgm:pt>
    <dgm:pt modelId="{9AF68AA6-DB08-49C3-9434-7D9DB3C16AE0}" type="sibTrans" cxnId="{773FB0EF-6E88-42BC-8084-A9509BAC8E2E}">
      <dgm:prSet/>
      <dgm:spPr/>
      <dgm:t>
        <a:bodyPr/>
        <a:lstStyle/>
        <a:p>
          <a:endParaRPr lang="en-NZ"/>
        </a:p>
      </dgm:t>
    </dgm:pt>
    <dgm:pt modelId="{BB24202E-91C0-41FF-ABFB-62D24D997834}" type="pres">
      <dgm:prSet presAssocID="{21789C0A-23AC-4865-8F86-40472AA77EA6}" presName="Name0" presStyleCnt="0">
        <dgm:presLayoutVars>
          <dgm:dir/>
          <dgm:resizeHandles val="exact"/>
        </dgm:presLayoutVars>
      </dgm:prSet>
      <dgm:spPr/>
    </dgm:pt>
    <dgm:pt modelId="{7E0DBC69-7C58-4D6E-814B-1205CFD7D95F}" type="pres">
      <dgm:prSet presAssocID="{E48D8882-0108-4EDF-960E-C7EDC09D67A6}" presName="composite" presStyleCnt="0"/>
      <dgm:spPr/>
    </dgm:pt>
    <dgm:pt modelId="{8FD49D73-D36F-482D-9A47-DB51FD1A3C69}" type="pres">
      <dgm:prSet presAssocID="{E48D8882-0108-4EDF-960E-C7EDC09D67A6}" presName="imagSh" presStyleLbl="bgImgPlace1" presStyleIdx="0" presStyleCnt="3" custScaleX="57748" custScaleY="57748" custLinFactNeighborX="16000" custLinFactNeighborY="6400"/>
      <dgm:spPr>
        <a:xfrm>
          <a:off x="2686" y="283026"/>
          <a:ext cx="1265466" cy="1265466"/>
        </a:xfrm>
        <a:prstGeom prst="roundRect">
          <a:avLst>
            <a:gd name="adj" fmla="val 10000"/>
          </a:avLst>
        </a:prstGeom>
        <a:blipFill rotWithShape="1">
          <a:blip xmlns:r="http://schemas.openxmlformats.org/officeDocument/2006/relationships" r:embed="rId4">
            <a:alphaModFix amt="90000"/>
            <a:extLst>
              <a:ext uri="{28A0092B-C50C-407E-A947-70E740481C1C}">
                <a14:useLocalDpi xmlns:a14="http://schemas.microsoft.com/office/drawing/2010/main" val="0"/>
              </a:ext>
            </a:extLst>
          </a:blip>
          <a:srcRect/>
          <a:stretch>
            <a:fillRect t="-20000" b="-20000"/>
          </a:stretch>
        </a:blipFill>
        <a:ln w="3175" cap="flat" cmpd="sng" algn="ctr">
          <a:solidFill>
            <a:schemeClr val="accent3"/>
          </a:solidFill>
          <a:prstDash val="solid"/>
          <a:round/>
        </a:ln>
        <a:effectLst/>
      </dgm:spPr>
    </dgm:pt>
    <dgm:pt modelId="{B98D1D94-F119-4BC7-B1C1-FC84CA99FF80}" type="pres">
      <dgm:prSet presAssocID="{E48D8882-0108-4EDF-960E-C7EDC09D67A6}" presName="txNode" presStyleLbl="node1" presStyleIdx="0" presStyleCnt="3" custLinFactNeighborX="212" custLinFactNeighborY="16395">
        <dgm:presLayoutVars>
          <dgm:bulletEnabled val="1"/>
        </dgm:presLayoutVars>
      </dgm:prSet>
      <dgm:spPr/>
    </dgm:pt>
    <dgm:pt modelId="{81E3C69F-F8E2-4029-94AC-F0E2A7F44FF7}" type="pres">
      <dgm:prSet presAssocID="{7E679383-9F2F-4454-BD4E-C16D8FB80EA6}" presName="sibTrans" presStyleLbl="sibTrans2D1" presStyleIdx="0" presStyleCnt="2"/>
      <dgm:spPr/>
    </dgm:pt>
    <dgm:pt modelId="{D6C342D6-3128-4B7C-B93B-4717B1124270}" type="pres">
      <dgm:prSet presAssocID="{7E679383-9F2F-4454-BD4E-C16D8FB80EA6}" presName="connTx" presStyleLbl="sibTrans2D1" presStyleIdx="0" presStyleCnt="2"/>
      <dgm:spPr/>
    </dgm:pt>
    <dgm:pt modelId="{9BCC6699-4F1E-41CC-9AA6-B64B1B9689DA}" type="pres">
      <dgm:prSet presAssocID="{17F0F7A7-9FCB-48DC-B8AB-0E92DA91C874}" presName="composite" presStyleCnt="0"/>
      <dgm:spPr/>
    </dgm:pt>
    <dgm:pt modelId="{5F7B3ABB-C3BE-45DB-BC56-A4335B7EDB64}" type="pres">
      <dgm:prSet presAssocID="{17F0F7A7-9FCB-48DC-B8AB-0E92DA91C874}" presName="imagSh" presStyleLbl="bgImgPlace1" presStyleIdx="1" presStyleCnt="3" custScaleX="57556" custScaleY="57556" custLinFactNeighborX="17065" custLinFactNeighborY="6401"/>
      <dgm:spPr>
        <a:xfrm>
          <a:off x="1964601" y="283026"/>
          <a:ext cx="1265466" cy="1265466"/>
        </a:xfrm>
        <a:prstGeom prst="roundRect">
          <a:avLst>
            <a:gd name="adj" fmla="val 10000"/>
          </a:avLst>
        </a:prstGeom>
        <a:blipFill>
          <a:blip xmlns:r="http://schemas.openxmlformats.org/officeDocument/2006/relationships" r:embed="rId5">
            <a:alphaModFix/>
            <a:extLst>
              <a:ext uri="{28A0092B-C50C-407E-A947-70E740481C1C}">
                <a14:useLocalDpi xmlns:a14="http://schemas.microsoft.com/office/drawing/2010/main" val="0"/>
              </a:ext>
            </a:extLst>
          </a:blip>
          <a:srcRect/>
          <a:stretch>
            <a:fillRect t="-21000" b="-21000"/>
          </a:stretch>
        </a:blipFill>
        <a:ln w="3175" cap="flat" cmpd="sng" algn="ctr">
          <a:solidFill>
            <a:srgbClr val="D5EBE8"/>
          </a:solidFill>
          <a:prstDash val="solid"/>
        </a:ln>
        <a:effectLst/>
      </dgm:spPr>
    </dgm:pt>
    <dgm:pt modelId="{C76433F6-B330-410A-BB99-D0689D28052B}" type="pres">
      <dgm:prSet presAssocID="{17F0F7A7-9FCB-48DC-B8AB-0E92DA91C874}" presName="txNode" presStyleLbl="node1" presStyleIdx="1" presStyleCnt="3" custLinFactNeighborX="212" custLinFactNeighborY="16395">
        <dgm:presLayoutVars>
          <dgm:bulletEnabled val="1"/>
        </dgm:presLayoutVars>
      </dgm:prSet>
      <dgm:spPr/>
    </dgm:pt>
    <dgm:pt modelId="{11D590D0-EEA1-4699-9A6B-1FA674D58272}" type="pres">
      <dgm:prSet presAssocID="{E068518F-E209-4636-8331-03E2BCBC5174}" presName="sibTrans" presStyleLbl="sibTrans2D1" presStyleIdx="1" presStyleCnt="2"/>
      <dgm:spPr/>
    </dgm:pt>
    <dgm:pt modelId="{D7446504-BC62-42F3-87B8-D9D48878D199}" type="pres">
      <dgm:prSet presAssocID="{E068518F-E209-4636-8331-03E2BCBC5174}" presName="connTx" presStyleLbl="sibTrans2D1" presStyleIdx="1" presStyleCnt="2"/>
      <dgm:spPr/>
    </dgm:pt>
    <dgm:pt modelId="{3243E5DE-EB58-49DF-B3C9-5901FC3CC838}" type="pres">
      <dgm:prSet presAssocID="{3A1D5247-45D5-440F-BF2F-DE39FF1B4353}" presName="composite" presStyleCnt="0"/>
      <dgm:spPr/>
    </dgm:pt>
    <dgm:pt modelId="{DA880651-BD13-493A-A0BE-E15605B7E36A}" type="pres">
      <dgm:prSet presAssocID="{3A1D5247-45D5-440F-BF2F-DE39FF1B4353}" presName="imagSh" presStyleLbl="bgImgPlace1" presStyleIdx="2" presStyleCnt="3" custScaleX="57449" custScaleY="57449" custLinFactNeighborX="18132" custLinFactNeighborY="5335"/>
      <dgm:spPr>
        <a:xfrm>
          <a:off x="3926515" y="283026"/>
          <a:ext cx="1265466" cy="1265466"/>
        </a:xfrm>
        <a:prstGeom prst="roundRect">
          <a:avLst>
            <a:gd name="adj" fmla="val 10000"/>
          </a:avLst>
        </a:prstGeom>
        <a:blipFill>
          <a:blip xmlns:r="http://schemas.openxmlformats.org/officeDocument/2006/relationships" r:embed="rId6">
            <a:alphaModFix/>
          </a:blip>
          <a:srcRect/>
          <a:stretch>
            <a:fillRect t="-24000" b="-24000"/>
          </a:stretch>
        </a:blipFill>
        <a:ln w="3175" cap="flat" cmpd="sng" algn="ctr">
          <a:solidFill>
            <a:srgbClr val="D5EBE8"/>
          </a:solidFill>
          <a:prstDash val="solid"/>
        </a:ln>
        <a:effectLst/>
      </dgm:spPr>
    </dgm:pt>
    <dgm:pt modelId="{EA3A2838-2F4E-4C56-9BE9-2F7E89C18491}" type="pres">
      <dgm:prSet presAssocID="{3A1D5247-45D5-440F-BF2F-DE39FF1B4353}" presName="txNode" presStyleLbl="node1" presStyleIdx="2" presStyleCnt="3" custLinFactNeighborX="212" custLinFactNeighborY="16395">
        <dgm:presLayoutVars>
          <dgm:bulletEnabled val="1"/>
        </dgm:presLayoutVars>
      </dgm:prSet>
      <dgm:spPr/>
    </dgm:pt>
  </dgm:ptLst>
  <dgm:cxnLst>
    <dgm:cxn modelId="{4B95831F-9BD7-4BB5-BDE5-77B050F47429}" type="presOf" srcId="{7E679383-9F2F-4454-BD4E-C16D8FB80EA6}" destId="{D6C342D6-3128-4B7C-B93B-4717B1124270}" srcOrd="1" destOrd="0" presId="urn:microsoft.com/office/officeart/2005/8/layout/hProcess10"/>
    <dgm:cxn modelId="{2FE1C82C-C933-4C7F-8A2A-3B2679839273}" type="presOf" srcId="{3A1D5247-45D5-440F-BF2F-DE39FF1B4353}" destId="{EA3A2838-2F4E-4C56-9BE9-2F7E89C18491}" srcOrd="0" destOrd="0" presId="urn:microsoft.com/office/officeart/2005/8/layout/hProcess10"/>
    <dgm:cxn modelId="{FCAB3441-6DA6-49FD-92F9-4E404DD81FC0}" type="presOf" srcId="{17F0F7A7-9FCB-48DC-B8AB-0E92DA91C874}" destId="{C76433F6-B330-410A-BB99-D0689D28052B}" srcOrd="0" destOrd="0" presId="urn:microsoft.com/office/officeart/2005/8/layout/hProcess10"/>
    <dgm:cxn modelId="{05F5E069-A7BC-42B2-9E7B-973361AAB8E0}" type="presOf" srcId="{E068518F-E209-4636-8331-03E2BCBC5174}" destId="{D7446504-BC62-42F3-87B8-D9D48878D199}" srcOrd="1" destOrd="0" presId="urn:microsoft.com/office/officeart/2005/8/layout/hProcess10"/>
    <dgm:cxn modelId="{51E2F871-5E74-4464-8946-911757F24B67}" type="presOf" srcId="{21789C0A-23AC-4865-8F86-40472AA77EA6}" destId="{BB24202E-91C0-41FF-ABFB-62D24D997834}" srcOrd="0" destOrd="0" presId="urn:microsoft.com/office/officeart/2005/8/layout/hProcess10"/>
    <dgm:cxn modelId="{CC01538F-71D0-46B7-9D4D-87752C66DEF8}" type="presOf" srcId="{E068518F-E209-4636-8331-03E2BCBC5174}" destId="{11D590D0-EEA1-4699-9A6B-1FA674D58272}" srcOrd="0" destOrd="0" presId="urn:microsoft.com/office/officeart/2005/8/layout/hProcess10"/>
    <dgm:cxn modelId="{469B58A8-D8E8-48D5-A204-48BB66200BA9}" type="presOf" srcId="{E48D8882-0108-4EDF-960E-C7EDC09D67A6}" destId="{B98D1D94-F119-4BC7-B1C1-FC84CA99FF80}" srcOrd="0" destOrd="0" presId="urn:microsoft.com/office/officeart/2005/8/layout/hProcess10"/>
    <dgm:cxn modelId="{AA86F6A8-B9B6-4EA3-9162-E854085AB73B}" srcId="{21789C0A-23AC-4865-8F86-40472AA77EA6}" destId="{17F0F7A7-9FCB-48DC-B8AB-0E92DA91C874}" srcOrd="1" destOrd="0" parTransId="{887017E7-D1B5-46A4-9466-DD3ABC59DAA2}" sibTransId="{E068518F-E209-4636-8331-03E2BCBC5174}"/>
    <dgm:cxn modelId="{EA12A1B4-399C-49B8-90B6-562A9A337997}" type="presOf" srcId="{7E679383-9F2F-4454-BD4E-C16D8FB80EA6}" destId="{81E3C69F-F8E2-4029-94AC-F0E2A7F44FF7}" srcOrd="0" destOrd="0" presId="urn:microsoft.com/office/officeart/2005/8/layout/hProcess10"/>
    <dgm:cxn modelId="{5DCCC9C8-EF37-4665-9A42-0102BCFA68EA}" srcId="{21789C0A-23AC-4865-8F86-40472AA77EA6}" destId="{E48D8882-0108-4EDF-960E-C7EDC09D67A6}" srcOrd="0" destOrd="0" parTransId="{20DB698B-DA8E-49D4-AF0C-7534C64311AB}" sibTransId="{7E679383-9F2F-4454-BD4E-C16D8FB80EA6}"/>
    <dgm:cxn modelId="{773FB0EF-6E88-42BC-8084-A9509BAC8E2E}" srcId="{21789C0A-23AC-4865-8F86-40472AA77EA6}" destId="{3A1D5247-45D5-440F-BF2F-DE39FF1B4353}" srcOrd="2" destOrd="0" parTransId="{99558589-DC35-461D-8209-255B4DD10357}" sibTransId="{9AF68AA6-DB08-49C3-9434-7D9DB3C16AE0}"/>
    <dgm:cxn modelId="{4C04A1A0-85FB-4D95-AD31-1989D86F7287}" type="presParOf" srcId="{BB24202E-91C0-41FF-ABFB-62D24D997834}" destId="{7E0DBC69-7C58-4D6E-814B-1205CFD7D95F}" srcOrd="0" destOrd="0" presId="urn:microsoft.com/office/officeart/2005/8/layout/hProcess10"/>
    <dgm:cxn modelId="{F87FDB8A-A389-430D-82A2-4C8D4A7724F0}" type="presParOf" srcId="{7E0DBC69-7C58-4D6E-814B-1205CFD7D95F}" destId="{8FD49D73-D36F-482D-9A47-DB51FD1A3C69}" srcOrd="0" destOrd="0" presId="urn:microsoft.com/office/officeart/2005/8/layout/hProcess10"/>
    <dgm:cxn modelId="{0D659440-4457-44A9-81F9-1DCDAA6A9090}" type="presParOf" srcId="{7E0DBC69-7C58-4D6E-814B-1205CFD7D95F}" destId="{B98D1D94-F119-4BC7-B1C1-FC84CA99FF80}" srcOrd="1" destOrd="0" presId="urn:microsoft.com/office/officeart/2005/8/layout/hProcess10"/>
    <dgm:cxn modelId="{09B957DB-760E-4CD9-AC5C-F244ABBEB70A}" type="presParOf" srcId="{BB24202E-91C0-41FF-ABFB-62D24D997834}" destId="{81E3C69F-F8E2-4029-94AC-F0E2A7F44FF7}" srcOrd="1" destOrd="0" presId="urn:microsoft.com/office/officeart/2005/8/layout/hProcess10"/>
    <dgm:cxn modelId="{A4C28A23-861A-4E09-A47B-270EB56888CB}" type="presParOf" srcId="{81E3C69F-F8E2-4029-94AC-F0E2A7F44FF7}" destId="{D6C342D6-3128-4B7C-B93B-4717B1124270}" srcOrd="0" destOrd="0" presId="urn:microsoft.com/office/officeart/2005/8/layout/hProcess10"/>
    <dgm:cxn modelId="{B745F4DD-92E7-4CE5-A42F-2A894A0FC4B2}" type="presParOf" srcId="{BB24202E-91C0-41FF-ABFB-62D24D997834}" destId="{9BCC6699-4F1E-41CC-9AA6-B64B1B9689DA}" srcOrd="2" destOrd="0" presId="urn:microsoft.com/office/officeart/2005/8/layout/hProcess10"/>
    <dgm:cxn modelId="{69359DB8-FC44-47B4-9833-5A4533398789}" type="presParOf" srcId="{9BCC6699-4F1E-41CC-9AA6-B64B1B9689DA}" destId="{5F7B3ABB-C3BE-45DB-BC56-A4335B7EDB64}" srcOrd="0" destOrd="0" presId="urn:microsoft.com/office/officeart/2005/8/layout/hProcess10"/>
    <dgm:cxn modelId="{BCF9F2D9-48DE-431C-B108-F403401B323D}" type="presParOf" srcId="{9BCC6699-4F1E-41CC-9AA6-B64B1B9689DA}" destId="{C76433F6-B330-410A-BB99-D0689D28052B}" srcOrd="1" destOrd="0" presId="urn:microsoft.com/office/officeart/2005/8/layout/hProcess10"/>
    <dgm:cxn modelId="{56DE157E-F13C-41FF-A218-C35C9763525C}" type="presParOf" srcId="{BB24202E-91C0-41FF-ABFB-62D24D997834}" destId="{11D590D0-EEA1-4699-9A6B-1FA674D58272}" srcOrd="3" destOrd="0" presId="urn:microsoft.com/office/officeart/2005/8/layout/hProcess10"/>
    <dgm:cxn modelId="{2392D6AC-7BAA-4359-B0F3-FD5C48316A6A}" type="presParOf" srcId="{11D590D0-EEA1-4699-9A6B-1FA674D58272}" destId="{D7446504-BC62-42F3-87B8-D9D48878D199}" srcOrd="0" destOrd="0" presId="urn:microsoft.com/office/officeart/2005/8/layout/hProcess10"/>
    <dgm:cxn modelId="{9E27A5A9-F2AA-4F08-9E14-8D7BA42B554B}" type="presParOf" srcId="{BB24202E-91C0-41FF-ABFB-62D24D997834}" destId="{3243E5DE-EB58-49DF-B3C9-5901FC3CC838}" srcOrd="4" destOrd="0" presId="urn:microsoft.com/office/officeart/2005/8/layout/hProcess10"/>
    <dgm:cxn modelId="{1048AFCE-F12D-466E-A6EB-F380E4231E4D}" type="presParOf" srcId="{3243E5DE-EB58-49DF-B3C9-5901FC3CC838}" destId="{DA880651-BD13-493A-A0BE-E15605B7E36A}" srcOrd="0" destOrd="0" presId="urn:microsoft.com/office/officeart/2005/8/layout/hProcess10"/>
    <dgm:cxn modelId="{241EA768-7EA8-4419-8DCC-3932D96407A6}" type="presParOf" srcId="{3243E5DE-EB58-49DF-B3C9-5901FC3CC838}" destId="{EA3A2838-2F4E-4C56-9BE9-2F7E89C18491}" srcOrd="1" destOrd="0" presId="urn:microsoft.com/office/officeart/2005/8/layout/hProcess10"/>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789C0A-23AC-4865-8F86-40472AA77EA6}" type="doc">
      <dgm:prSet loTypeId="urn:microsoft.com/office/officeart/2005/8/layout/hProcess10" loCatId="picture" qsTypeId="urn:microsoft.com/office/officeart/2005/8/quickstyle/simple1" qsCatId="simple" csTypeId="urn:microsoft.com/office/officeart/2005/8/colors/accent1_2" csCatId="accent1" phldr="1"/>
      <dgm:spPr/>
      <dgm:t>
        <a:bodyPr/>
        <a:lstStyle/>
        <a:p>
          <a:endParaRPr lang="en-NZ"/>
        </a:p>
      </dgm:t>
    </dgm:pt>
    <dgm:pt modelId="{E48D8882-0108-4EDF-960E-C7EDC09D67A6}">
      <dgm:prSet phldrT="[Text]" custT="1"/>
      <dgm:spPr>
        <a:xfrm>
          <a:off x="211375" y="1163408"/>
          <a:ext cx="1265466" cy="1265466"/>
        </a:xfrm>
        <a:prstGeom prst="roundRect">
          <a:avLst>
            <a:gd name="adj" fmla="val 10000"/>
          </a:avLst>
        </a:prstGeom>
        <a:solidFill>
          <a:schemeClr val="tx2"/>
        </a:solidFill>
        <a:ln w="25400" cap="flat" cmpd="sng" algn="ctr">
          <a:noFill/>
          <a:prstDash val="solid"/>
        </a:ln>
        <a:effectLst/>
      </dgm:spPr>
      <dgm:t>
        <a:bodyPr/>
        <a:lstStyle/>
        <a:p>
          <a:pPr>
            <a:buNone/>
          </a:pPr>
          <a:r>
            <a:rPr lang="en-NZ" sz="1100" b="1">
              <a:solidFill>
                <a:schemeClr val="bg1"/>
              </a:solidFill>
              <a:latin typeface="Calibri"/>
              <a:ea typeface="+mn-ea"/>
              <a:cs typeface="+mn-cs"/>
            </a:rPr>
            <a:t>June 2022</a:t>
          </a:r>
        </a:p>
        <a:p>
          <a:pPr>
            <a:buNone/>
          </a:pPr>
          <a:r>
            <a:rPr lang="en-NZ" sz="900">
              <a:solidFill>
                <a:schemeClr val="bg1"/>
              </a:solidFill>
              <a:latin typeface="Calibri"/>
              <a:ea typeface="+mn-ea"/>
              <a:cs typeface="+mn-cs"/>
            </a:rPr>
            <a:t>Guidance on look-up tables for setting nutrient targets for periphyton: </a:t>
          </a:r>
          <a:br>
            <a:rPr lang="en-NZ" sz="900">
              <a:solidFill>
                <a:schemeClr val="bg1"/>
              </a:solidFill>
              <a:latin typeface="Calibri"/>
              <a:ea typeface="+mn-ea"/>
              <a:cs typeface="+mn-cs"/>
            </a:rPr>
          </a:br>
          <a:r>
            <a:rPr lang="en-NZ" sz="800">
              <a:solidFill>
                <a:schemeClr val="bg1"/>
              </a:solidFill>
              <a:latin typeface="Calibri"/>
              <a:ea typeface="+mn-ea"/>
              <a:cs typeface="+mn-cs"/>
            </a:rPr>
            <a:t>Second edition</a:t>
          </a:r>
          <a:endParaRPr lang="en-NZ" sz="800" baseline="30000">
            <a:solidFill>
              <a:schemeClr val="bg1"/>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0DB698B-DA8E-49D4-AF0C-7534C64311AB}" type="parTrans" cxnId="{5DCCC9C8-EF37-4665-9A42-0102BCFA68EA}">
      <dgm:prSet/>
      <dgm:spPr/>
      <dgm:t>
        <a:bodyPr/>
        <a:lstStyle/>
        <a:p>
          <a:endParaRPr lang="en-NZ"/>
        </a:p>
      </dgm:t>
    </dgm:pt>
    <dgm:pt modelId="{7E679383-9F2F-4454-BD4E-C16D8FB80EA6}" type="sibTrans" cxnId="{5DCCC9C8-EF37-4665-9A42-0102BCFA68EA}">
      <dgm:prSet/>
      <dgm:spPr>
        <a:xfrm rot="10800000">
          <a:off x="1511388" y="681798"/>
          <a:ext cx="244800" cy="305998"/>
        </a:xfrm>
        <a:prstGeom prst="rightArrow">
          <a:avLst>
            <a:gd name="adj1" fmla="val 60000"/>
            <a:gd name="adj2" fmla="val 50000"/>
          </a:avLst>
        </a:prstGeom>
        <a:noFill/>
        <a:ln>
          <a:noFill/>
        </a:ln>
        <a:effectLst/>
      </dgm:spPr>
      <dgm:t>
        <a:bodyPr/>
        <a:lstStyle/>
        <a:p>
          <a:pPr>
            <a:buNone/>
          </a:pPr>
          <a:endParaRPr lang="en-NZ">
            <a:solidFill>
              <a:sysClr val="window" lastClr="FFFFFF"/>
            </a:solidFill>
            <a:latin typeface="Calibri"/>
            <a:ea typeface="+mn-ea"/>
            <a:cs typeface="+mn-cs"/>
          </a:endParaRPr>
        </a:p>
      </dgm:t>
    </dgm:pt>
    <dgm:pt modelId="{17F0F7A7-9FCB-48DC-B8AB-0E92DA91C874}">
      <dgm:prSet phldrT="[Text]" custT="1"/>
      <dgm:spPr>
        <a:xfrm>
          <a:off x="2173290" y="1163408"/>
          <a:ext cx="1265466" cy="1265466"/>
        </a:xfrm>
        <a:prstGeom prst="roundRect">
          <a:avLst>
            <a:gd name="adj" fmla="val 10000"/>
          </a:avLst>
        </a:prstGeom>
        <a:solidFill>
          <a:schemeClr val="tx2"/>
        </a:solidFill>
        <a:ln w="25400" cap="flat" cmpd="sng" algn="ctr">
          <a:noFill/>
          <a:prstDash val="solid"/>
        </a:ln>
        <a:effectLst/>
      </dgm:spPr>
      <dgm:t>
        <a:bodyPr/>
        <a:lstStyle/>
        <a:p>
          <a:pPr algn="ctr">
            <a:buNone/>
          </a:pPr>
          <a:r>
            <a:rPr lang="en-NZ" sz="1100" b="1">
              <a:solidFill>
                <a:schemeClr val="bg1"/>
              </a:solidFill>
              <a:latin typeface="Calibri"/>
              <a:ea typeface="+mn-ea"/>
              <a:cs typeface="+mn-cs"/>
            </a:rPr>
            <a:t>April 2022</a:t>
          </a:r>
        </a:p>
        <a:p>
          <a:pPr algn="ctr">
            <a:buNone/>
          </a:pPr>
          <a:r>
            <a:rPr lang="en-NZ" sz="900">
              <a:solidFill>
                <a:schemeClr val="bg1"/>
              </a:solidFill>
              <a:latin typeface="Calibri"/>
              <a:ea typeface="+mn-ea"/>
              <a:cs typeface="+mn-cs"/>
            </a:rPr>
            <a:t>Derivation of nutrient criteria for periphyton biomass objectives</a:t>
          </a:r>
          <a:r>
            <a:rPr lang="en-NZ" sz="800">
              <a:solidFill>
                <a:schemeClr val="bg1"/>
              </a:solidFill>
              <a:latin typeface="Calibri"/>
              <a:ea typeface="+mn-ea"/>
              <a:cs typeface="+mn-cs"/>
            </a:rPr>
            <a:t>:</a:t>
          </a:r>
          <a:br>
            <a:rPr lang="en-NZ" sz="800">
              <a:solidFill>
                <a:schemeClr val="bg1"/>
              </a:solidFill>
              <a:latin typeface="Calibri"/>
              <a:ea typeface="+mn-ea"/>
              <a:cs typeface="+mn-cs"/>
            </a:rPr>
          </a:br>
          <a:r>
            <a:rPr lang="en-NZ" sz="800">
              <a:solidFill>
                <a:schemeClr val="bg1"/>
              </a:solidFill>
              <a:latin typeface="Calibri"/>
              <a:ea typeface="+mn-ea"/>
              <a:cs typeface="+mn-cs"/>
            </a:rPr>
            <a:t>Using regional council monitoring data</a:t>
          </a:r>
        </a:p>
      </dgm:t>
      <dgm:extLst>
        <a:ext uri="{E40237B7-FDA0-4F09-8148-C483321AD2D9}">
          <dgm14:cNvPr xmlns:dgm14="http://schemas.microsoft.com/office/drawing/2010/diagram" id="0" name="">
            <a:hlinkClick xmlns:r="http://schemas.openxmlformats.org/officeDocument/2006/relationships" r:id="rId2"/>
          </dgm14:cNvPr>
        </a:ext>
      </dgm:extLst>
    </dgm:pt>
    <dgm:pt modelId="{887017E7-D1B5-46A4-9466-DD3ABC59DAA2}" type="parTrans" cxnId="{AA86F6A8-B9B6-4EA3-9162-E854085AB73B}">
      <dgm:prSet/>
      <dgm:spPr/>
      <dgm:t>
        <a:bodyPr/>
        <a:lstStyle/>
        <a:p>
          <a:endParaRPr lang="en-NZ"/>
        </a:p>
      </dgm:t>
    </dgm:pt>
    <dgm:pt modelId="{E068518F-E209-4636-8331-03E2BCBC5174}" type="sibTrans" cxnId="{AA86F6A8-B9B6-4EA3-9162-E854085AB73B}">
      <dgm:prSet/>
      <dgm:spPr>
        <a:xfrm rot="10800000">
          <a:off x="3473302" y="681798"/>
          <a:ext cx="244800" cy="305998"/>
        </a:xfrm>
        <a:prstGeom prst="rightArrow">
          <a:avLst>
            <a:gd name="adj1" fmla="val 60000"/>
            <a:gd name="adj2" fmla="val 50000"/>
          </a:avLst>
        </a:prstGeom>
        <a:noFill/>
        <a:ln>
          <a:noFill/>
        </a:ln>
        <a:effectLst/>
      </dgm:spPr>
      <dgm:t>
        <a:bodyPr/>
        <a:lstStyle/>
        <a:p>
          <a:pPr>
            <a:buNone/>
          </a:pPr>
          <a:endParaRPr lang="en-NZ">
            <a:solidFill>
              <a:sysClr val="window" lastClr="FFFFFF"/>
            </a:solidFill>
            <a:latin typeface="Calibri"/>
            <a:ea typeface="+mn-ea"/>
            <a:cs typeface="+mn-cs"/>
          </a:endParaRPr>
        </a:p>
      </dgm:t>
    </dgm:pt>
    <dgm:pt modelId="{3A1D5247-45D5-440F-BF2F-DE39FF1B4353}">
      <dgm:prSet phldrT="[Text]" custT="1"/>
      <dgm:spPr>
        <a:xfrm>
          <a:off x="4135204" y="1163408"/>
          <a:ext cx="1265466" cy="1265466"/>
        </a:xfrm>
        <a:prstGeom prst="roundRect">
          <a:avLst>
            <a:gd name="adj" fmla="val 10000"/>
          </a:avLst>
        </a:prstGeom>
        <a:solidFill>
          <a:schemeClr val="tx2"/>
        </a:solidFill>
        <a:ln w="25400" cap="flat" cmpd="sng" algn="ctr">
          <a:noFill/>
          <a:prstDash val="solid"/>
        </a:ln>
        <a:effectLst/>
      </dgm:spPr>
      <dgm:t>
        <a:bodyPr/>
        <a:lstStyle/>
        <a:p>
          <a:pPr algn="ctr">
            <a:buNone/>
          </a:pPr>
          <a:r>
            <a:rPr lang="en-NZ" sz="900" b="1">
              <a:solidFill>
                <a:schemeClr val="bg1"/>
              </a:solidFill>
              <a:latin typeface="Calibri"/>
              <a:ea typeface="+mn-ea"/>
              <a:cs typeface="+mn-cs"/>
            </a:rPr>
            <a:t>June 2021</a:t>
          </a:r>
        </a:p>
        <a:p>
          <a:pPr algn="ctr">
            <a:buNone/>
          </a:pPr>
          <a:r>
            <a:rPr lang="en-NZ" sz="900">
              <a:solidFill>
                <a:schemeClr val="bg1"/>
              </a:solidFill>
              <a:latin typeface="Calibri"/>
              <a:ea typeface="+mn-ea"/>
              <a:cs typeface="+mn-cs"/>
            </a:rPr>
            <a:t>A guide to setting instream nutrient concentrations</a:t>
          </a:r>
          <a:r>
            <a:rPr lang="en-NZ" sz="800">
              <a:solidFill>
                <a:schemeClr val="bg1"/>
              </a:solidFill>
              <a:latin typeface="Calibri"/>
              <a:ea typeface="+mn-ea"/>
              <a:cs typeface="+mn-cs"/>
            </a:rPr>
            <a:t>: </a:t>
          </a:r>
          <a:br>
            <a:rPr lang="en-NZ" sz="800">
              <a:solidFill>
                <a:schemeClr val="bg1"/>
              </a:solidFill>
              <a:latin typeface="Calibri"/>
              <a:ea typeface="+mn-ea"/>
              <a:cs typeface="+mn-cs"/>
            </a:rPr>
          </a:br>
          <a:r>
            <a:rPr lang="en-NZ" sz="800">
              <a:solidFill>
                <a:schemeClr val="bg1"/>
              </a:solidFill>
              <a:latin typeface="Calibri"/>
              <a:ea typeface="+mn-ea"/>
              <a:cs typeface="+mn-cs"/>
            </a:rPr>
            <a:t>Under clause 3.13 of the National Policy Statement for Freshwater Management 2020</a:t>
          </a:r>
          <a:endParaRPr lang="en-NZ" sz="1100" b="1" baseline="30000">
            <a:solidFill>
              <a:schemeClr val="bg1"/>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99558589-DC35-461D-8209-255B4DD10357}" type="parTrans" cxnId="{773FB0EF-6E88-42BC-8084-A9509BAC8E2E}">
      <dgm:prSet/>
      <dgm:spPr/>
      <dgm:t>
        <a:bodyPr/>
        <a:lstStyle/>
        <a:p>
          <a:endParaRPr lang="en-NZ"/>
        </a:p>
      </dgm:t>
    </dgm:pt>
    <dgm:pt modelId="{9AF68AA6-DB08-49C3-9434-7D9DB3C16AE0}" type="sibTrans" cxnId="{773FB0EF-6E88-42BC-8084-A9509BAC8E2E}">
      <dgm:prSet/>
      <dgm:spPr/>
      <dgm:t>
        <a:bodyPr/>
        <a:lstStyle/>
        <a:p>
          <a:endParaRPr lang="en-NZ"/>
        </a:p>
      </dgm:t>
    </dgm:pt>
    <dgm:pt modelId="{BB24202E-91C0-41FF-ABFB-62D24D997834}" type="pres">
      <dgm:prSet presAssocID="{21789C0A-23AC-4865-8F86-40472AA77EA6}" presName="Name0" presStyleCnt="0">
        <dgm:presLayoutVars>
          <dgm:dir/>
          <dgm:resizeHandles val="exact"/>
        </dgm:presLayoutVars>
      </dgm:prSet>
      <dgm:spPr/>
    </dgm:pt>
    <dgm:pt modelId="{7E0DBC69-7C58-4D6E-814B-1205CFD7D95F}" type="pres">
      <dgm:prSet presAssocID="{E48D8882-0108-4EDF-960E-C7EDC09D67A6}" presName="composite" presStyleCnt="0"/>
      <dgm:spPr/>
    </dgm:pt>
    <dgm:pt modelId="{8FD49D73-D36F-482D-9A47-DB51FD1A3C69}" type="pres">
      <dgm:prSet presAssocID="{E48D8882-0108-4EDF-960E-C7EDC09D67A6}" presName="imagSh" presStyleLbl="bgImgPlace1" presStyleIdx="0" presStyleCnt="3" custScaleX="53165" custScaleY="53165" custLinFactNeighborX="19782" custLinFactNeighborY="-569"/>
      <dgm:spPr>
        <a:xfrm>
          <a:off x="2686" y="202064"/>
          <a:ext cx="1265466" cy="1265466"/>
        </a:xfrm>
        <a:prstGeom prst="roundRect">
          <a:avLst>
            <a:gd name="adj" fmla="val 10000"/>
          </a:avLst>
        </a:prstGeom>
        <a:blipFill>
          <a:blip xmlns:r="http://schemas.openxmlformats.org/officeDocument/2006/relationships" r:embed="rId4">
            <a:alphaModFix amt="90000"/>
          </a:blip>
          <a:srcRect/>
          <a:stretch>
            <a:fillRect/>
          </a:stretch>
        </a:blipFill>
        <a:ln w="3175" cap="flat" cmpd="sng" algn="ctr">
          <a:solidFill>
            <a:srgbClr val="D5EBE8"/>
          </a:solidFill>
          <a:prstDash val="solid"/>
          <a:round/>
        </a:ln>
        <a:effectLst/>
      </dgm:spPr>
    </dgm:pt>
    <dgm:pt modelId="{B98D1D94-F119-4BC7-B1C1-FC84CA99FF80}" type="pres">
      <dgm:prSet presAssocID="{E48D8882-0108-4EDF-960E-C7EDC09D67A6}" presName="txNode" presStyleLbl="node1" presStyleIdx="0" presStyleCnt="3" custLinFactNeighborX="212" custLinFactNeighborY="11484">
        <dgm:presLayoutVars>
          <dgm:bulletEnabled val="1"/>
        </dgm:presLayoutVars>
      </dgm:prSet>
      <dgm:spPr/>
    </dgm:pt>
    <dgm:pt modelId="{81E3C69F-F8E2-4029-94AC-F0E2A7F44FF7}" type="pres">
      <dgm:prSet presAssocID="{7E679383-9F2F-4454-BD4E-C16D8FB80EA6}" presName="sibTrans" presStyleLbl="sibTrans2D1" presStyleIdx="0" presStyleCnt="2" custAng="10800000" custScaleX="100428" custScaleY="100633"/>
      <dgm:spPr/>
    </dgm:pt>
    <dgm:pt modelId="{D6C342D6-3128-4B7C-B93B-4717B1124270}" type="pres">
      <dgm:prSet presAssocID="{7E679383-9F2F-4454-BD4E-C16D8FB80EA6}" presName="connTx" presStyleLbl="sibTrans2D1" presStyleIdx="0" presStyleCnt="2"/>
      <dgm:spPr/>
    </dgm:pt>
    <dgm:pt modelId="{9BCC6699-4F1E-41CC-9AA6-B64B1B9689DA}" type="pres">
      <dgm:prSet presAssocID="{17F0F7A7-9FCB-48DC-B8AB-0E92DA91C874}" presName="composite" presStyleCnt="0"/>
      <dgm:spPr/>
    </dgm:pt>
    <dgm:pt modelId="{5F7B3ABB-C3BE-45DB-BC56-A4335B7EDB64}" type="pres">
      <dgm:prSet presAssocID="{17F0F7A7-9FCB-48DC-B8AB-0E92DA91C874}" presName="imagSh" presStyleLbl="bgImgPlace1" presStyleIdx="1" presStyleCnt="3" custScaleX="53165" custScaleY="53165" custLinFactNeighborX="15127" custLinFactNeighborY="12"/>
      <dgm:spPr>
        <a:xfrm>
          <a:off x="1964601" y="202064"/>
          <a:ext cx="1265466" cy="1265466"/>
        </a:xfrm>
        <a:prstGeom prst="roundRect">
          <a:avLst>
            <a:gd name="adj" fmla="val 10000"/>
          </a:avLst>
        </a:prstGeom>
        <a:blipFill>
          <a:blip xmlns:r="http://schemas.openxmlformats.org/officeDocument/2006/relationships" r:embed="rId5">
            <a:alphaModFix/>
          </a:blip>
          <a:srcRect/>
          <a:stretch>
            <a:fillRect t="-36000" b="-36000"/>
          </a:stretch>
        </a:blipFill>
        <a:ln w="3175" cap="flat" cmpd="sng" algn="ctr">
          <a:solidFill>
            <a:srgbClr val="D5EBE8"/>
          </a:solidFill>
          <a:prstDash val="solid"/>
        </a:ln>
        <a:effectLst/>
      </dgm:spPr>
    </dgm:pt>
    <dgm:pt modelId="{C76433F6-B330-410A-BB99-D0689D28052B}" type="pres">
      <dgm:prSet presAssocID="{17F0F7A7-9FCB-48DC-B8AB-0E92DA91C874}" presName="txNode" presStyleLbl="node1" presStyleIdx="1" presStyleCnt="3" custLinFactNeighborX="212" custLinFactNeighborY="11484">
        <dgm:presLayoutVars>
          <dgm:bulletEnabled val="1"/>
        </dgm:presLayoutVars>
      </dgm:prSet>
      <dgm:spPr/>
    </dgm:pt>
    <dgm:pt modelId="{11D590D0-EEA1-4699-9A6B-1FA674D58272}" type="pres">
      <dgm:prSet presAssocID="{E068518F-E209-4636-8331-03E2BCBC5174}" presName="sibTrans" presStyleLbl="sibTrans2D1" presStyleIdx="1" presStyleCnt="2" custAng="10800000" custScaleX="100428" custScaleY="100633"/>
      <dgm:spPr/>
    </dgm:pt>
    <dgm:pt modelId="{D7446504-BC62-42F3-87B8-D9D48878D199}" type="pres">
      <dgm:prSet presAssocID="{E068518F-E209-4636-8331-03E2BCBC5174}" presName="connTx" presStyleLbl="sibTrans2D1" presStyleIdx="1" presStyleCnt="2"/>
      <dgm:spPr/>
    </dgm:pt>
    <dgm:pt modelId="{3243E5DE-EB58-49DF-B3C9-5901FC3CC838}" type="pres">
      <dgm:prSet presAssocID="{3A1D5247-45D5-440F-BF2F-DE39FF1B4353}" presName="composite" presStyleCnt="0"/>
      <dgm:spPr/>
    </dgm:pt>
    <dgm:pt modelId="{DA880651-BD13-493A-A0BE-E15605B7E36A}" type="pres">
      <dgm:prSet presAssocID="{3A1D5247-45D5-440F-BF2F-DE39FF1B4353}" presName="imagSh" presStyleLbl="bgImgPlace1" presStyleIdx="2" presStyleCnt="3" custScaleX="53165" custScaleY="53165" custLinFactNeighborX="13964" custLinFactNeighborY="12"/>
      <dgm:spPr>
        <a:xfrm>
          <a:off x="3926515" y="202064"/>
          <a:ext cx="1265466" cy="1265466"/>
        </a:xfrm>
        <a:prstGeom prst="roundRect">
          <a:avLst>
            <a:gd name="adj" fmla="val 10000"/>
          </a:avLst>
        </a:prstGeom>
        <a:blipFill>
          <a:blip xmlns:r="http://schemas.openxmlformats.org/officeDocument/2006/relationships" r:embed="rId6">
            <a:alphaModFix amt="90000"/>
          </a:blip>
          <a:srcRect/>
          <a:stretch>
            <a:fillRect/>
          </a:stretch>
        </a:blipFill>
        <a:ln w="3175" cap="flat" cmpd="sng" algn="ctr">
          <a:solidFill>
            <a:srgbClr val="D5EBE8"/>
          </a:solidFill>
          <a:prstDash val="solid"/>
        </a:ln>
        <a:effectLst/>
      </dgm:spPr>
    </dgm:pt>
    <dgm:pt modelId="{EA3A2838-2F4E-4C56-9BE9-2F7E89C18491}" type="pres">
      <dgm:prSet presAssocID="{3A1D5247-45D5-440F-BF2F-DE39FF1B4353}" presName="txNode" presStyleLbl="node1" presStyleIdx="2" presStyleCnt="3" custLinFactNeighborX="212" custLinFactNeighborY="11484">
        <dgm:presLayoutVars>
          <dgm:bulletEnabled val="1"/>
        </dgm:presLayoutVars>
      </dgm:prSet>
      <dgm:spPr/>
    </dgm:pt>
  </dgm:ptLst>
  <dgm:cxnLst>
    <dgm:cxn modelId="{4B95831F-9BD7-4BB5-BDE5-77B050F47429}" type="presOf" srcId="{7E679383-9F2F-4454-BD4E-C16D8FB80EA6}" destId="{D6C342D6-3128-4B7C-B93B-4717B1124270}" srcOrd="1" destOrd="0" presId="urn:microsoft.com/office/officeart/2005/8/layout/hProcess10"/>
    <dgm:cxn modelId="{2FE1C82C-C933-4C7F-8A2A-3B2679839273}" type="presOf" srcId="{3A1D5247-45D5-440F-BF2F-DE39FF1B4353}" destId="{EA3A2838-2F4E-4C56-9BE9-2F7E89C18491}" srcOrd="0" destOrd="0" presId="urn:microsoft.com/office/officeart/2005/8/layout/hProcess10"/>
    <dgm:cxn modelId="{FCAB3441-6DA6-49FD-92F9-4E404DD81FC0}" type="presOf" srcId="{17F0F7A7-9FCB-48DC-B8AB-0E92DA91C874}" destId="{C76433F6-B330-410A-BB99-D0689D28052B}" srcOrd="0" destOrd="0" presId="urn:microsoft.com/office/officeart/2005/8/layout/hProcess10"/>
    <dgm:cxn modelId="{05F5E069-A7BC-42B2-9E7B-973361AAB8E0}" type="presOf" srcId="{E068518F-E209-4636-8331-03E2BCBC5174}" destId="{D7446504-BC62-42F3-87B8-D9D48878D199}" srcOrd="1" destOrd="0" presId="urn:microsoft.com/office/officeart/2005/8/layout/hProcess10"/>
    <dgm:cxn modelId="{51E2F871-5E74-4464-8946-911757F24B67}" type="presOf" srcId="{21789C0A-23AC-4865-8F86-40472AA77EA6}" destId="{BB24202E-91C0-41FF-ABFB-62D24D997834}" srcOrd="0" destOrd="0" presId="urn:microsoft.com/office/officeart/2005/8/layout/hProcess10"/>
    <dgm:cxn modelId="{CC01538F-71D0-46B7-9D4D-87752C66DEF8}" type="presOf" srcId="{E068518F-E209-4636-8331-03E2BCBC5174}" destId="{11D590D0-EEA1-4699-9A6B-1FA674D58272}" srcOrd="0" destOrd="0" presId="urn:microsoft.com/office/officeart/2005/8/layout/hProcess10"/>
    <dgm:cxn modelId="{469B58A8-D8E8-48D5-A204-48BB66200BA9}" type="presOf" srcId="{E48D8882-0108-4EDF-960E-C7EDC09D67A6}" destId="{B98D1D94-F119-4BC7-B1C1-FC84CA99FF80}" srcOrd="0" destOrd="0" presId="urn:microsoft.com/office/officeart/2005/8/layout/hProcess10"/>
    <dgm:cxn modelId="{AA86F6A8-B9B6-4EA3-9162-E854085AB73B}" srcId="{21789C0A-23AC-4865-8F86-40472AA77EA6}" destId="{17F0F7A7-9FCB-48DC-B8AB-0E92DA91C874}" srcOrd="1" destOrd="0" parTransId="{887017E7-D1B5-46A4-9466-DD3ABC59DAA2}" sibTransId="{E068518F-E209-4636-8331-03E2BCBC5174}"/>
    <dgm:cxn modelId="{EA12A1B4-399C-49B8-90B6-562A9A337997}" type="presOf" srcId="{7E679383-9F2F-4454-BD4E-C16D8FB80EA6}" destId="{81E3C69F-F8E2-4029-94AC-F0E2A7F44FF7}" srcOrd="0" destOrd="0" presId="urn:microsoft.com/office/officeart/2005/8/layout/hProcess10"/>
    <dgm:cxn modelId="{5DCCC9C8-EF37-4665-9A42-0102BCFA68EA}" srcId="{21789C0A-23AC-4865-8F86-40472AA77EA6}" destId="{E48D8882-0108-4EDF-960E-C7EDC09D67A6}" srcOrd="0" destOrd="0" parTransId="{20DB698B-DA8E-49D4-AF0C-7534C64311AB}" sibTransId="{7E679383-9F2F-4454-BD4E-C16D8FB80EA6}"/>
    <dgm:cxn modelId="{773FB0EF-6E88-42BC-8084-A9509BAC8E2E}" srcId="{21789C0A-23AC-4865-8F86-40472AA77EA6}" destId="{3A1D5247-45D5-440F-BF2F-DE39FF1B4353}" srcOrd="2" destOrd="0" parTransId="{99558589-DC35-461D-8209-255B4DD10357}" sibTransId="{9AF68AA6-DB08-49C3-9434-7D9DB3C16AE0}"/>
    <dgm:cxn modelId="{4C04A1A0-85FB-4D95-AD31-1989D86F7287}" type="presParOf" srcId="{BB24202E-91C0-41FF-ABFB-62D24D997834}" destId="{7E0DBC69-7C58-4D6E-814B-1205CFD7D95F}" srcOrd="0" destOrd="0" presId="urn:microsoft.com/office/officeart/2005/8/layout/hProcess10"/>
    <dgm:cxn modelId="{F87FDB8A-A389-430D-82A2-4C8D4A7724F0}" type="presParOf" srcId="{7E0DBC69-7C58-4D6E-814B-1205CFD7D95F}" destId="{8FD49D73-D36F-482D-9A47-DB51FD1A3C69}" srcOrd="0" destOrd="0" presId="urn:microsoft.com/office/officeart/2005/8/layout/hProcess10"/>
    <dgm:cxn modelId="{0D659440-4457-44A9-81F9-1DCDAA6A9090}" type="presParOf" srcId="{7E0DBC69-7C58-4D6E-814B-1205CFD7D95F}" destId="{B98D1D94-F119-4BC7-B1C1-FC84CA99FF80}" srcOrd="1" destOrd="0" presId="urn:microsoft.com/office/officeart/2005/8/layout/hProcess10"/>
    <dgm:cxn modelId="{09B957DB-760E-4CD9-AC5C-F244ABBEB70A}" type="presParOf" srcId="{BB24202E-91C0-41FF-ABFB-62D24D997834}" destId="{81E3C69F-F8E2-4029-94AC-F0E2A7F44FF7}" srcOrd="1" destOrd="0" presId="urn:microsoft.com/office/officeart/2005/8/layout/hProcess10"/>
    <dgm:cxn modelId="{A4C28A23-861A-4E09-A47B-270EB56888CB}" type="presParOf" srcId="{81E3C69F-F8E2-4029-94AC-F0E2A7F44FF7}" destId="{D6C342D6-3128-4B7C-B93B-4717B1124270}" srcOrd="0" destOrd="0" presId="urn:microsoft.com/office/officeart/2005/8/layout/hProcess10"/>
    <dgm:cxn modelId="{B745F4DD-92E7-4CE5-A42F-2A894A0FC4B2}" type="presParOf" srcId="{BB24202E-91C0-41FF-ABFB-62D24D997834}" destId="{9BCC6699-4F1E-41CC-9AA6-B64B1B9689DA}" srcOrd="2" destOrd="0" presId="urn:microsoft.com/office/officeart/2005/8/layout/hProcess10"/>
    <dgm:cxn modelId="{69359DB8-FC44-47B4-9833-5A4533398789}" type="presParOf" srcId="{9BCC6699-4F1E-41CC-9AA6-B64B1B9689DA}" destId="{5F7B3ABB-C3BE-45DB-BC56-A4335B7EDB64}" srcOrd="0" destOrd="0" presId="urn:microsoft.com/office/officeart/2005/8/layout/hProcess10"/>
    <dgm:cxn modelId="{BCF9F2D9-48DE-431C-B108-F403401B323D}" type="presParOf" srcId="{9BCC6699-4F1E-41CC-9AA6-B64B1B9689DA}" destId="{C76433F6-B330-410A-BB99-D0689D28052B}" srcOrd="1" destOrd="0" presId="urn:microsoft.com/office/officeart/2005/8/layout/hProcess10"/>
    <dgm:cxn modelId="{56DE157E-F13C-41FF-A218-C35C9763525C}" type="presParOf" srcId="{BB24202E-91C0-41FF-ABFB-62D24D997834}" destId="{11D590D0-EEA1-4699-9A6B-1FA674D58272}" srcOrd="3" destOrd="0" presId="urn:microsoft.com/office/officeart/2005/8/layout/hProcess10"/>
    <dgm:cxn modelId="{2392D6AC-7BAA-4359-B0F3-FD5C48316A6A}" type="presParOf" srcId="{11D590D0-EEA1-4699-9A6B-1FA674D58272}" destId="{D7446504-BC62-42F3-87B8-D9D48878D199}" srcOrd="0" destOrd="0" presId="urn:microsoft.com/office/officeart/2005/8/layout/hProcess10"/>
    <dgm:cxn modelId="{9E27A5A9-F2AA-4F08-9E14-8D7BA42B554B}" type="presParOf" srcId="{BB24202E-91C0-41FF-ABFB-62D24D997834}" destId="{3243E5DE-EB58-49DF-B3C9-5901FC3CC838}" srcOrd="4" destOrd="0" presId="urn:microsoft.com/office/officeart/2005/8/layout/hProcess10"/>
    <dgm:cxn modelId="{1048AFCE-F12D-466E-A6EB-F380E4231E4D}" type="presParOf" srcId="{3243E5DE-EB58-49DF-B3C9-5901FC3CC838}" destId="{DA880651-BD13-493A-A0BE-E15605B7E36A}" srcOrd="0" destOrd="0" presId="urn:microsoft.com/office/officeart/2005/8/layout/hProcess10"/>
    <dgm:cxn modelId="{241EA768-7EA8-4419-8DCC-3932D96407A6}" type="presParOf" srcId="{3243E5DE-EB58-49DF-B3C9-5901FC3CC838}" destId="{EA3A2838-2F4E-4C56-9BE9-2F7E89C18491}" srcOrd="1" destOrd="0" presId="urn:microsoft.com/office/officeart/2005/8/layout/hProcess10"/>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789C0A-23AC-4865-8F86-40472AA77EA6}" type="doc">
      <dgm:prSet loTypeId="urn:microsoft.com/office/officeart/2005/8/layout/hProcess10" loCatId="picture" qsTypeId="urn:microsoft.com/office/officeart/2005/8/quickstyle/simple1" qsCatId="simple" csTypeId="urn:microsoft.com/office/officeart/2005/8/colors/accent1_2" csCatId="accent1" phldr="1"/>
      <dgm:spPr/>
      <dgm:t>
        <a:bodyPr/>
        <a:lstStyle/>
        <a:p>
          <a:endParaRPr lang="en-NZ"/>
        </a:p>
      </dgm:t>
    </dgm:pt>
    <dgm:pt modelId="{E48D8882-0108-4EDF-960E-C7EDC09D67A6}">
      <dgm:prSet phldrT="[Text]" custT="1"/>
      <dgm:spPr>
        <a:xfrm>
          <a:off x="209010" y="1086364"/>
          <a:ext cx="1266310" cy="1266310"/>
        </a:xfrm>
        <a:prstGeom prst="roundRect">
          <a:avLst>
            <a:gd name="adj" fmla="val 10000"/>
          </a:avLst>
        </a:prstGeom>
        <a:solidFill>
          <a:schemeClr val="tx2"/>
        </a:solidFill>
        <a:ln w="25400" cap="flat" cmpd="sng" algn="ctr">
          <a:noFill/>
          <a:prstDash val="solid"/>
        </a:ln>
        <a:effectLst/>
      </dgm:spPr>
      <dgm:t>
        <a:bodyPr/>
        <a:lstStyle/>
        <a:p>
          <a:pPr>
            <a:buNone/>
          </a:pPr>
          <a:r>
            <a:rPr lang="en-NZ" sz="1100" b="1">
              <a:solidFill>
                <a:schemeClr val="bg1"/>
              </a:solidFill>
              <a:latin typeface="Calibri"/>
              <a:ea typeface="+mn-ea"/>
              <a:cs typeface="+mn-cs"/>
            </a:rPr>
            <a:t>July 2022</a:t>
          </a:r>
        </a:p>
        <a:p>
          <a:pPr>
            <a:buNone/>
          </a:pPr>
          <a:r>
            <a:rPr lang="en-US" sz="900">
              <a:solidFill>
                <a:schemeClr val="bg1"/>
              </a:solidFill>
              <a:latin typeface="Calibri"/>
              <a:ea typeface="+mn-ea"/>
              <a:cs typeface="+mn-cs"/>
            </a:rPr>
            <a:t>Setting instream nutrient concentration thresholds for nutrient-affected attributes in rivers: </a:t>
          </a:r>
          <a:br>
            <a:rPr lang="en-US" sz="900">
              <a:solidFill>
                <a:schemeClr val="bg1"/>
              </a:solidFill>
              <a:latin typeface="Calibri"/>
              <a:ea typeface="+mn-ea"/>
              <a:cs typeface="+mn-cs"/>
            </a:rPr>
          </a:br>
          <a:r>
            <a:rPr lang="en-US" sz="900">
              <a:solidFill>
                <a:schemeClr val="bg1"/>
              </a:solidFill>
              <a:latin typeface="Calibri"/>
              <a:ea typeface="+mn-ea"/>
              <a:cs typeface="+mn-cs"/>
            </a:rPr>
            <a:t>G</a:t>
          </a:r>
          <a:r>
            <a:rPr lang="en-US" sz="800">
              <a:solidFill>
                <a:schemeClr val="bg1"/>
              </a:solidFill>
              <a:latin typeface="Calibri"/>
              <a:ea typeface="+mn-ea"/>
              <a:cs typeface="+mn-cs"/>
            </a:rPr>
            <a:t>uidance on implementing clause 3.13 of the NPS-FM</a:t>
          </a:r>
          <a:endParaRPr lang="en-NZ" sz="800" baseline="30000">
            <a:solidFill>
              <a:schemeClr val="bg1"/>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0DB698B-DA8E-49D4-AF0C-7534C64311AB}" type="parTrans" cxnId="{5DCCC9C8-EF37-4665-9A42-0102BCFA68EA}">
      <dgm:prSet/>
      <dgm:spPr/>
      <dgm:t>
        <a:bodyPr/>
        <a:lstStyle/>
        <a:p>
          <a:endParaRPr lang="en-NZ"/>
        </a:p>
      </dgm:t>
    </dgm:pt>
    <dgm:pt modelId="{7E679383-9F2F-4454-BD4E-C16D8FB80EA6}" type="sibTrans" cxnId="{5DCCC9C8-EF37-4665-9A42-0102BCFA68EA}">
      <dgm:prSet/>
      <dgm:spPr>
        <a:xfrm rot="21599978">
          <a:off x="1510208" y="643349"/>
          <a:ext cx="245461" cy="306202"/>
        </a:xfrm>
        <a:prstGeom prst="rightArrow">
          <a:avLst>
            <a:gd name="adj1" fmla="val 60000"/>
            <a:gd name="adj2" fmla="val 50000"/>
          </a:avLst>
        </a:prstGeom>
        <a:noFill/>
        <a:ln>
          <a:noFill/>
        </a:ln>
        <a:effectLst/>
      </dgm:spPr>
      <dgm:t>
        <a:bodyPr/>
        <a:lstStyle/>
        <a:p>
          <a:pPr>
            <a:buNone/>
          </a:pPr>
          <a:endParaRPr lang="en-NZ">
            <a:solidFill>
              <a:sysClr val="window" lastClr="FFFFFF"/>
            </a:solidFill>
            <a:latin typeface="Calibri"/>
            <a:ea typeface="+mn-ea"/>
            <a:cs typeface="+mn-cs"/>
          </a:endParaRPr>
        </a:p>
      </dgm:t>
    </dgm:pt>
    <dgm:pt modelId="{17F0F7A7-9FCB-48DC-B8AB-0E92DA91C874}">
      <dgm:prSet phldrT="[Text]" custT="1"/>
      <dgm:spPr>
        <a:xfrm>
          <a:off x="2172214" y="1086364"/>
          <a:ext cx="1266310" cy="1266310"/>
        </a:xfrm>
        <a:prstGeom prst="roundRect">
          <a:avLst>
            <a:gd name="adj" fmla="val 10000"/>
          </a:avLst>
        </a:prstGeom>
        <a:solidFill>
          <a:schemeClr val="tx2"/>
        </a:solidFill>
        <a:ln w="38100" cap="flat" cmpd="sng" algn="ctr">
          <a:solidFill>
            <a:schemeClr val="accent4"/>
          </a:solidFill>
          <a:prstDash val="solid"/>
        </a:ln>
        <a:effectLst/>
      </dgm:spPr>
      <dgm:t>
        <a:bodyPr/>
        <a:lstStyle/>
        <a:p>
          <a:pPr algn="ctr">
            <a:buNone/>
          </a:pPr>
          <a:r>
            <a:rPr lang="en-NZ" sz="1100" b="1">
              <a:solidFill>
                <a:schemeClr val="bg1"/>
              </a:solidFill>
              <a:latin typeface="Calibri"/>
              <a:ea typeface="+mn-ea"/>
              <a:cs typeface="+mn-cs"/>
            </a:rPr>
            <a:t>August 2023</a:t>
          </a:r>
        </a:p>
        <a:p>
          <a:pPr algn="ctr">
            <a:buNone/>
          </a:pPr>
          <a:r>
            <a:rPr lang="en-US" sz="900">
              <a:solidFill>
                <a:schemeClr val="bg1"/>
              </a:solidFill>
              <a:latin typeface="Calibri"/>
              <a:ea typeface="+mn-ea"/>
              <a:cs typeface="+mn-cs"/>
            </a:rPr>
            <a:t>A guide to implementing clause 3.13 of the National Policy Statement for Freshwater Management 2020</a:t>
          </a:r>
          <a:r>
            <a:rPr lang="en-US" sz="900" baseline="30000">
              <a:solidFill>
                <a:schemeClr val="bg1"/>
              </a:solidFill>
              <a:latin typeface="Calibri"/>
              <a:ea typeface="+mn-ea"/>
              <a:cs typeface="+mn-cs"/>
            </a:rPr>
            <a:t>4</a:t>
          </a:r>
          <a:endParaRPr lang="en-NZ" sz="900">
            <a:solidFill>
              <a:schemeClr val="bg1"/>
            </a:solidFill>
            <a:latin typeface="Calibri"/>
            <a:ea typeface="+mn-ea"/>
            <a:cs typeface="+mn-cs"/>
          </a:endParaRPr>
        </a:p>
      </dgm:t>
    </dgm:pt>
    <dgm:pt modelId="{887017E7-D1B5-46A4-9466-DD3ABC59DAA2}" type="parTrans" cxnId="{AA86F6A8-B9B6-4EA3-9162-E854085AB73B}">
      <dgm:prSet/>
      <dgm:spPr/>
      <dgm:t>
        <a:bodyPr/>
        <a:lstStyle/>
        <a:p>
          <a:endParaRPr lang="en-NZ"/>
        </a:p>
      </dgm:t>
    </dgm:pt>
    <dgm:pt modelId="{E068518F-E209-4636-8331-03E2BCBC5174}" type="sibTrans" cxnId="{AA86F6A8-B9B6-4EA3-9162-E854085AB73B}">
      <dgm:prSet/>
      <dgm:spPr>
        <a:xfrm>
          <a:off x="3473824" y="533852"/>
          <a:ext cx="243756" cy="304074"/>
        </a:xfrm>
        <a:prstGeom prst="rightArrow">
          <a:avLst>
            <a:gd name="adj1" fmla="val 60000"/>
            <a:gd name="adj2" fmla="val 50000"/>
          </a:avLst>
        </a:prstGeom>
        <a:solidFill>
          <a:srgbClr val="1C556C">
            <a:tint val="60000"/>
            <a:hueOff val="0"/>
            <a:satOff val="0"/>
            <a:lumOff val="0"/>
            <a:alphaOff val="0"/>
          </a:srgbClr>
        </a:solidFill>
        <a:ln>
          <a:noFill/>
        </a:ln>
        <a:effectLst/>
      </dgm:spPr>
      <dgm:t>
        <a:bodyPr/>
        <a:lstStyle/>
        <a:p>
          <a:pPr>
            <a:buNone/>
          </a:pPr>
          <a:endParaRPr lang="en-NZ">
            <a:solidFill>
              <a:sysClr val="window" lastClr="FFFFFF"/>
            </a:solidFill>
            <a:latin typeface="Calibri"/>
            <a:ea typeface="+mn-ea"/>
            <a:cs typeface="+mn-cs"/>
          </a:endParaRPr>
        </a:p>
      </dgm:t>
    </dgm:pt>
    <dgm:pt modelId="{BB24202E-91C0-41FF-ABFB-62D24D997834}" type="pres">
      <dgm:prSet presAssocID="{21789C0A-23AC-4865-8F86-40472AA77EA6}" presName="Name0" presStyleCnt="0">
        <dgm:presLayoutVars>
          <dgm:dir/>
          <dgm:resizeHandles val="exact"/>
        </dgm:presLayoutVars>
      </dgm:prSet>
      <dgm:spPr/>
    </dgm:pt>
    <dgm:pt modelId="{7E0DBC69-7C58-4D6E-814B-1205CFD7D95F}" type="pres">
      <dgm:prSet presAssocID="{E48D8882-0108-4EDF-960E-C7EDC09D67A6}" presName="composite" presStyleCnt="0"/>
      <dgm:spPr/>
    </dgm:pt>
    <dgm:pt modelId="{8FD49D73-D36F-482D-9A47-DB51FD1A3C69}" type="pres">
      <dgm:prSet presAssocID="{E48D8882-0108-4EDF-960E-C7EDC09D67A6}" presName="imagSh" presStyleLbl="bgImgPlace1" presStyleIdx="0" presStyleCnt="2" custScaleX="52765" custScaleY="52765" custLinFactNeighborX="12681" custLinFactNeighborY="-6064"/>
      <dgm:spPr>
        <a:xfrm>
          <a:off x="5" y="163301"/>
          <a:ext cx="1266310" cy="1266310"/>
        </a:xfrm>
        <a:prstGeom prst="roundRect">
          <a:avLst>
            <a:gd name="adj" fmla="val 10000"/>
          </a:avLst>
        </a:prstGeom>
        <a:blipFill>
          <a:blip xmlns:r="http://schemas.openxmlformats.org/officeDocument/2006/relationships" r:embed="rId2">
            <a:alphaModFix amt="90000"/>
            <a:extLst>
              <a:ext uri="{28A0092B-C50C-407E-A947-70E740481C1C}">
                <a14:useLocalDpi xmlns:a14="http://schemas.microsoft.com/office/drawing/2010/main" val="0"/>
              </a:ext>
            </a:extLst>
          </a:blip>
          <a:srcRect/>
          <a:stretch>
            <a:fillRect/>
          </a:stretch>
        </a:blipFill>
        <a:ln w="3175" cap="flat" cmpd="sng" algn="ctr">
          <a:solidFill>
            <a:srgbClr val="D5EBE8"/>
          </a:solidFill>
          <a:prstDash val="solid"/>
          <a:round/>
        </a:ln>
        <a:effectLst/>
      </dgm:spPr>
    </dgm:pt>
    <dgm:pt modelId="{B98D1D94-F119-4BC7-B1C1-FC84CA99FF80}" type="pres">
      <dgm:prSet presAssocID="{E48D8882-0108-4EDF-960E-C7EDC09D67A6}" presName="txNode" presStyleLbl="node1" presStyleIdx="0" presStyleCnt="2" custLinFactNeighborX="114" custLinFactNeighborY="3224">
        <dgm:presLayoutVars>
          <dgm:bulletEnabled val="1"/>
        </dgm:presLayoutVars>
      </dgm:prSet>
      <dgm:spPr/>
    </dgm:pt>
    <dgm:pt modelId="{81E3C69F-F8E2-4029-94AC-F0E2A7F44FF7}" type="pres">
      <dgm:prSet presAssocID="{7E679383-9F2F-4454-BD4E-C16D8FB80EA6}" presName="sibTrans" presStyleLbl="sibTrans2D1" presStyleIdx="0" presStyleCnt="1" custAng="0" custScaleX="100428" custScaleY="100633"/>
      <dgm:spPr/>
    </dgm:pt>
    <dgm:pt modelId="{D6C342D6-3128-4B7C-B93B-4717B1124270}" type="pres">
      <dgm:prSet presAssocID="{7E679383-9F2F-4454-BD4E-C16D8FB80EA6}" presName="connTx" presStyleLbl="sibTrans2D1" presStyleIdx="0" presStyleCnt="1"/>
      <dgm:spPr/>
    </dgm:pt>
    <dgm:pt modelId="{9BCC6699-4F1E-41CC-9AA6-B64B1B9689DA}" type="pres">
      <dgm:prSet presAssocID="{17F0F7A7-9FCB-48DC-B8AB-0E92DA91C874}" presName="composite" presStyleCnt="0"/>
      <dgm:spPr/>
    </dgm:pt>
    <dgm:pt modelId="{5F7B3ABB-C3BE-45DB-BC56-A4335B7EDB64}" type="pres">
      <dgm:prSet presAssocID="{17F0F7A7-9FCB-48DC-B8AB-0E92DA91C874}" presName="imagSh" presStyleLbl="bgImgPlace1" presStyleIdx="1" presStyleCnt="2" custScaleX="55669" custScaleY="55669" custLinFactNeighborX="16449" custLinFactNeighborY="-1191"/>
      <dgm:spPr>
        <a:xfrm>
          <a:off x="1964647" y="163288"/>
          <a:ext cx="1266310" cy="1266310"/>
        </a:xfrm>
        <a:prstGeom prst="roundRect">
          <a:avLst>
            <a:gd name="adj" fmla="val 10000"/>
          </a:avLst>
        </a:prstGeom>
        <a:blipFill>
          <a:blip xmlns:r="http://schemas.openxmlformats.org/officeDocument/2006/relationships" r:embed="rId3">
            <a:alphaModFix amt="90000"/>
            <a:extLst>
              <a:ext uri="{28A0092B-C50C-407E-A947-70E740481C1C}">
                <a14:useLocalDpi xmlns:a14="http://schemas.microsoft.com/office/drawing/2010/main" val="0"/>
              </a:ext>
            </a:extLst>
          </a:blip>
          <a:srcRect/>
          <a:stretch>
            <a:fillRect/>
          </a:stretch>
        </a:blipFill>
        <a:ln w="3175" cap="flat" cmpd="sng" algn="ctr">
          <a:solidFill>
            <a:srgbClr val="D5EBE8"/>
          </a:solidFill>
          <a:prstDash val="solid"/>
        </a:ln>
        <a:effectLst/>
      </dgm:spPr>
    </dgm:pt>
    <dgm:pt modelId="{C76433F6-B330-410A-BB99-D0689D28052B}" type="pres">
      <dgm:prSet presAssocID="{17F0F7A7-9FCB-48DC-B8AB-0E92DA91C874}" presName="txNode" presStyleLbl="node1" presStyleIdx="1" presStyleCnt="2" custLinFactNeighborX="50" custLinFactNeighborY="2425">
        <dgm:presLayoutVars>
          <dgm:bulletEnabled val="1"/>
        </dgm:presLayoutVars>
      </dgm:prSet>
      <dgm:spPr/>
    </dgm:pt>
  </dgm:ptLst>
  <dgm:cxnLst>
    <dgm:cxn modelId="{4B95831F-9BD7-4BB5-BDE5-77B050F47429}" type="presOf" srcId="{7E679383-9F2F-4454-BD4E-C16D8FB80EA6}" destId="{D6C342D6-3128-4B7C-B93B-4717B1124270}" srcOrd="1" destOrd="0" presId="urn:microsoft.com/office/officeart/2005/8/layout/hProcess10"/>
    <dgm:cxn modelId="{FCAB3441-6DA6-49FD-92F9-4E404DD81FC0}" type="presOf" srcId="{17F0F7A7-9FCB-48DC-B8AB-0E92DA91C874}" destId="{C76433F6-B330-410A-BB99-D0689D28052B}" srcOrd="0" destOrd="0" presId="urn:microsoft.com/office/officeart/2005/8/layout/hProcess10"/>
    <dgm:cxn modelId="{51E2F871-5E74-4464-8946-911757F24B67}" type="presOf" srcId="{21789C0A-23AC-4865-8F86-40472AA77EA6}" destId="{BB24202E-91C0-41FF-ABFB-62D24D997834}" srcOrd="0" destOrd="0" presId="urn:microsoft.com/office/officeart/2005/8/layout/hProcess10"/>
    <dgm:cxn modelId="{469B58A8-D8E8-48D5-A204-48BB66200BA9}" type="presOf" srcId="{E48D8882-0108-4EDF-960E-C7EDC09D67A6}" destId="{B98D1D94-F119-4BC7-B1C1-FC84CA99FF80}" srcOrd="0" destOrd="0" presId="urn:microsoft.com/office/officeart/2005/8/layout/hProcess10"/>
    <dgm:cxn modelId="{AA86F6A8-B9B6-4EA3-9162-E854085AB73B}" srcId="{21789C0A-23AC-4865-8F86-40472AA77EA6}" destId="{17F0F7A7-9FCB-48DC-B8AB-0E92DA91C874}" srcOrd="1" destOrd="0" parTransId="{887017E7-D1B5-46A4-9466-DD3ABC59DAA2}" sibTransId="{E068518F-E209-4636-8331-03E2BCBC5174}"/>
    <dgm:cxn modelId="{EA12A1B4-399C-49B8-90B6-562A9A337997}" type="presOf" srcId="{7E679383-9F2F-4454-BD4E-C16D8FB80EA6}" destId="{81E3C69F-F8E2-4029-94AC-F0E2A7F44FF7}" srcOrd="0" destOrd="0" presId="urn:microsoft.com/office/officeart/2005/8/layout/hProcess10"/>
    <dgm:cxn modelId="{5DCCC9C8-EF37-4665-9A42-0102BCFA68EA}" srcId="{21789C0A-23AC-4865-8F86-40472AA77EA6}" destId="{E48D8882-0108-4EDF-960E-C7EDC09D67A6}" srcOrd="0" destOrd="0" parTransId="{20DB698B-DA8E-49D4-AF0C-7534C64311AB}" sibTransId="{7E679383-9F2F-4454-BD4E-C16D8FB80EA6}"/>
    <dgm:cxn modelId="{4C04A1A0-85FB-4D95-AD31-1989D86F7287}" type="presParOf" srcId="{BB24202E-91C0-41FF-ABFB-62D24D997834}" destId="{7E0DBC69-7C58-4D6E-814B-1205CFD7D95F}" srcOrd="0" destOrd="0" presId="urn:microsoft.com/office/officeart/2005/8/layout/hProcess10"/>
    <dgm:cxn modelId="{F87FDB8A-A389-430D-82A2-4C8D4A7724F0}" type="presParOf" srcId="{7E0DBC69-7C58-4D6E-814B-1205CFD7D95F}" destId="{8FD49D73-D36F-482D-9A47-DB51FD1A3C69}" srcOrd="0" destOrd="0" presId="urn:microsoft.com/office/officeart/2005/8/layout/hProcess10"/>
    <dgm:cxn modelId="{0D659440-4457-44A9-81F9-1DCDAA6A9090}" type="presParOf" srcId="{7E0DBC69-7C58-4D6E-814B-1205CFD7D95F}" destId="{B98D1D94-F119-4BC7-B1C1-FC84CA99FF80}" srcOrd="1" destOrd="0" presId="urn:microsoft.com/office/officeart/2005/8/layout/hProcess10"/>
    <dgm:cxn modelId="{09B957DB-760E-4CD9-AC5C-F244ABBEB70A}" type="presParOf" srcId="{BB24202E-91C0-41FF-ABFB-62D24D997834}" destId="{81E3C69F-F8E2-4029-94AC-F0E2A7F44FF7}" srcOrd="1" destOrd="0" presId="urn:microsoft.com/office/officeart/2005/8/layout/hProcess10"/>
    <dgm:cxn modelId="{A4C28A23-861A-4E09-A47B-270EB56888CB}" type="presParOf" srcId="{81E3C69F-F8E2-4029-94AC-F0E2A7F44FF7}" destId="{D6C342D6-3128-4B7C-B93B-4717B1124270}" srcOrd="0" destOrd="0" presId="urn:microsoft.com/office/officeart/2005/8/layout/hProcess10"/>
    <dgm:cxn modelId="{B745F4DD-92E7-4CE5-A42F-2A894A0FC4B2}" type="presParOf" srcId="{BB24202E-91C0-41FF-ABFB-62D24D997834}" destId="{9BCC6699-4F1E-41CC-9AA6-B64B1B9689DA}" srcOrd="2" destOrd="0" presId="urn:microsoft.com/office/officeart/2005/8/layout/hProcess10"/>
    <dgm:cxn modelId="{69359DB8-FC44-47B4-9833-5A4533398789}" type="presParOf" srcId="{9BCC6699-4F1E-41CC-9AA6-B64B1B9689DA}" destId="{5F7B3ABB-C3BE-45DB-BC56-A4335B7EDB64}" srcOrd="0" destOrd="0" presId="urn:microsoft.com/office/officeart/2005/8/layout/hProcess10"/>
    <dgm:cxn modelId="{BCF9F2D9-48DE-431C-B108-F403401B323D}" type="presParOf" srcId="{9BCC6699-4F1E-41CC-9AA6-B64B1B9689DA}" destId="{C76433F6-B330-410A-BB99-D0689D28052B}" srcOrd="1" destOrd="0" presId="urn:microsoft.com/office/officeart/2005/8/layout/hProcess10"/>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452F6-BEE5-46E8-8028-E66B060FCDA4}">
      <dsp:nvSpPr>
        <dsp:cNvPr id="0" name=""/>
        <dsp:cNvSpPr/>
      </dsp:nvSpPr>
      <dsp:spPr>
        <a:xfrm rot="5400000">
          <a:off x="-135207" y="137467"/>
          <a:ext cx="901385" cy="630969"/>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t>1 August 2020</a:t>
          </a:r>
        </a:p>
      </dsp:txBody>
      <dsp:txXfrm rot="-5400000">
        <a:off x="2" y="317744"/>
        <a:ext cx="630969" cy="270416"/>
      </dsp:txXfrm>
    </dsp:sp>
    <dsp:sp modelId="{59D7CDC8-294B-4AEC-B39A-524EF147D843}">
      <dsp:nvSpPr>
        <dsp:cNvPr id="0" name=""/>
        <dsp:cNvSpPr/>
      </dsp:nvSpPr>
      <dsp:spPr>
        <a:xfrm rot="5400000">
          <a:off x="2722872" y="-2089642"/>
          <a:ext cx="585900" cy="476970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t>NPS-FM 2020 published.</a:t>
          </a:r>
        </a:p>
        <a:p>
          <a:pPr marL="57150" lvl="1" indent="-57150" algn="l" defTabSz="400050">
            <a:lnSpc>
              <a:spcPct val="90000"/>
            </a:lnSpc>
            <a:spcBef>
              <a:spcPct val="0"/>
            </a:spcBef>
            <a:spcAft>
              <a:spcPct val="15000"/>
            </a:spcAft>
            <a:buChar char="•"/>
          </a:pPr>
          <a:r>
            <a:rPr lang="en-NZ" sz="900" kern="1200"/>
            <a:t>Various guidance documents, including the original version of this document, published.</a:t>
          </a:r>
        </a:p>
      </dsp:txBody>
      <dsp:txXfrm rot="-5400000">
        <a:off x="630970" y="30861"/>
        <a:ext cx="4741104" cy="528698"/>
      </dsp:txXfrm>
    </dsp:sp>
    <dsp:sp modelId="{04626E79-2A98-4DC8-B37C-B74D992DB329}">
      <dsp:nvSpPr>
        <dsp:cNvPr id="0" name=""/>
        <dsp:cNvSpPr/>
      </dsp:nvSpPr>
      <dsp:spPr>
        <a:xfrm rot="5400000">
          <a:off x="-135207" y="885577"/>
          <a:ext cx="901385" cy="630969"/>
        </a:xfrm>
        <a:prstGeom prst="chevron">
          <a:avLst/>
        </a:prstGeom>
        <a:solidFill>
          <a:schemeClr val="accent4">
            <a:hueOff val="-8997"/>
            <a:satOff val="-3776"/>
            <a:lumOff val="7385"/>
            <a:alphaOff val="0"/>
          </a:schemeClr>
        </a:solidFill>
        <a:ln w="25400" cap="flat" cmpd="sng" algn="ctr">
          <a:solidFill>
            <a:schemeClr val="accent4">
              <a:hueOff val="-8997"/>
              <a:satOff val="-3776"/>
              <a:lumOff val="738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t>1 August 2020– 31 May 2022</a:t>
          </a:r>
        </a:p>
      </dsp:txBody>
      <dsp:txXfrm rot="-5400000">
        <a:off x="2" y="1065854"/>
        <a:ext cx="630969" cy="270416"/>
      </dsp:txXfrm>
    </dsp:sp>
    <dsp:sp modelId="{E8D28DB0-F716-49B5-A51F-4731759D19A4}">
      <dsp:nvSpPr>
        <dsp:cNvPr id="0" name=""/>
        <dsp:cNvSpPr/>
      </dsp:nvSpPr>
      <dsp:spPr>
        <a:xfrm rot="5400000">
          <a:off x="2722872" y="-1341532"/>
          <a:ext cx="585900" cy="4769705"/>
        </a:xfrm>
        <a:prstGeom prst="round2SameRect">
          <a:avLst/>
        </a:prstGeom>
        <a:solidFill>
          <a:schemeClr val="lt1">
            <a:alpha val="90000"/>
            <a:hueOff val="0"/>
            <a:satOff val="0"/>
            <a:lumOff val="0"/>
            <a:alphaOff val="0"/>
          </a:schemeClr>
        </a:solidFill>
        <a:ln w="25400" cap="flat" cmpd="sng" algn="ctr">
          <a:solidFill>
            <a:schemeClr val="accent4">
              <a:hueOff val="-8997"/>
              <a:satOff val="-3776"/>
              <a:lumOff val="73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t>Collation of feedback on NPS-FM in relation to technical corrections and clarifications. </a:t>
          </a:r>
        </a:p>
        <a:p>
          <a:pPr marL="57150" lvl="1" indent="-57150" algn="l" defTabSz="400050">
            <a:lnSpc>
              <a:spcPct val="90000"/>
            </a:lnSpc>
            <a:spcBef>
              <a:spcPct val="0"/>
            </a:spcBef>
            <a:spcAft>
              <a:spcPct val="15000"/>
            </a:spcAft>
            <a:buChar char="•"/>
          </a:pPr>
          <a:r>
            <a:rPr lang="en-NZ" sz="900" kern="1200"/>
            <a:t>Feedback received indicated the provisions relating to nutrients needed further clarification, and terminology to be more consistent and clearer.</a:t>
          </a:r>
        </a:p>
      </dsp:txBody>
      <dsp:txXfrm rot="-5400000">
        <a:off x="630970" y="778971"/>
        <a:ext cx="4741104" cy="528698"/>
      </dsp:txXfrm>
    </dsp:sp>
    <dsp:sp modelId="{A77819AC-1965-4E60-8015-4DE048646216}">
      <dsp:nvSpPr>
        <dsp:cNvPr id="0" name=""/>
        <dsp:cNvSpPr/>
      </dsp:nvSpPr>
      <dsp:spPr>
        <a:xfrm rot="5400000">
          <a:off x="-135207" y="1633687"/>
          <a:ext cx="901385" cy="630969"/>
        </a:xfrm>
        <a:prstGeom prst="chevron">
          <a:avLst/>
        </a:prstGeom>
        <a:solidFill>
          <a:schemeClr val="accent4">
            <a:hueOff val="-17994"/>
            <a:satOff val="-7552"/>
            <a:lumOff val="14771"/>
            <a:alphaOff val="0"/>
          </a:schemeClr>
        </a:solidFill>
        <a:ln w="25400" cap="flat" cmpd="sng" algn="ctr">
          <a:solidFill>
            <a:schemeClr val="accent4">
              <a:hueOff val="-17994"/>
              <a:satOff val="-7552"/>
              <a:lumOff val="1477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t>31 May–10 June 2022</a:t>
          </a:r>
        </a:p>
      </dsp:txBody>
      <dsp:txXfrm rot="-5400000">
        <a:off x="2" y="1813964"/>
        <a:ext cx="630969" cy="270416"/>
      </dsp:txXfrm>
    </dsp:sp>
    <dsp:sp modelId="{08EE20E4-0BB9-4FDD-BE3A-535E5820F24A}">
      <dsp:nvSpPr>
        <dsp:cNvPr id="0" name=""/>
        <dsp:cNvSpPr/>
      </dsp:nvSpPr>
      <dsp:spPr>
        <a:xfrm rot="5400000">
          <a:off x="2722872" y="-593422"/>
          <a:ext cx="585900" cy="4769705"/>
        </a:xfrm>
        <a:prstGeom prst="round2SameRect">
          <a:avLst/>
        </a:prstGeom>
        <a:solidFill>
          <a:schemeClr val="lt1">
            <a:alpha val="90000"/>
            <a:hueOff val="0"/>
            <a:satOff val="0"/>
            <a:lumOff val="0"/>
            <a:alphaOff val="0"/>
          </a:schemeClr>
        </a:solidFill>
        <a:ln w="25400" cap="flat" cmpd="sng" algn="ctr">
          <a:solidFill>
            <a:schemeClr val="accent4">
              <a:hueOff val="-17994"/>
              <a:satOff val="-7552"/>
              <a:lumOff val="147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t>Consultation on document: “Overview of technical correctons and clarifications in the NPS-FM exposure draft”. Ministry requested feedback on the proposed drafting of technical amendments to the NPS-FM, which aim to improve clarity of policies, reduce complexity of drafting and, in some cases, correct errors.</a:t>
          </a:r>
        </a:p>
      </dsp:txBody>
      <dsp:txXfrm rot="-5400000">
        <a:off x="630970" y="1527081"/>
        <a:ext cx="4741104" cy="528698"/>
      </dsp:txXfrm>
    </dsp:sp>
    <dsp:sp modelId="{345E7BF5-F246-457F-90E6-057F7A5B2CD1}">
      <dsp:nvSpPr>
        <dsp:cNvPr id="0" name=""/>
        <dsp:cNvSpPr/>
      </dsp:nvSpPr>
      <dsp:spPr>
        <a:xfrm rot="5400000">
          <a:off x="-135207" y="2381797"/>
          <a:ext cx="901385" cy="630969"/>
        </a:xfrm>
        <a:prstGeom prst="chevron">
          <a:avLst/>
        </a:prstGeom>
        <a:solidFill>
          <a:schemeClr val="accent4">
            <a:hueOff val="-26991"/>
            <a:satOff val="-11328"/>
            <a:lumOff val="22156"/>
            <a:alphaOff val="0"/>
          </a:schemeClr>
        </a:solidFill>
        <a:ln w="25400" cap="flat" cmpd="sng" algn="ctr">
          <a:solidFill>
            <a:schemeClr val="accent4">
              <a:hueOff val="-26991"/>
              <a:satOff val="-11328"/>
              <a:lumOff val="2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t>December 2022</a:t>
          </a:r>
        </a:p>
      </dsp:txBody>
      <dsp:txXfrm rot="-5400000">
        <a:off x="2" y="2562074"/>
        <a:ext cx="630969" cy="270416"/>
      </dsp:txXfrm>
    </dsp:sp>
    <dsp:sp modelId="{8B018D8F-BF77-4472-A575-CD789E400457}">
      <dsp:nvSpPr>
        <dsp:cNvPr id="0" name=""/>
        <dsp:cNvSpPr/>
      </dsp:nvSpPr>
      <dsp:spPr>
        <a:xfrm rot="5400000">
          <a:off x="2722872" y="154687"/>
          <a:ext cx="585900" cy="4769705"/>
        </a:xfrm>
        <a:prstGeom prst="round2SameRect">
          <a:avLst/>
        </a:prstGeom>
        <a:solidFill>
          <a:schemeClr val="lt1">
            <a:alpha val="90000"/>
            <a:hueOff val="0"/>
            <a:satOff val="0"/>
            <a:lumOff val="0"/>
            <a:alphaOff val="0"/>
          </a:schemeClr>
        </a:solidFill>
        <a:ln w="25400" cap="flat" cmpd="sng" algn="ctr">
          <a:solidFill>
            <a:schemeClr val="accent4">
              <a:hueOff val="-26991"/>
              <a:satOff val="-11328"/>
              <a:lumOff val="2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t>The NPS-FM was amended, with amendments coming into effect on 5 January 2023. This included changes to clause 3.13.</a:t>
          </a:r>
        </a:p>
      </dsp:txBody>
      <dsp:txXfrm rot="-5400000">
        <a:off x="630970" y="2275191"/>
        <a:ext cx="4741104" cy="528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49D73-D36F-482D-9A47-DB51FD1A3C69}">
      <dsp:nvSpPr>
        <dsp:cNvPr id="0" name=""/>
        <dsp:cNvSpPr/>
      </dsp:nvSpPr>
      <dsp:spPr>
        <a:xfrm>
          <a:off x="296622" y="332323"/>
          <a:ext cx="812173" cy="812173"/>
        </a:xfrm>
        <a:prstGeom prst="roundRect">
          <a:avLst>
            <a:gd name="adj" fmla="val 10000"/>
          </a:avLst>
        </a:prstGeom>
        <a:blipFill rotWithShape="1">
          <a:blip xmlns:r="http://schemas.openxmlformats.org/officeDocument/2006/relationships" r:embed="rId1">
            <a:alphaModFix amt="90000"/>
            <a:extLst>
              <a:ext uri="{28A0092B-C50C-407E-A947-70E740481C1C}">
                <a14:useLocalDpi xmlns:a14="http://schemas.microsoft.com/office/drawing/2010/main" val="0"/>
              </a:ext>
            </a:extLst>
          </a:blip>
          <a:srcRect/>
          <a:stretch>
            <a:fillRect t="-20000" b="-20000"/>
          </a:stretch>
        </a:blipFill>
        <a:ln w="3175" cap="flat" cmpd="sng" algn="ctr">
          <a:solidFill>
            <a:schemeClr val="accent3"/>
          </a:solidFill>
          <a:prstDash val="solid"/>
          <a:round/>
        </a:ln>
        <a:effectLst/>
      </dsp:spPr>
      <dsp:style>
        <a:lnRef idx="2">
          <a:scrgbClr r="0" g="0" b="0"/>
        </a:lnRef>
        <a:fillRef idx="1">
          <a:scrgbClr r="0" g="0" b="0"/>
        </a:fillRef>
        <a:effectRef idx="0">
          <a:scrgbClr r="0" g="0" b="0"/>
        </a:effectRef>
        <a:fontRef idx="minor"/>
      </dsp:style>
    </dsp:sp>
    <dsp:sp modelId="{B98D1D94-F119-4BC7-B1C1-FC84CA99FF80}">
      <dsp:nvSpPr>
        <dsp:cNvPr id="0" name=""/>
        <dsp:cNvSpPr/>
      </dsp:nvSpPr>
      <dsp:spPr>
        <a:xfrm>
          <a:off x="6410" y="1019622"/>
          <a:ext cx="1406410" cy="1406410"/>
        </a:xfrm>
        <a:prstGeom prst="roundRect">
          <a:avLst>
            <a:gd name="adj" fmla="val 10000"/>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rgbClr val="1B556B"/>
              </a:solidFill>
              <a:latin typeface="Calibri"/>
              <a:ea typeface="+mn-ea"/>
              <a:cs typeface="+mn-cs"/>
            </a:rPr>
            <a:t>September 2015 </a:t>
          </a:r>
          <a:r>
            <a:rPr lang="en-NZ" sz="1100" b="1" kern="1200">
              <a:solidFill>
                <a:srgbClr val="1B556B"/>
              </a:solidFill>
              <a:latin typeface="MS Gothic" panose="020B0609070205080204" pitchFamily="49" charset="-128"/>
              <a:ea typeface="MS Gothic" panose="020B0609070205080204" pitchFamily="49" charset="-128"/>
              <a:cs typeface="+mn-cs"/>
            </a:rPr>
            <a:t>­</a:t>
          </a:r>
          <a:r>
            <a:rPr lang="en-NZ" sz="1100" b="1" kern="1200">
              <a:solidFill>
                <a:srgbClr val="1B556B"/>
              </a:solidFill>
              <a:latin typeface="Calibri"/>
              <a:ea typeface="+mn-ea"/>
              <a:cs typeface="+mn-cs"/>
            </a:rPr>
            <a:t> </a:t>
          </a:r>
          <a:r>
            <a:rPr lang="en-NZ" sz="1100" b="1" kern="1200">
              <a:solidFill>
                <a:schemeClr val="bg1"/>
              </a:solidFill>
              <a:latin typeface="Calibri"/>
              <a:ea typeface="+mn-ea"/>
              <a:cs typeface="+mn-cs"/>
            </a:rPr>
            <a:t>March 2018</a:t>
          </a:r>
        </a:p>
        <a:p>
          <a:pPr marL="0" lvl="0" indent="0" algn="ctr" defTabSz="488950">
            <a:lnSpc>
              <a:spcPct val="90000"/>
            </a:lnSpc>
            <a:spcBef>
              <a:spcPct val="0"/>
            </a:spcBef>
            <a:spcAft>
              <a:spcPct val="35000"/>
            </a:spcAft>
            <a:buNone/>
          </a:pPr>
          <a:r>
            <a:rPr lang="en-NZ" sz="900" kern="1200">
              <a:solidFill>
                <a:schemeClr val="bg1"/>
              </a:solidFill>
              <a:latin typeface="Calibri"/>
              <a:ea typeface="+mn-ea"/>
              <a:cs typeface="+mn-cs"/>
            </a:rPr>
            <a:t>A guide to attributes: </a:t>
          </a:r>
          <a:br>
            <a:rPr lang="en-NZ" sz="900" kern="1200">
              <a:solidFill>
                <a:schemeClr val="bg1"/>
              </a:solidFill>
              <a:latin typeface="Calibri"/>
              <a:ea typeface="+mn-ea"/>
              <a:cs typeface="+mn-cs"/>
            </a:rPr>
          </a:br>
          <a:r>
            <a:rPr lang="en-NZ" sz="800" kern="1200">
              <a:solidFill>
                <a:schemeClr val="bg1"/>
              </a:solidFill>
              <a:latin typeface="Calibri"/>
              <a:ea typeface="+mn-ea"/>
              <a:cs typeface="+mn-cs"/>
            </a:rPr>
            <a:t>In appendix 2 of the National Policy Statement for Freshwater Management 2014 (as amended 2017)</a:t>
          </a:r>
          <a:r>
            <a:rPr lang="en-NZ" sz="800" kern="1200" baseline="30000">
              <a:solidFill>
                <a:schemeClr val="bg1"/>
              </a:solidFill>
              <a:latin typeface="Calibri"/>
              <a:ea typeface="+mn-ea"/>
              <a:cs typeface="+mn-cs"/>
            </a:rPr>
            <a:t>1</a:t>
          </a:r>
        </a:p>
      </dsp:txBody>
      <dsp:txXfrm>
        <a:off x="47602" y="1060814"/>
        <a:ext cx="1324026" cy="1324026"/>
      </dsp:txXfrm>
    </dsp:sp>
    <dsp:sp modelId="{81E3C69F-F8E2-4029-94AC-F0E2A7F44FF7}">
      <dsp:nvSpPr>
        <dsp:cNvPr id="0" name=""/>
        <dsp:cNvSpPr/>
      </dsp:nvSpPr>
      <dsp:spPr>
        <a:xfrm rot="21598844">
          <a:off x="1513266" y="569099"/>
          <a:ext cx="404470" cy="33794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NZ" sz="1400" kern="1200">
            <a:solidFill>
              <a:sysClr val="window" lastClr="FFFFFF"/>
            </a:solidFill>
            <a:latin typeface="Calibri"/>
            <a:ea typeface="+mn-ea"/>
            <a:cs typeface="+mn-cs"/>
          </a:endParaRPr>
        </a:p>
      </dsp:txBody>
      <dsp:txXfrm>
        <a:off x="1513266" y="636704"/>
        <a:ext cx="303088" cy="202764"/>
      </dsp:txXfrm>
    </dsp:sp>
    <dsp:sp modelId="{5F7B3ABB-C3BE-45DB-BC56-A4335B7EDB64}">
      <dsp:nvSpPr>
        <dsp:cNvPr id="0" name=""/>
        <dsp:cNvSpPr/>
      </dsp:nvSpPr>
      <dsp:spPr>
        <a:xfrm>
          <a:off x="2264426" y="333012"/>
          <a:ext cx="809473" cy="809473"/>
        </a:xfrm>
        <a:prstGeom prst="roundRect">
          <a:avLst>
            <a:gd name="adj" fmla="val 10000"/>
          </a:avLst>
        </a:prstGeom>
        <a:blipFill>
          <a:blip xmlns:r="http://schemas.openxmlformats.org/officeDocument/2006/relationships" r:embed="rId2">
            <a:alphaModFix/>
            <a:extLst>
              <a:ext uri="{28A0092B-C50C-407E-A947-70E740481C1C}">
                <a14:useLocalDpi xmlns:a14="http://schemas.microsoft.com/office/drawing/2010/main" val="0"/>
              </a:ext>
            </a:extLst>
          </a:blip>
          <a:srcRect/>
          <a:stretch>
            <a:fillRect t="-21000" b="-21000"/>
          </a:stretch>
        </a:blipFill>
        <a:ln w="3175" cap="flat" cmpd="sng" algn="ctr">
          <a:solidFill>
            <a:srgbClr val="D5EBE8"/>
          </a:solidFill>
          <a:prstDash val="solid"/>
        </a:ln>
        <a:effectLst/>
      </dsp:spPr>
      <dsp:style>
        <a:lnRef idx="2">
          <a:scrgbClr r="0" g="0" b="0"/>
        </a:lnRef>
        <a:fillRef idx="1">
          <a:scrgbClr r="0" g="0" b="0"/>
        </a:fillRef>
        <a:effectRef idx="0">
          <a:scrgbClr r="0" g="0" b="0"/>
        </a:effectRef>
        <a:fontRef idx="minor"/>
      </dsp:style>
    </dsp:sp>
    <dsp:sp modelId="{C76433F6-B330-410A-BB99-D0689D28052B}">
      <dsp:nvSpPr>
        <dsp:cNvPr id="0" name=""/>
        <dsp:cNvSpPr/>
      </dsp:nvSpPr>
      <dsp:spPr>
        <a:xfrm>
          <a:off x="1957886" y="1018947"/>
          <a:ext cx="1406410" cy="1406410"/>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June</a:t>
          </a:r>
          <a:r>
            <a:rPr lang="en-NZ" sz="1200" b="1" kern="1200">
              <a:solidFill>
                <a:schemeClr val="bg1"/>
              </a:solidFill>
              <a:latin typeface="Calibri"/>
              <a:ea typeface="+mn-ea"/>
              <a:cs typeface="+mn-cs"/>
            </a:rPr>
            <a:t> </a:t>
          </a:r>
          <a:r>
            <a:rPr lang="en-NZ" sz="1100" b="1" kern="1200">
              <a:solidFill>
                <a:schemeClr val="bg1"/>
              </a:solidFill>
              <a:latin typeface="Calibri"/>
              <a:ea typeface="+mn-ea"/>
              <a:cs typeface="+mn-cs"/>
            </a:rPr>
            <a:t>2019</a:t>
          </a:r>
        </a:p>
        <a:p>
          <a:pPr marL="0" lvl="0" indent="0" algn="ctr" defTabSz="488950">
            <a:lnSpc>
              <a:spcPct val="90000"/>
            </a:lnSpc>
            <a:spcBef>
              <a:spcPct val="0"/>
            </a:spcBef>
            <a:spcAft>
              <a:spcPct val="35000"/>
            </a:spcAft>
            <a:buNone/>
          </a:pPr>
          <a:r>
            <a:rPr lang="en-NZ" sz="900" kern="1200">
              <a:solidFill>
                <a:schemeClr val="bg1"/>
              </a:solidFill>
              <a:latin typeface="Calibri"/>
              <a:ea typeface="+mn-ea"/>
              <a:cs typeface="+mn-cs"/>
            </a:rPr>
            <a:t>Freshwater Science and Technical Advisory Group:</a:t>
          </a:r>
          <a:br>
            <a:rPr lang="en-NZ" sz="900" kern="1200">
              <a:solidFill>
                <a:schemeClr val="bg1"/>
              </a:solidFill>
              <a:latin typeface="Calibri"/>
              <a:ea typeface="+mn-ea"/>
              <a:cs typeface="+mn-cs"/>
            </a:rPr>
          </a:br>
          <a:r>
            <a:rPr lang="en-NZ" sz="800" kern="1200">
              <a:solidFill>
                <a:schemeClr val="bg1"/>
              </a:solidFill>
              <a:latin typeface="Calibri"/>
              <a:ea typeface="+mn-ea"/>
              <a:cs typeface="+mn-cs"/>
            </a:rPr>
            <a:t>Report to the Minister for the Environment</a:t>
          </a:r>
          <a:r>
            <a:rPr lang="en-NZ" sz="800" kern="1200" baseline="30000">
              <a:solidFill>
                <a:schemeClr val="bg1"/>
              </a:solidFill>
              <a:latin typeface="Calibri"/>
              <a:ea typeface="+mn-ea"/>
              <a:cs typeface="+mn-cs"/>
            </a:rPr>
            <a:t>2</a:t>
          </a:r>
          <a:endParaRPr lang="en-NZ" sz="800" kern="1200">
            <a:solidFill>
              <a:schemeClr val="bg1"/>
            </a:solidFill>
            <a:latin typeface="Calibri"/>
            <a:ea typeface="+mn-ea"/>
            <a:cs typeface="+mn-cs"/>
          </a:endParaRPr>
        </a:p>
      </dsp:txBody>
      <dsp:txXfrm>
        <a:off x="1999078" y="1060139"/>
        <a:ext cx="1324026" cy="1324026"/>
      </dsp:txXfrm>
    </dsp:sp>
    <dsp:sp modelId="{11D590D0-EEA1-4699-9A6B-1FA674D58272}">
      <dsp:nvSpPr>
        <dsp:cNvPr id="0" name=""/>
        <dsp:cNvSpPr/>
      </dsp:nvSpPr>
      <dsp:spPr>
        <a:xfrm rot="21573134">
          <a:off x="3479110" y="560865"/>
          <a:ext cx="405228" cy="33794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NZ" sz="1400" kern="1200">
            <a:solidFill>
              <a:sysClr val="window" lastClr="FFFFFF"/>
            </a:solidFill>
            <a:latin typeface="Calibri"/>
            <a:ea typeface="+mn-ea"/>
            <a:cs typeface="+mn-cs"/>
          </a:endParaRPr>
        </a:p>
      </dsp:txBody>
      <dsp:txXfrm>
        <a:off x="3479112" y="628849"/>
        <a:ext cx="303846" cy="202764"/>
      </dsp:txXfrm>
    </dsp:sp>
    <dsp:sp modelId="{DA880651-BD13-493A-A0BE-E15605B7E36A}">
      <dsp:nvSpPr>
        <dsp:cNvPr id="0" name=""/>
        <dsp:cNvSpPr/>
      </dsp:nvSpPr>
      <dsp:spPr>
        <a:xfrm>
          <a:off x="4231661" y="318396"/>
          <a:ext cx="807968" cy="807968"/>
        </a:xfrm>
        <a:prstGeom prst="roundRect">
          <a:avLst>
            <a:gd name="adj" fmla="val 10000"/>
          </a:avLst>
        </a:prstGeom>
        <a:blipFill>
          <a:blip xmlns:r="http://schemas.openxmlformats.org/officeDocument/2006/relationships" r:embed="rId3">
            <a:alphaModFix/>
          </a:blip>
          <a:srcRect/>
          <a:stretch>
            <a:fillRect t="-24000" b="-24000"/>
          </a:stretch>
        </a:blipFill>
        <a:ln w="3175" cap="flat" cmpd="sng" algn="ctr">
          <a:solidFill>
            <a:srgbClr val="D5EBE8"/>
          </a:solidFill>
          <a:prstDash val="solid"/>
        </a:ln>
        <a:effectLst/>
      </dsp:spPr>
      <dsp:style>
        <a:lnRef idx="2">
          <a:scrgbClr r="0" g="0" b="0"/>
        </a:lnRef>
        <a:fillRef idx="1">
          <a:scrgbClr r="0" g="0" b="0"/>
        </a:fillRef>
        <a:effectRef idx="0">
          <a:scrgbClr r="0" g="0" b="0"/>
        </a:effectRef>
        <a:fontRef idx="minor"/>
      </dsp:style>
    </dsp:sp>
    <dsp:sp modelId="{EA3A2838-2F4E-4C56-9BE9-2F7E89C18491}">
      <dsp:nvSpPr>
        <dsp:cNvPr id="0" name=""/>
        <dsp:cNvSpPr/>
      </dsp:nvSpPr>
      <dsp:spPr>
        <a:xfrm>
          <a:off x="3909362" y="1018571"/>
          <a:ext cx="1406410" cy="1406410"/>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April 2020</a:t>
          </a:r>
        </a:p>
        <a:p>
          <a:pPr marL="0" lvl="0" indent="0" algn="ctr" defTabSz="488950">
            <a:lnSpc>
              <a:spcPct val="90000"/>
            </a:lnSpc>
            <a:spcBef>
              <a:spcPct val="0"/>
            </a:spcBef>
            <a:spcAft>
              <a:spcPct val="35000"/>
            </a:spcAft>
            <a:buNone/>
          </a:pPr>
          <a:r>
            <a:rPr lang="en-NZ" sz="900" kern="1200">
              <a:solidFill>
                <a:schemeClr val="bg1"/>
              </a:solidFill>
              <a:latin typeface="Calibri"/>
              <a:ea typeface="+mn-ea"/>
              <a:cs typeface="+mn-cs"/>
            </a:rPr>
            <a:t>Freshwater Science and Technical Advisory Group: </a:t>
          </a:r>
          <a:br>
            <a:rPr lang="en-NZ" sz="900" kern="1200">
              <a:solidFill>
                <a:schemeClr val="bg1"/>
              </a:solidFill>
              <a:latin typeface="Calibri"/>
              <a:ea typeface="+mn-ea"/>
              <a:cs typeface="+mn-cs"/>
            </a:rPr>
          </a:br>
          <a:r>
            <a:rPr lang="en-NZ" sz="800" kern="1200">
              <a:solidFill>
                <a:schemeClr val="bg1"/>
              </a:solidFill>
              <a:latin typeface="Calibri"/>
              <a:ea typeface="+mn-ea"/>
              <a:cs typeface="+mn-cs"/>
            </a:rPr>
            <a:t>Supplementary report to the Minister for the Environment</a:t>
          </a:r>
          <a:r>
            <a:rPr lang="en-NZ" sz="800" kern="1200" baseline="30000">
              <a:solidFill>
                <a:schemeClr val="bg1"/>
              </a:solidFill>
              <a:latin typeface="Calibri"/>
              <a:ea typeface="+mn-ea"/>
              <a:cs typeface="+mn-cs"/>
            </a:rPr>
            <a:t>2,3</a:t>
          </a:r>
          <a:endParaRPr lang="en-NZ" sz="1100" b="1" kern="1200" baseline="30000">
            <a:solidFill>
              <a:schemeClr val="bg1"/>
            </a:solidFill>
            <a:latin typeface="Calibri"/>
            <a:ea typeface="+mn-ea"/>
            <a:cs typeface="+mn-cs"/>
          </a:endParaRPr>
        </a:p>
      </dsp:txBody>
      <dsp:txXfrm>
        <a:off x="3950554" y="1059763"/>
        <a:ext cx="1324026" cy="13240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49D73-D36F-482D-9A47-DB51FD1A3C69}">
      <dsp:nvSpPr>
        <dsp:cNvPr id="0" name=""/>
        <dsp:cNvSpPr/>
      </dsp:nvSpPr>
      <dsp:spPr>
        <a:xfrm>
          <a:off x="382040" y="226929"/>
          <a:ext cx="747717" cy="747717"/>
        </a:xfrm>
        <a:prstGeom prst="roundRect">
          <a:avLst>
            <a:gd name="adj" fmla="val 10000"/>
          </a:avLst>
        </a:prstGeom>
        <a:blipFill>
          <a:blip xmlns:r="http://schemas.openxmlformats.org/officeDocument/2006/relationships" r:embed="rId1">
            <a:alphaModFix amt="90000"/>
          </a:blip>
          <a:srcRect/>
          <a:stretch>
            <a:fillRect/>
          </a:stretch>
        </a:blipFill>
        <a:ln w="3175" cap="flat" cmpd="sng" algn="ctr">
          <a:solidFill>
            <a:srgbClr val="D5EBE8"/>
          </a:solidFill>
          <a:prstDash val="solid"/>
          <a:round/>
        </a:ln>
        <a:effectLst/>
      </dsp:spPr>
      <dsp:style>
        <a:lnRef idx="2">
          <a:scrgbClr r="0" g="0" b="0"/>
        </a:lnRef>
        <a:fillRef idx="1">
          <a:scrgbClr r="0" g="0" b="0"/>
        </a:fillRef>
        <a:effectRef idx="0">
          <a:scrgbClr r="0" g="0" b="0"/>
        </a:effectRef>
        <a:fontRef idx="minor"/>
      </dsp:style>
    </dsp:sp>
    <dsp:sp modelId="{B98D1D94-F119-4BC7-B1C1-FC84CA99FF80}">
      <dsp:nvSpPr>
        <dsp:cNvPr id="0" name=""/>
        <dsp:cNvSpPr/>
      </dsp:nvSpPr>
      <dsp:spPr>
        <a:xfrm>
          <a:off x="6410" y="910944"/>
          <a:ext cx="1406410" cy="1406410"/>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June 2022</a:t>
          </a:r>
        </a:p>
        <a:p>
          <a:pPr marL="0" lvl="0" indent="0" algn="ctr" defTabSz="488950">
            <a:lnSpc>
              <a:spcPct val="90000"/>
            </a:lnSpc>
            <a:spcBef>
              <a:spcPct val="0"/>
            </a:spcBef>
            <a:spcAft>
              <a:spcPct val="35000"/>
            </a:spcAft>
            <a:buNone/>
          </a:pPr>
          <a:r>
            <a:rPr lang="en-NZ" sz="900" kern="1200">
              <a:solidFill>
                <a:schemeClr val="bg1"/>
              </a:solidFill>
              <a:latin typeface="Calibri"/>
              <a:ea typeface="+mn-ea"/>
              <a:cs typeface="+mn-cs"/>
            </a:rPr>
            <a:t>Guidance on look-up tables for setting nutrient targets for periphyton: </a:t>
          </a:r>
          <a:br>
            <a:rPr lang="en-NZ" sz="900" kern="1200">
              <a:solidFill>
                <a:schemeClr val="bg1"/>
              </a:solidFill>
              <a:latin typeface="Calibri"/>
              <a:ea typeface="+mn-ea"/>
              <a:cs typeface="+mn-cs"/>
            </a:rPr>
          </a:br>
          <a:r>
            <a:rPr lang="en-NZ" sz="800" kern="1200">
              <a:solidFill>
                <a:schemeClr val="bg1"/>
              </a:solidFill>
              <a:latin typeface="Calibri"/>
              <a:ea typeface="+mn-ea"/>
              <a:cs typeface="+mn-cs"/>
            </a:rPr>
            <a:t>Second edition</a:t>
          </a:r>
          <a:endParaRPr lang="en-NZ" sz="800" kern="1200" baseline="30000">
            <a:solidFill>
              <a:schemeClr val="bg1"/>
            </a:solidFill>
            <a:latin typeface="Calibri"/>
            <a:ea typeface="+mn-ea"/>
            <a:cs typeface="+mn-cs"/>
          </a:endParaRPr>
        </a:p>
      </dsp:txBody>
      <dsp:txXfrm>
        <a:off x="47602" y="952136"/>
        <a:ext cx="1324026" cy="1324026"/>
      </dsp:txXfrm>
    </dsp:sp>
    <dsp:sp modelId="{81E3C69F-F8E2-4029-94AC-F0E2A7F44FF7}">
      <dsp:nvSpPr>
        <dsp:cNvPr id="0" name=""/>
        <dsp:cNvSpPr/>
      </dsp:nvSpPr>
      <dsp:spPr>
        <a:xfrm rot="10814894">
          <a:off x="1527305" y="434957"/>
          <a:ext cx="400110" cy="340079"/>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NZ" sz="1400" kern="1200">
            <a:solidFill>
              <a:sysClr val="window" lastClr="FFFFFF"/>
            </a:solidFill>
            <a:latin typeface="Calibri"/>
            <a:ea typeface="+mn-ea"/>
            <a:cs typeface="+mn-cs"/>
          </a:endParaRPr>
        </a:p>
      </dsp:txBody>
      <dsp:txXfrm>
        <a:off x="1629329" y="503194"/>
        <a:ext cx="298086" cy="204047"/>
      </dsp:txXfrm>
    </dsp:sp>
    <dsp:sp modelId="{5F7B3ABB-C3BE-45DB-BC56-A4335B7EDB64}">
      <dsp:nvSpPr>
        <dsp:cNvPr id="0" name=""/>
        <dsp:cNvSpPr/>
      </dsp:nvSpPr>
      <dsp:spPr>
        <a:xfrm>
          <a:off x="2268048" y="235101"/>
          <a:ext cx="747717" cy="747717"/>
        </a:xfrm>
        <a:prstGeom prst="roundRect">
          <a:avLst>
            <a:gd name="adj" fmla="val 10000"/>
          </a:avLst>
        </a:prstGeom>
        <a:blipFill>
          <a:blip xmlns:r="http://schemas.openxmlformats.org/officeDocument/2006/relationships" r:embed="rId2">
            <a:alphaModFix/>
          </a:blip>
          <a:srcRect/>
          <a:stretch>
            <a:fillRect t="-36000" b="-36000"/>
          </a:stretch>
        </a:blipFill>
        <a:ln w="3175" cap="flat" cmpd="sng" algn="ctr">
          <a:solidFill>
            <a:srgbClr val="D5EBE8"/>
          </a:solidFill>
          <a:prstDash val="solid"/>
        </a:ln>
        <a:effectLst/>
      </dsp:spPr>
      <dsp:style>
        <a:lnRef idx="2">
          <a:scrgbClr r="0" g="0" b="0"/>
        </a:lnRef>
        <a:fillRef idx="1">
          <a:scrgbClr r="0" g="0" b="0"/>
        </a:fillRef>
        <a:effectRef idx="0">
          <a:scrgbClr r="0" g="0" b="0"/>
        </a:effectRef>
        <a:fontRef idx="minor"/>
      </dsp:style>
    </dsp:sp>
    <dsp:sp modelId="{C76433F6-B330-410A-BB99-D0689D28052B}">
      <dsp:nvSpPr>
        <dsp:cNvPr id="0" name=""/>
        <dsp:cNvSpPr/>
      </dsp:nvSpPr>
      <dsp:spPr>
        <a:xfrm>
          <a:off x="1957886" y="910944"/>
          <a:ext cx="1406410" cy="1406410"/>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April 2022</a:t>
          </a:r>
        </a:p>
        <a:p>
          <a:pPr marL="0" lvl="0" indent="0" algn="ctr" defTabSz="488950">
            <a:lnSpc>
              <a:spcPct val="90000"/>
            </a:lnSpc>
            <a:spcBef>
              <a:spcPct val="0"/>
            </a:spcBef>
            <a:spcAft>
              <a:spcPct val="35000"/>
            </a:spcAft>
            <a:buNone/>
          </a:pPr>
          <a:r>
            <a:rPr lang="en-NZ" sz="900" kern="1200">
              <a:solidFill>
                <a:schemeClr val="bg1"/>
              </a:solidFill>
              <a:latin typeface="Calibri"/>
              <a:ea typeface="+mn-ea"/>
              <a:cs typeface="+mn-cs"/>
            </a:rPr>
            <a:t>Derivation of nutrient criteria for periphyton biomass objectives</a:t>
          </a:r>
          <a:r>
            <a:rPr lang="en-NZ" sz="800" kern="1200">
              <a:solidFill>
                <a:schemeClr val="bg1"/>
              </a:solidFill>
              <a:latin typeface="Calibri"/>
              <a:ea typeface="+mn-ea"/>
              <a:cs typeface="+mn-cs"/>
            </a:rPr>
            <a:t>:</a:t>
          </a:r>
          <a:br>
            <a:rPr lang="en-NZ" sz="800" kern="1200">
              <a:solidFill>
                <a:schemeClr val="bg1"/>
              </a:solidFill>
              <a:latin typeface="Calibri"/>
              <a:ea typeface="+mn-ea"/>
              <a:cs typeface="+mn-cs"/>
            </a:rPr>
          </a:br>
          <a:r>
            <a:rPr lang="en-NZ" sz="800" kern="1200">
              <a:solidFill>
                <a:schemeClr val="bg1"/>
              </a:solidFill>
              <a:latin typeface="Calibri"/>
              <a:ea typeface="+mn-ea"/>
              <a:cs typeface="+mn-cs"/>
            </a:rPr>
            <a:t>Using regional council monitoring data</a:t>
          </a:r>
        </a:p>
      </dsp:txBody>
      <dsp:txXfrm>
        <a:off x="1999078" y="952136"/>
        <a:ext cx="1324026" cy="1324026"/>
      </dsp:txXfrm>
    </dsp:sp>
    <dsp:sp modelId="{11D590D0-EEA1-4699-9A6B-1FA674D58272}">
      <dsp:nvSpPr>
        <dsp:cNvPr id="0" name=""/>
        <dsp:cNvSpPr/>
      </dsp:nvSpPr>
      <dsp:spPr>
        <a:xfrm rot="10800000">
          <a:off x="3430467" y="438920"/>
          <a:ext cx="417369" cy="340079"/>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NZ" sz="1400" kern="1200">
            <a:solidFill>
              <a:sysClr val="window" lastClr="FFFFFF"/>
            </a:solidFill>
            <a:latin typeface="Calibri"/>
            <a:ea typeface="+mn-ea"/>
            <a:cs typeface="+mn-cs"/>
          </a:endParaRPr>
        </a:p>
      </dsp:txBody>
      <dsp:txXfrm>
        <a:off x="3532491" y="506936"/>
        <a:ext cx="315345" cy="204047"/>
      </dsp:txXfrm>
    </dsp:sp>
    <dsp:sp modelId="{DA880651-BD13-493A-A0BE-E15605B7E36A}">
      <dsp:nvSpPr>
        <dsp:cNvPr id="0" name=""/>
        <dsp:cNvSpPr/>
      </dsp:nvSpPr>
      <dsp:spPr>
        <a:xfrm>
          <a:off x="4203167" y="235101"/>
          <a:ext cx="747717" cy="747717"/>
        </a:xfrm>
        <a:prstGeom prst="roundRect">
          <a:avLst>
            <a:gd name="adj" fmla="val 10000"/>
          </a:avLst>
        </a:prstGeom>
        <a:blipFill>
          <a:blip xmlns:r="http://schemas.openxmlformats.org/officeDocument/2006/relationships" r:embed="rId3">
            <a:alphaModFix amt="90000"/>
          </a:blip>
          <a:srcRect/>
          <a:stretch>
            <a:fillRect/>
          </a:stretch>
        </a:blipFill>
        <a:ln w="3175" cap="flat" cmpd="sng" algn="ctr">
          <a:solidFill>
            <a:srgbClr val="D5EBE8"/>
          </a:solidFill>
          <a:prstDash val="solid"/>
        </a:ln>
        <a:effectLst/>
      </dsp:spPr>
      <dsp:style>
        <a:lnRef idx="2">
          <a:scrgbClr r="0" g="0" b="0"/>
        </a:lnRef>
        <a:fillRef idx="1">
          <a:scrgbClr r="0" g="0" b="0"/>
        </a:fillRef>
        <a:effectRef idx="0">
          <a:scrgbClr r="0" g="0" b="0"/>
        </a:effectRef>
        <a:fontRef idx="minor"/>
      </dsp:style>
    </dsp:sp>
    <dsp:sp modelId="{EA3A2838-2F4E-4C56-9BE9-2F7E89C18491}">
      <dsp:nvSpPr>
        <dsp:cNvPr id="0" name=""/>
        <dsp:cNvSpPr/>
      </dsp:nvSpPr>
      <dsp:spPr>
        <a:xfrm>
          <a:off x="3909362" y="910944"/>
          <a:ext cx="1406410" cy="1406410"/>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NZ" sz="900" b="1" kern="1200">
              <a:solidFill>
                <a:schemeClr val="bg1"/>
              </a:solidFill>
              <a:latin typeface="Calibri"/>
              <a:ea typeface="+mn-ea"/>
              <a:cs typeface="+mn-cs"/>
            </a:rPr>
            <a:t>June 2021</a:t>
          </a:r>
        </a:p>
        <a:p>
          <a:pPr marL="0" lvl="0" indent="0" algn="ctr" defTabSz="400050">
            <a:lnSpc>
              <a:spcPct val="90000"/>
            </a:lnSpc>
            <a:spcBef>
              <a:spcPct val="0"/>
            </a:spcBef>
            <a:spcAft>
              <a:spcPct val="35000"/>
            </a:spcAft>
            <a:buNone/>
          </a:pPr>
          <a:r>
            <a:rPr lang="en-NZ" sz="900" kern="1200">
              <a:solidFill>
                <a:schemeClr val="bg1"/>
              </a:solidFill>
              <a:latin typeface="Calibri"/>
              <a:ea typeface="+mn-ea"/>
              <a:cs typeface="+mn-cs"/>
            </a:rPr>
            <a:t>A guide to setting instream nutrient concentrations</a:t>
          </a:r>
          <a:r>
            <a:rPr lang="en-NZ" sz="800" kern="1200">
              <a:solidFill>
                <a:schemeClr val="bg1"/>
              </a:solidFill>
              <a:latin typeface="Calibri"/>
              <a:ea typeface="+mn-ea"/>
              <a:cs typeface="+mn-cs"/>
            </a:rPr>
            <a:t>: </a:t>
          </a:r>
          <a:br>
            <a:rPr lang="en-NZ" sz="800" kern="1200">
              <a:solidFill>
                <a:schemeClr val="bg1"/>
              </a:solidFill>
              <a:latin typeface="Calibri"/>
              <a:ea typeface="+mn-ea"/>
              <a:cs typeface="+mn-cs"/>
            </a:rPr>
          </a:br>
          <a:r>
            <a:rPr lang="en-NZ" sz="800" kern="1200">
              <a:solidFill>
                <a:schemeClr val="bg1"/>
              </a:solidFill>
              <a:latin typeface="Calibri"/>
              <a:ea typeface="+mn-ea"/>
              <a:cs typeface="+mn-cs"/>
            </a:rPr>
            <a:t>Under clause 3.13 of the National Policy Statement for Freshwater Management 2020</a:t>
          </a:r>
          <a:endParaRPr lang="en-NZ" sz="1100" b="1" kern="1200" baseline="30000">
            <a:solidFill>
              <a:schemeClr val="bg1"/>
            </a:solidFill>
            <a:latin typeface="Calibri"/>
            <a:ea typeface="+mn-ea"/>
            <a:cs typeface="+mn-cs"/>
          </a:endParaRPr>
        </a:p>
      </dsp:txBody>
      <dsp:txXfrm>
        <a:off x="3950554" y="952136"/>
        <a:ext cx="1324026" cy="13240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49D73-D36F-482D-9A47-DB51FD1A3C69}">
      <dsp:nvSpPr>
        <dsp:cNvPr id="0" name=""/>
        <dsp:cNvSpPr/>
      </dsp:nvSpPr>
      <dsp:spPr>
        <a:xfrm>
          <a:off x="276112" y="78111"/>
          <a:ext cx="725928" cy="717442"/>
        </a:xfrm>
        <a:prstGeom prst="roundRect">
          <a:avLst>
            <a:gd name="adj" fmla="val 10000"/>
          </a:avLst>
        </a:prstGeom>
        <a:blipFill>
          <a:blip xmlns:r="http://schemas.openxmlformats.org/officeDocument/2006/relationships" r:embed="rId1">
            <a:alphaModFix amt="90000"/>
            <a:extLst>
              <a:ext uri="{28A0092B-C50C-407E-A947-70E740481C1C}">
                <a14:useLocalDpi xmlns:a14="http://schemas.microsoft.com/office/drawing/2010/main" val="0"/>
              </a:ext>
            </a:extLst>
          </a:blip>
          <a:srcRect/>
          <a:stretch>
            <a:fillRect/>
          </a:stretch>
        </a:blipFill>
        <a:ln w="3175" cap="flat" cmpd="sng" algn="ctr">
          <a:solidFill>
            <a:srgbClr val="D5EBE8"/>
          </a:solidFill>
          <a:prstDash val="solid"/>
          <a:round/>
        </a:ln>
        <a:effectLst/>
      </dsp:spPr>
      <dsp:style>
        <a:lnRef idx="2">
          <a:scrgbClr r="0" g="0" b="0"/>
        </a:lnRef>
        <a:fillRef idx="1">
          <a:scrgbClr r="0" g="0" b="0"/>
        </a:fillRef>
        <a:effectRef idx="0">
          <a:scrgbClr r="0" g="0" b="0"/>
        </a:effectRef>
        <a:fontRef idx="minor"/>
      </dsp:style>
    </dsp:sp>
    <dsp:sp modelId="{B98D1D94-F119-4BC7-B1C1-FC84CA99FF80}">
      <dsp:nvSpPr>
        <dsp:cNvPr id="0" name=""/>
        <dsp:cNvSpPr/>
      </dsp:nvSpPr>
      <dsp:spPr>
        <a:xfrm>
          <a:off x="2258" y="699089"/>
          <a:ext cx="1375776" cy="1359693"/>
        </a:xfrm>
        <a:prstGeom prst="roundRect">
          <a:avLst>
            <a:gd name="adj" fmla="val 10000"/>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July 2022</a:t>
          </a:r>
        </a:p>
        <a:p>
          <a:pPr marL="0" lvl="0" indent="0" algn="ctr" defTabSz="488950">
            <a:lnSpc>
              <a:spcPct val="90000"/>
            </a:lnSpc>
            <a:spcBef>
              <a:spcPct val="0"/>
            </a:spcBef>
            <a:spcAft>
              <a:spcPct val="35000"/>
            </a:spcAft>
            <a:buNone/>
          </a:pPr>
          <a:r>
            <a:rPr lang="en-US" sz="900" kern="1200">
              <a:solidFill>
                <a:schemeClr val="bg1"/>
              </a:solidFill>
              <a:latin typeface="Calibri"/>
              <a:ea typeface="+mn-ea"/>
              <a:cs typeface="+mn-cs"/>
            </a:rPr>
            <a:t>Setting instream nutrient concentration thresholds for nutrient-affected attributes in rivers: </a:t>
          </a:r>
          <a:br>
            <a:rPr lang="en-US" sz="900" kern="1200">
              <a:solidFill>
                <a:schemeClr val="bg1"/>
              </a:solidFill>
              <a:latin typeface="Calibri"/>
              <a:ea typeface="+mn-ea"/>
              <a:cs typeface="+mn-cs"/>
            </a:rPr>
          </a:br>
          <a:r>
            <a:rPr lang="en-US" sz="900" kern="1200">
              <a:solidFill>
                <a:schemeClr val="bg1"/>
              </a:solidFill>
              <a:latin typeface="Calibri"/>
              <a:ea typeface="+mn-ea"/>
              <a:cs typeface="+mn-cs"/>
            </a:rPr>
            <a:t>G</a:t>
          </a:r>
          <a:r>
            <a:rPr lang="en-US" sz="800" kern="1200">
              <a:solidFill>
                <a:schemeClr val="bg1"/>
              </a:solidFill>
              <a:latin typeface="Calibri"/>
              <a:ea typeface="+mn-ea"/>
              <a:cs typeface="+mn-cs"/>
            </a:rPr>
            <a:t>uidance on implementing clause 3.13 of the NPS-FM</a:t>
          </a:r>
          <a:endParaRPr lang="en-NZ" sz="800" kern="1200" baseline="30000">
            <a:solidFill>
              <a:schemeClr val="bg1"/>
            </a:solidFill>
            <a:latin typeface="Calibri"/>
            <a:ea typeface="+mn-ea"/>
            <a:cs typeface="+mn-cs"/>
          </a:endParaRPr>
        </a:p>
      </dsp:txBody>
      <dsp:txXfrm>
        <a:off x="42082" y="738913"/>
        <a:ext cx="1296128" cy="1280045"/>
      </dsp:txXfrm>
    </dsp:sp>
    <dsp:sp modelId="{81E3C69F-F8E2-4029-94AC-F0E2A7F44FF7}">
      <dsp:nvSpPr>
        <dsp:cNvPr id="0" name=""/>
        <dsp:cNvSpPr/>
      </dsp:nvSpPr>
      <dsp:spPr>
        <a:xfrm rot="133405">
          <a:off x="1426186" y="309352"/>
          <a:ext cx="427358" cy="33267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NZ" sz="1400" kern="1200">
            <a:solidFill>
              <a:sysClr val="window" lastClr="FFFFFF"/>
            </a:solidFill>
            <a:latin typeface="Calibri"/>
            <a:ea typeface="+mn-ea"/>
            <a:cs typeface="+mn-cs"/>
          </a:endParaRPr>
        </a:p>
      </dsp:txBody>
      <dsp:txXfrm>
        <a:off x="1426224" y="373950"/>
        <a:ext cx="327556" cy="199604"/>
      </dsp:txXfrm>
    </dsp:sp>
    <dsp:sp modelId="{5F7B3ABB-C3BE-45DB-BC56-A4335B7EDB64}">
      <dsp:nvSpPr>
        <dsp:cNvPr id="0" name=""/>
        <dsp:cNvSpPr/>
      </dsp:nvSpPr>
      <dsp:spPr>
        <a:xfrm>
          <a:off x="2216944" y="134497"/>
          <a:ext cx="765880" cy="756927"/>
        </a:xfrm>
        <a:prstGeom prst="roundRect">
          <a:avLst>
            <a:gd name="adj" fmla="val 10000"/>
          </a:avLst>
        </a:prstGeom>
        <a:blipFill>
          <a:blip xmlns:r="http://schemas.openxmlformats.org/officeDocument/2006/relationships" r:embed="rId2">
            <a:alphaModFix amt="90000"/>
            <a:extLst>
              <a:ext uri="{28A0092B-C50C-407E-A947-70E740481C1C}">
                <a14:useLocalDpi xmlns:a14="http://schemas.microsoft.com/office/drawing/2010/main" val="0"/>
              </a:ext>
            </a:extLst>
          </a:blip>
          <a:srcRect/>
          <a:stretch>
            <a:fillRect/>
          </a:stretch>
        </a:blipFill>
        <a:ln w="3175" cap="flat" cmpd="sng" algn="ctr">
          <a:solidFill>
            <a:srgbClr val="D5EBE8"/>
          </a:solidFill>
          <a:prstDash val="solid"/>
        </a:ln>
        <a:effectLst/>
      </dsp:spPr>
      <dsp:style>
        <a:lnRef idx="2">
          <a:scrgbClr r="0" g="0" b="0"/>
        </a:lnRef>
        <a:fillRef idx="1">
          <a:scrgbClr r="0" g="0" b="0"/>
        </a:fillRef>
        <a:effectRef idx="0">
          <a:scrgbClr r="0" g="0" b="0"/>
        </a:effectRef>
        <a:fontRef idx="minor"/>
      </dsp:style>
    </dsp:sp>
    <dsp:sp modelId="{C76433F6-B330-410A-BB99-D0689D28052B}">
      <dsp:nvSpPr>
        <dsp:cNvPr id="0" name=""/>
        <dsp:cNvSpPr/>
      </dsp:nvSpPr>
      <dsp:spPr>
        <a:xfrm>
          <a:off x="1910346" y="698097"/>
          <a:ext cx="1375776" cy="1359693"/>
        </a:xfrm>
        <a:prstGeom prst="roundRect">
          <a:avLst>
            <a:gd name="adj" fmla="val 10000"/>
          </a:avLst>
        </a:prstGeom>
        <a:solidFill>
          <a:schemeClr val="tx2"/>
        </a:solidFill>
        <a:ln w="381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latin typeface="Calibri"/>
              <a:ea typeface="+mn-ea"/>
              <a:cs typeface="+mn-cs"/>
            </a:rPr>
            <a:t>August 2023</a:t>
          </a:r>
        </a:p>
        <a:p>
          <a:pPr marL="0" lvl="0" indent="0" algn="ctr" defTabSz="488950">
            <a:lnSpc>
              <a:spcPct val="90000"/>
            </a:lnSpc>
            <a:spcBef>
              <a:spcPct val="0"/>
            </a:spcBef>
            <a:spcAft>
              <a:spcPct val="35000"/>
            </a:spcAft>
            <a:buNone/>
          </a:pPr>
          <a:r>
            <a:rPr lang="en-US" sz="900" kern="1200">
              <a:solidFill>
                <a:schemeClr val="bg1"/>
              </a:solidFill>
              <a:latin typeface="Calibri"/>
              <a:ea typeface="+mn-ea"/>
              <a:cs typeface="+mn-cs"/>
            </a:rPr>
            <a:t>A guide to implementing clause 3.13 of the National Policy Statement for Freshwater Management 2020</a:t>
          </a:r>
          <a:r>
            <a:rPr lang="en-US" sz="900" kern="1200" baseline="30000">
              <a:solidFill>
                <a:schemeClr val="bg1"/>
              </a:solidFill>
              <a:latin typeface="Calibri"/>
              <a:ea typeface="+mn-ea"/>
              <a:cs typeface="+mn-cs"/>
            </a:rPr>
            <a:t>4</a:t>
          </a:r>
          <a:endParaRPr lang="en-NZ" sz="900" kern="1200">
            <a:solidFill>
              <a:schemeClr val="bg1"/>
            </a:solidFill>
            <a:latin typeface="Calibri"/>
            <a:ea typeface="+mn-ea"/>
            <a:cs typeface="+mn-cs"/>
          </a:endParaRPr>
        </a:p>
      </dsp:txBody>
      <dsp:txXfrm>
        <a:off x="1950170" y="737921"/>
        <a:ext cx="1296128" cy="12800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9A02C070-8ABF-462B-A892-B683A4D9A85E}">
    <t:Anchor>
      <t:Comment id="676770028"/>
    </t:Anchor>
    <t:History>
      <t:Event id="{F7EFE69B-E961-448A-9E44-325F041C1629}" time="2023-07-12T01:40:25.572Z">
        <t:Attribution userId="S::Michael.Paterson@mfe.govt.nz::cb2372e8-5531-4496-9262-66caefbe1b11" userProvider="AD" userName="Michael Paterson"/>
        <t:Anchor>
          <t:Comment id="676932553"/>
        </t:Anchor>
        <t:Create/>
      </t:Event>
      <t:Event id="{723F2F0F-1162-41C0-90EE-9A379319970B}" time="2023-07-12T01:40:25.572Z">
        <t:Attribution userId="S::Michael.Paterson@mfe.govt.nz::cb2372e8-5531-4496-9262-66caefbe1b11" userProvider="AD" userName="Michael Paterson"/>
        <t:Anchor>
          <t:Comment id="676932553"/>
        </t:Anchor>
        <t:Assign userId="S::Lisette.DuPlessis1@mfe.govt.nz::f1654bf3-ea7b-41b3-9dfd-ac0d037fcc45" userProvider="AD" userName="Lisette Du Plessis"/>
      </t:Event>
      <t:Event id="{1C81D98F-3BE6-41CE-AA08-09D5ED415B47}" time="2023-07-12T01:40:25.572Z">
        <t:Attribution userId="S::Michael.Paterson@mfe.govt.nz::cb2372e8-5531-4496-9262-66caefbe1b11" userProvider="AD" userName="Michael Paterson"/>
        <t:Anchor>
          <t:Comment id="676932553"/>
        </t:Anchor>
        <t:SetTitle title="@Lisette Du Plessis Can you please help with this ☺️"/>
      </t:Event>
      <t:Event id="{12BD5D0F-A0DC-4F25-9F74-303B40CE2970}" time="2023-07-31T01:27:43.16Z">
        <t:Attribution userId="S::Michael.Paterson@mfe.govt.nz::cb2372e8-5531-4496-9262-66caefbe1b11" userProvider="AD" userName="Michael Paterson"/>
        <t:Progress percentComplete="100"/>
      </t:Event>
    </t:History>
  </t:Task>
  <t:Task id="{3382EDD2-81D0-4C45-95E4-AFBC28FA483E}">
    <t:Anchor>
      <t:Comment id="678053359"/>
    </t:Anchor>
    <t:History>
      <t:Event id="{F129DC17-8651-43F3-9A5E-C9F2A4F6F448}" time="2023-07-30T22:54:19.465Z">
        <t:Attribution userId="S::Michael.Paterson@mfe.govt.nz::cb2372e8-5531-4496-9262-66caefbe1b11" userProvider="AD" userName="Michael Paterson"/>
        <t:Anchor>
          <t:Comment id="678564187"/>
        </t:Anchor>
        <t:Create/>
      </t:Event>
      <t:Event id="{DC30C807-0E01-4F2F-B9C2-1B7D5453388B}" time="2023-07-30T22:54:19.465Z">
        <t:Attribution userId="S::Michael.Paterson@mfe.govt.nz::cb2372e8-5531-4496-9262-66caefbe1b11" userProvider="AD" userName="Michael Paterson"/>
        <t:Anchor>
          <t:Comment id="678564187"/>
        </t:Anchor>
        <t:Assign userId="S::Lisette.DuPlessis1@mfe.govt.nz::f1654bf3-ea7b-41b3-9dfd-ac0d037fcc45" userProvider="AD" userName="Lisette Du Plessis"/>
      </t:Event>
      <t:Event id="{CA679D99-0C44-4D3E-8DB8-EB2D1F685BFB}" time="2023-07-30T22:54:19.465Z">
        <t:Attribution userId="S::Michael.Paterson@mfe.govt.nz::cb2372e8-5531-4496-9262-66caefbe1b11" userProvider="AD" userName="Michael Paterson"/>
        <t:Anchor>
          <t:Comment id="678564187"/>
        </t:Anchor>
        <t:SetTitle title="@Lisette Du Plessis Wondering if you are able to do this please, and if not, I would just leave it as is ☺️"/>
      </t:Event>
      <t:Event id="{5603E3CB-72A1-4010-B4D0-209673CA17ED}" time="2023-07-31T05:34:02.386Z">
        <t:Attribution userId="S::Michael.Paterson@mfe.govt.nz::cb2372e8-5531-4496-9262-66caefbe1b11" userProvider="AD" userName="Michael Paterson"/>
        <t:Progress percentComplete="100"/>
      </t:Event>
    </t:History>
  </t:Task>
  <t:Task id="{CCEA2B15-539F-4BE4-9D06-AC664C03DC5D}">
    <t:Anchor>
      <t:Comment id="679189705"/>
    </t:Anchor>
    <t:History>
      <t:Event id="{CC2C4DFA-B6CE-483B-80D7-ED737AE00F4D}" time="2023-08-09T02:29:16.073Z">
        <t:Attribution userId="S::Michael.Paterson@mfe.govt.nz::cb2372e8-5531-4496-9262-66caefbe1b11" userProvider="AD" userName="Michael Paterson"/>
        <t:Anchor>
          <t:Comment id="679354684"/>
        </t:Anchor>
        <t:Create/>
      </t:Event>
      <t:Event id="{1FCCACFA-F94A-443E-B4F6-0756ADD07934}" time="2023-08-09T02:29:16.073Z">
        <t:Attribution userId="S::Michael.Paterson@mfe.govt.nz::cb2372e8-5531-4496-9262-66caefbe1b11" userProvider="AD" userName="Michael Paterson"/>
        <t:Anchor>
          <t:Comment id="679354684"/>
        </t:Anchor>
        <t:Assign userId="S::Andy.Hicks@mfe.govt.nz::74dfce22-8413-4df4-8db2-280eb612c57a" userProvider="AD" userName="Andy Hicks"/>
      </t:Event>
      <t:Event id="{C479850E-84B2-4D44-80D3-BBA9F398F0D2}" time="2023-08-09T02:29:16.073Z">
        <t:Attribution userId="S::Michael.Paterson@mfe.govt.nz::cb2372e8-5531-4496-9262-66caefbe1b11" userProvider="AD" userName="Michael Paterson"/>
        <t:Anchor>
          <t:Comment id="679354684"/>
        </t:Anchor>
        <t:SetTitle title="MINOR EDIT: @Andy Hicks and @Graeme Clarke I just removed however- happy?"/>
      </t:Event>
      <t:Event id="{B91B75DC-C5CF-4A52-9E9C-5083E09050F3}" time="2023-08-14T01:52:26.047Z">
        <t:Attribution userId="S::Michael.Paterson@mfe.govt.nz::cb2372e8-5531-4496-9262-66caefbe1b11" userProvider="AD" userName="Michael Paterson"/>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ECM-1122293896-99703</_dlc_DocId>
    <_dlc_DocIdUrl xmlns="58a6f171-52cb-4404-b47d-af1c8daf8fd1">
      <Url>https://ministryforenvironment.sharepoint.com/sites/ECM-ER-Comms/_layouts/15/DocIdRedir.aspx?ID=ECM-1122293896-99703</Url>
      <Description>ECM-1122293896-99703</Description>
    </_dlc_DocIdUrl>
    <TaxCatchAll xmlns="58a6f171-52cb-4404-b47d-af1c8daf8fd1" xsi:nil="true"/>
    <_dlc_DocIdPersistId xmlns="58a6f171-52cb-4404-b47d-af1c8daf8fd1">false</_dlc_DocIdPersistId>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lcf76f155ced4ddcb4097134ff3c332f xmlns="4a94300e-a927-4b92-9d3a-682523035cb6">
      <Terms xmlns="http://schemas.microsoft.com/office/infopath/2007/PartnerControls"/>
    </lcf76f155ced4ddcb4097134ff3c332f>
    <MediaLengthInSeconds xmlns="4a94300e-a927-4b92-9d3a-682523035cb6" xsi:nil="true"/>
    <SharedWithUsers xmlns="0a5b0190-e301-4766-933d-448c7c363fce">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sharepoint/v4"/>
    <ds:schemaRef ds:uri="http://purl.org/dc/terms/"/>
    <ds:schemaRef ds:uri="http://schemas.microsoft.com/office/infopath/2007/PartnerControls"/>
    <ds:schemaRef ds:uri="http://schemas.microsoft.com/office/2006/documentManagement/types"/>
    <ds:schemaRef ds:uri="http://purl.org/dc/elements/1.1/"/>
    <ds:schemaRef ds:uri="http://schemas.microsoft.com/sharepoint/v3"/>
    <ds:schemaRef ds:uri="http://www.w3.org/XML/1998/namespace"/>
    <ds:schemaRef ds:uri="http://purl.org/dc/dcmitype/"/>
    <ds:schemaRef ds:uri="http://schemas.microsoft.com/office/2006/metadata/properties"/>
    <ds:schemaRef ds:uri="0a5b0190-e301-4766-933d-448c7c363fce"/>
    <ds:schemaRef ds:uri="http://schemas.openxmlformats.org/package/2006/metadata/core-properties"/>
    <ds:schemaRef ds:uri="4a94300e-a927-4b92-9d3a-682523035cb6"/>
    <ds:schemaRef ds:uri="58a6f171-52cb-4404-b47d-af1c8daf8fd1"/>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B9D7F5EF-66D4-4337-AC57-0AEE64A27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16009</Words>
  <Characters>91255</Characters>
  <Application>Microsoft Office Word</Application>
  <DocSecurity>0</DocSecurity>
  <Lines>760</Lines>
  <Paragraphs>214</Paragraphs>
  <ScaleCrop>false</ScaleCrop>
  <Company/>
  <LinksUpToDate>false</LinksUpToDate>
  <CharactersWithSpaces>107050</CharactersWithSpaces>
  <SharedDoc>false</SharedDoc>
  <HLinks>
    <vt:vector size="492" baseType="variant">
      <vt:variant>
        <vt:i4>3407919</vt:i4>
      </vt:variant>
      <vt:variant>
        <vt:i4>363</vt:i4>
      </vt:variant>
      <vt:variant>
        <vt:i4>0</vt:i4>
      </vt:variant>
      <vt:variant>
        <vt:i4>5</vt:i4>
      </vt:variant>
      <vt:variant>
        <vt:lpwstr>https://data.mfe.govt.nz/table/107868-nz-freshwater-nutrient-and-biomass-measurements-for-periphyton-2012-2020/</vt:lpwstr>
      </vt:variant>
      <vt:variant>
        <vt:lpwstr/>
      </vt:variant>
      <vt:variant>
        <vt:i4>393229</vt:i4>
      </vt:variant>
      <vt:variant>
        <vt:i4>360</vt:i4>
      </vt:variant>
      <vt:variant>
        <vt:i4>0</vt:i4>
      </vt:variant>
      <vt:variant>
        <vt:i4>5</vt:i4>
      </vt:variant>
      <vt:variant>
        <vt:lpwstr>https://niwa.co.nz/freshwater/research-projects/the-new-zealand-estuary-trophic-index</vt:lpwstr>
      </vt:variant>
      <vt:variant>
        <vt:lpwstr/>
      </vt:variant>
      <vt:variant>
        <vt:i4>3932245</vt:i4>
      </vt:variant>
      <vt:variant>
        <vt:i4>357</vt:i4>
      </vt:variant>
      <vt:variant>
        <vt:i4>0</vt:i4>
      </vt:variant>
      <vt:variant>
        <vt:i4>5</vt:i4>
      </vt:variant>
      <vt:variant>
        <vt:lpwstr/>
      </vt:variant>
      <vt:variant>
        <vt:lpwstr>_3.1__General</vt:lpwstr>
      </vt:variant>
      <vt:variant>
        <vt:i4>8126480</vt:i4>
      </vt:variant>
      <vt:variant>
        <vt:i4>354</vt:i4>
      </vt:variant>
      <vt:variant>
        <vt:i4>0</vt:i4>
      </vt:variant>
      <vt:variant>
        <vt:i4>5</vt:i4>
      </vt:variant>
      <vt:variant>
        <vt:lpwstr/>
      </vt:variant>
      <vt:variant>
        <vt:lpwstr>_2.1.2__Nitrogen</vt:lpwstr>
      </vt:variant>
      <vt:variant>
        <vt:i4>393229</vt:i4>
      </vt:variant>
      <vt:variant>
        <vt:i4>348</vt:i4>
      </vt:variant>
      <vt:variant>
        <vt:i4>0</vt:i4>
      </vt:variant>
      <vt:variant>
        <vt:i4>5</vt:i4>
      </vt:variant>
      <vt:variant>
        <vt:lpwstr>https://niwa.co.nz/freshwater/research-projects/the-new-zealand-estuary-trophic-index</vt:lpwstr>
      </vt:variant>
      <vt:variant>
        <vt:lpwstr/>
      </vt:variant>
      <vt:variant>
        <vt:i4>4063347</vt:i4>
      </vt:variant>
      <vt:variant>
        <vt:i4>345</vt:i4>
      </vt:variant>
      <vt:variant>
        <vt:i4>0</vt:i4>
      </vt:variant>
      <vt:variant>
        <vt:i4>5</vt:i4>
      </vt:variant>
      <vt:variant>
        <vt:lpwstr/>
      </vt:variant>
      <vt:variant>
        <vt:lpwstr>table3</vt:lpwstr>
      </vt:variant>
      <vt:variant>
        <vt:i4>3407919</vt:i4>
      </vt:variant>
      <vt:variant>
        <vt:i4>342</vt:i4>
      </vt:variant>
      <vt:variant>
        <vt:i4>0</vt:i4>
      </vt:variant>
      <vt:variant>
        <vt:i4>5</vt:i4>
      </vt:variant>
      <vt:variant>
        <vt:lpwstr>https://data.mfe.govt.nz/table/107868-nz-freshwater-nutrient-and-biomass-measurements-for-periphyton-2012-2020/</vt:lpwstr>
      </vt:variant>
      <vt:variant>
        <vt:lpwstr/>
      </vt:variant>
      <vt:variant>
        <vt:i4>7864437</vt:i4>
      </vt:variant>
      <vt:variant>
        <vt:i4>339</vt:i4>
      </vt:variant>
      <vt:variant>
        <vt:i4>0</vt:i4>
      </vt:variant>
      <vt:variant>
        <vt:i4>5</vt:i4>
      </vt:variant>
      <vt:variant>
        <vt:lpwstr>https://environment.govt.nz/publications/derivation-of-nutrient-criteria-for-periphyton-biomass-objectives/</vt:lpwstr>
      </vt:variant>
      <vt:variant>
        <vt:lpwstr/>
      </vt:variant>
      <vt:variant>
        <vt:i4>8192049</vt:i4>
      </vt:variant>
      <vt:variant>
        <vt:i4>336</vt:i4>
      </vt:variant>
      <vt:variant>
        <vt:i4>0</vt:i4>
      </vt:variant>
      <vt:variant>
        <vt:i4>5</vt:i4>
      </vt:variant>
      <vt:variant>
        <vt:lpwstr>https://environment.govt.nz/publications/guidance-on-look-up-tables-for-setting-nutrient-targets-for-periphyton-second-edition/</vt:lpwstr>
      </vt:variant>
      <vt:variant>
        <vt:lpwstr/>
      </vt:variant>
      <vt:variant>
        <vt:i4>3014763</vt:i4>
      </vt:variant>
      <vt:variant>
        <vt:i4>332</vt:i4>
      </vt:variant>
      <vt:variant>
        <vt:i4>0</vt:i4>
      </vt:variant>
      <vt:variant>
        <vt:i4>5</vt:i4>
      </vt:variant>
      <vt:variant>
        <vt:lpwstr>https://environment.govt.nz/publications/setting-instream-nutrient-concentration-thresholds-for-nutrient-affected-attributes-in-rivers/</vt:lpwstr>
      </vt:variant>
      <vt:variant>
        <vt:lpwstr/>
      </vt:variant>
      <vt:variant>
        <vt:i4>1638475</vt:i4>
      </vt:variant>
      <vt:variant>
        <vt:i4>330</vt:i4>
      </vt:variant>
      <vt:variant>
        <vt:i4>0</vt:i4>
      </vt:variant>
      <vt:variant>
        <vt:i4>5</vt:i4>
      </vt:variant>
      <vt:variant>
        <vt:lpwstr>https://environment.govt.nz/assets/publications/freshwater-policy/Instream-Nutrients-ME-1662-FINAL-V3.pdf</vt:lpwstr>
      </vt:variant>
      <vt:variant>
        <vt:lpwstr/>
      </vt:variant>
      <vt:variant>
        <vt:i4>4063347</vt:i4>
      </vt:variant>
      <vt:variant>
        <vt:i4>327</vt:i4>
      </vt:variant>
      <vt:variant>
        <vt:i4>0</vt:i4>
      </vt:variant>
      <vt:variant>
        <vt:i4>5</vt:i4>
      </vt:variant>
      <vt:variant>
        <vt:lpwstr/>
      </vt:variant>
      <vt:variant>
        <vt:lpwstr>table3</vt:lpwstr>
      </vt:variant>
      <vt:variant>
        <vt:i4>1179684</vt:i4>
      </vt:variant>
      <vt:variant>
        <vt:i4>315</vt:i4>
      </vt:variant>
      <vt:variant>
        <vt:i4>0</vt:i4>
      </vt:variant>
      <vt:variant>
        <vt:i4>5</vt:i4>
      </vt:variant>
      <vt:variant>
        <vt:lpwstr/>
      </vt:variant>
      <vt:variant>
        <vt:lpwstr>_3.3.6._Periphyton_and</vt:lpwstr>
      </vt:variant>
      <vt:variant>
        <vt:i4>3276923</vt:i4>
      </vt:variant>
      <vt:variant>
        <vt:i4>312</vt:i4>
      </vt:variant>
      <vt:variant>
        <vt:i4>0</vt:i4>
      </vt:variant>
      <vt:variant>
        <vt:i4>5</vt:i4>
      </vt:variant>
      <vt:variant>
        <vt:lpwstr>https://environment.govt.nz/publications/freshwater-science-and-technical-advisory-group-supplementary-report-to-the-minister-for-the-environment/</vt:lpwstr>
      </vt:variant>
      <vt:variant>
        <vt:lpwstr/>
      </vt:variant>
      <vt:variant>
        <vt:i4>4587605</vt:i4>
      </vt:variant>
      <vt:variant>
        <vt:i4>309</vt:i4>
      </vt:variant>
      <vt:variant>
        <vt:i4>0</vt:i4>
      </vt:variant>
      <vt:variant>
        <vt:i4>5</vt:i4>
      </vt:variant>
      <vt:variant>
        <vt:lpwstr>https://environment.govt.nz/publications/freshwater-science-and-technical-advisory-group-report-to-the-minister-for-the-environment/</vt:lpwstr>
      </vt:variant>
      <vt:variant>
        <vt:lpwstr/>
      </vt:variant>
      <vt:variant>
        <vt:i4>3276923</vt:i4>
      </vt:variant>
      <vt:variant>
        <vt:i4>306</vt:i4>
      </vt:variant>
      <vt:variant>
        <vt:i4>0</vt:i4>
      </vt:variant>
      <vt:variant>
        <vt:i4>5</vt:i4>
      </vt:variant>
      <vt:variant>
        <vt:lpwstr>https://environment.govt.nz/publications/freshwater-science-and-technical-advisory-group-supplementary-report-to-the-minister-for-the-environment/</vt:lpwstr>
      </vt:variant>
      <vt:variant>
        <vt:lpwstr/>
      </vt:variant>
      <vt:variant>
        <vt:i4>3276923</vt:i4>
      </vt:variant>
      <vt:variant>
        <vt:i4>300</vt:i4>
      </vt:variant>
      <vt:variant>
        <vt:i4>0</vt:i4>
      </vt:variant>
      <vt:variant>
        <vt:i4>5</vt:i4>
      </vt:variant>
      <vt:variant>
        <vt:lpwstr>https://environment.govt.nz/publications/freshwater-science-and-technical-advisory-group-supplementary-report-to-the-minister-for-the-environment/</vt:lpwstr>
      </vt:variant>
      <vt:variant>
        <vt:lpwstr/>
      </vt:variant>
      <vt:variant>
        <vt:i4>8126489</vt:i4>
      </vt:variant>
      <vt:variant>
        <vt:i4>297</vt:i4>
      </vt:variant>
      <vt:variant>
        <vt:i4>0</vt:i4>
      </vt:variant>
      <vt:variant>
        <vt:i4>5</vt:i4>
      </vt:variant>
      <vt:variant>
        <vt:lpwstr/>
      </vt:variant>
      <vt:variant>
        <vt:lpwstr>_3.4.5__Estuaries</vt:lpwstr>
      </vt:variant>
      <vt:variant>
        <vt:i4>8192049</vt:i4>
      </vt:variant>
      <vt:variant>
        <vt:i4>294</vt:i4>
      </vt:variant>
      <vt:variant>
        <vt:i4>0</vt:i4>
      </vt:variant>
      <vt:variant>
        <vt:i4>5</vt:i4>
      </vt:variant>
      <vt:variant>
        <vt:lpwstr>https://environment.govt.nz/publications/guidance-on-look-up-tables-for-setting-nutrient-targets-for-periphyton-second-edition/</vt:lpwstr>
      </vt:variant>
      <vt:variant>
        <vt:lpwstr/>
      </vt:variant>
      <vt:variant>
        <vt:i4>7864437</vt:i4>
      </vt:variant>
      <vt:variant>
        <vt:i4>291</vt:i4>
      </vt:variant>
      <vt:variant>
        <vt:i4>0</vt:i4>
      </vt:variant>
      <vt:variant>
        <vt:i4>5</vt:i4>
      </vt:variant>
      <vt:variant>
        <vt:lpwstr>https://environment.govt.nz/publications/derivation-of-nutrient-criteria-for-periphyton-biomass-objectives/</vt:lpwstr>
      </vt:variant>
      <vt:variant>
        <vt:lpwstr/>
      </vt:variant>
      <vt:variant>
        <vt:i4>1179684</vt:i4>
      </vt:variant>
      <vt:variant>
        <vt:i4>288</vt:i4>
      </vt:variant>
      <vt:variant>
        <vt:i4>0</vt:i4>
      </vt:variant>
      <vt:variant>
        <vt:i4>5</vt:i4>
      </vt:variant>
      <vt:variant>
        <vt:lpwstr/>
      </vt:variant>
      <vt:variant>
        <vt:lpwstr>_3.3.6._Periphyton_and</vt:lpwstr>
      </vt:variant>
      <vt:variant>
        <vt:i4>7929874</vt:i4>
      </vt:variant>
      <vt:variant>
        <vt:i4>282</vt:i4>
      </vt:variant>
      <vt:variant>
        <vt:i4>0</vt:i4>
      </vt:variant>
      <vt:variant>
        <vt:i4>5</vt:i4>
      </vt:variant>
      <vt:variant>
        <vt:lpwstr/>
      </vt:variant>
      <vt:variant>
        <vt:lpwstr>_3.3.5__STAG</vt:lpwstr>
      </vt:variant>
      <vt:variant>
        <vt:i4>1835124</vt:i4>
      </vt:variant>
      <vt:variant>
        <vt:i4>279</vt:i4>
      </vt:variant>
      <vt:variant>
        <vt:i4>0</vt:i4>
      </vt:variant>
      <vt:variant>
        <vt:i4>5</vt:i4>
      </vt:variant>
      <vt:variant>
        <vt:lpwstr/>
      </vt:variant>
      <vt:variant>
        <vt:lpwstr>_3.3.4__Options</vt:lpwstr>
      </vt:variant>
      <vt:variant>
        <vt:i4>8126480</vt:i4>
      </vt:variant>
      <vt:variant>
        <vt:i4>264</vt:i4>
      </vt:variant>
      <vt:variant>
        <vt:i4>0</vt:i4>
      </vt:variant>
      <vt:variant>
        <vt:i4>5</vt:i4>
      </vt:variant>
      <vt:variant>
        <vt:lpwstr/>
      </vt:variant>
      <vt:variant>
        <vt:lpwstr>_2.1.2__Nitrogen</vt:lpwstr>
      </vt:variant>
      <vt:variant>
        <vt:i4>8192049</vt:i4>
      </vt:variant>
      <vt:variant>
        <vt:i4>261</vt:i4>
      </vt:variant>
      <vt:variant>
        <vt:i4>0</vt:i4>
      </vt:variant>
      <vt:variant>
        <vt:i4>5</vt:i4>
      </vt:variant>
      <vt:variant>
        <vt:lpwstr>https://environment.govt.nz/publications/guidance-on-look-up-tables-for-setting-nutrient-targets-for-periphyton-second-edition/</vt:lpwstr>
      </vt:variant>
      <vt:variant>
        <vt:lpwstr/>
      </vt:variant>
      <vt:variant>
        <vt:i4>3014763</vt:i4>
      </vt:variant>
      <vt:variant>
        <vt:i4>258</vt:i4>
      </vt:variant>
      <vt:variant>
        <vt:i4>0</vt:i4>
      </vt:variant>
      <vt:variant>
        <vt:i4>5</vt:i4>
      </vt:variant>
      <vt:variant>
        <vt:lpwstr>https://environment.govt.nz/publications/setting-instream-nutrient-concentration-thresholds-for-nutrient-affected-attributes-in-rivers/</vt:lpwstr>
      </vt:variant>
      <vt:variant>
        <vt:lpwstr/>
      </vt:variant>
      <vt:variant>
        <vt:i4>6029378</vt:i4>
      </vt:variant>
      <vt:variant>
        <vt:i4>255</vt:i4>
      </vt:variant>
      <vt:variant>
        <vt:i4>0</vt:i4>
      </vt:variant>
      <vt:variant>
        <vt:i4>5</vt:i4>
      </vt:variant>
      <vt:variant>
        <vt:lpwstr>https://environment.govt.nz/publications/guidance-on-the-national-objectives-framework-of-the-nps-fm/</vt:lpwstr>
      </vt:variant>
      <vt:variant>
        <vt:lpwstr/>
      </vt:variant>
      <vt:variant>
        <vt:i4>4522033</vt:i4>
      </vt:variant>
      <vt:variant>
        <vt:i4>249</vt:i4>
      </vt:variant>
      <vt:variant>
        <vt:i4>0</vt:i4>
      </vt:variant>
      <vt:variant>
        <vt:i4>5</vt:i4>
      </vt:variant>
      <vt:variant>
        <vt:lpwstr/>
      </vt:variant>
      <vt:variant>
        <vt:lpwstr>_3.2__Relationship</vt:lpwstr>
      </vt:variant>
      <vt:variant>
        <vt:i4>3276881</vt:i4>
      </vt:variant>
      <vt:variant>
        <vt:i4>246</vt:i4>
      </vt:variant>
      <vt:variant>
        <vt:i4>0</vt:i4>
      </vt:variant>
      <vt:variant>
        <vt:i4>5</vt:i4>
      </vt:variant>
      <vt:variant>
        <vt:lpwstr/>
      </vt:variant>
      <vt:variant>
        <vt:lpwstr>_3.5__Reconciling</vt:lpwstr>
      </vt:variant>
      <vt:variant>
        <vt:i4>5898272</vt:i4>
      </vt:variant>
      <vt:variant>
        <vt:i4>243</vt:i4>
      </vt:variant>
      <vt:variant>
        <vt:i4>0</vt:i4>
      </vt:variant>
      <vt:variant>
        <vt:i4>5</vt:i4>
      </vt:variant>
      <vt:variant>
        <vt:lpwstr/>
      </vt:variant>
      <vt:variant>
        <vt:lpwstr>_3.4__Deriving</vt:lpwstr>
      </vt:variant>
      <vt:variant>
        <vt:i4>7929971</vt:i4>
      </vt:variant>
      <vt:variant>
        <vt:i4>237</vt:i4>
      </vt:variant>
      <vt:variant>
        <vt:i4>0</vt:i4>
      </vt:variant>
      <vt:variant>
        <vt:i4>5</vt:i4>
      </vt:variant>
      <vt:variant>
        <vt:lpwstr/>
      </vt:variant>
      <vt:variant>
        <vt:lpwstr>figure3</vt:lpwstr>
      </vt:variant>
      <vt:variant>
        <vt:i4>6029378</vt:i4>
      </vt:variant>
      <vt:variant>
        <vt:i4>234</vt:i4>
      </vt:variant>
      <vt:variant>
        <vt:i4>0</vt:i4>
      </vt:variant>
      <vt:variant>
        <vt:i4>5</vt:i4>
      </vt:variant>
      <vt:variant>
        <vt:lpwstr>https://environment.govt.nz/publications/guidance-on-the-national-objectives-framework-of-the-nps-fm/</vt:lpwstr>
      </vt:variant>
      <vt:variant>
        <vt:lpwstr/>
      </vt:variant>
      <vt:variant>
        <vt:i4>3014763</vt:i4>
      </vt:variant>
      <vt:variant>
        <vt:i4>231</vt:i4>
      </vt:variant>
      <vt:variant>
        <vt:i4>0</vt:i4>
      </vt:variant>
      <vt:variant>
        <vt:i4>5</vt:i4>
      </vt:variant>
      <vt:variant>
        <vt:lpwstr>https://environment.govt.nz/publications/setting-instream-nutrient-concentration-thresholds-for-nutrient-affected-attributes-in-rivers/</vt:lpwstr>
      </vt:variant>
      <vt:variant>
        <vt:lpwstr/>
      </vt:variant>
      <vt:variant>
        <vt:i4>8192049</vt:i4>
      </vt:variant>
      <vt:variant>
        <vt:i4>228</vt:i4>
      </vt:variant>
      <vt:variant>
        <vt:i4>0</vt:i4>
      </vt:variant>
      <vt:variant>
        <vt:i4>5</vt:i4>
      </vt:variant>
      <vt:variant>
        <vt:lpwstr>https://environment.govt.nz/publications/guidance-on-look-up-tables-for-setting-nutrient-targets-for-periphyton-second-edition/</vt:lpwstr>
      </vt:variant>
      <vt:variant>
        <vt:lpwstr/>
      </vt:variant>
      <vt:variant>
        <vt:i4>1245309</vt:i4>
      </vt:variant>
      <vt:variant>
        <vt:i4>225</vt:i4>
      </vt:variant>
      <vt:variant>
        <vt:i4>0</vt:i4>
      </vt:variant>
      <vt:variant>
        <vt:i4>5</vt:i4>
      </vt:variant>
      <vt:variant>
        <vt:lpwstr/>
      </vt:variant>
      <vt:variant>
        <vt:lpwstr>_3_Implementing_clause</vt:lpwstr>
      </vt:variant>
      <vt:variant>
        <vt:i4>3932245</vt:i4>
      </vt:variant>
      <vt:variant>
        <vt:i4>222</vt:i4>
      </vt:variant>
      <vt:variant>
        <vt:i4>0</vt:i4>
      </vt:variant>
      <vt:variant>
        <vt:i4>5</vt:i4>
      </vt:variant>
      <vt:variant>
        <vt:lpwstr/>
      </vt:variant>
      <vt:variant>
        <vt:lpwstr>_3.1__General</vt:lpwstr>
      </vt:variant>
      <vt:variant>
        <vt:i4>3014763</vt:i4>
      </vt:variant>
      <vt:variant>
        <vt:i4>219</vt:i4>
      </vt:variant>
      <vt:variant>
        <vt:i4>0</vt:i4>
      </vt:variant>
      <vt:variant>
        <vt:i4>5</vt:i4>
      </vt:variant>
      <vt:variant>
        <vt:lpwstr>https://environment.govt.nz/publications/setting-instream-nutrient-concentration-thresholds-for-nutrient-affected-attributes-in-rivers/</vt:lpwstr>
      </vt:variant>
      <vt:variant>
        <vt:lpwstr/>
      </vt:variant>
      <vt:variant>
        <vt:i4>1507428</vt:i4>
      </vt:variant>
      <vt:variant>
        <vt:i4>216</vt:i4>
      </vt:variant>
      <vt:variant>
        <vt:i4>0</vt:i4>
      </vt:variant>
      <vt:variant>
        <vt:i4>5</vt:i4>
      </vt:variant>
      <vt:variant>
        <vt:lpwstr/>
      </vt:variant>
      <vt:variant>
        <vt:lpwstr>_3.3.6__Periphyton</vt:lpwstr>
      </vt:variant>
      <vt:variant>
        <vt:i4>3014763</vt:i4>
      </vt:variant>
      <vt:variant>
        <vt:i4>213</vt:i4>
      </vt:variant>
      <vt:variant>
        <vt:i4>0</vt:i4>
      </vt:variant>
      <vt:variant>
        <vt:i4>5</vt:i4>
      </vt:variant>
      <vt:variant>
        <vt:lpwstr>https://environment.govt.nz/publications/setting-instream-nutrient-concentration-thresholds-for-nutrient-affected-attributes-in-rivers/</vt:lpwstr>
      </vt:variant>
      <vt:variant>
        <vt:lpwstr/>
      </vt:variant>
      <vt:variant>
        <vt:i4>6094880</vt:i4>
      </vt:variant>
      <vt:variant>
        <vt:i4>210</vt:i4>
      </vt:variant>
      <vt:variant>
        <vt:i4>0</vt:i4>
      </vt:variant>
      <vt:variant>
        <vt:i4>5</vt:i4>
      </vt:variant>
      <vt:variant>
        <vt:lpwstr/>
      </vt:variant>
      <vt:variant>
        <vt:lpwstr>_3.3__Deriving</vt:lpwstr>
      </vt:variant>
      <vt:variant>
        <vt:i4>6029378</vt:i4>
      </vt:variant>
      <vt:variant>
        <vt:i4>207</vt:i4>
      </vt:variant>
      <vt:variant>
        <vt:i4>0</vt:i4>
      </vt:variant>
      <vt:variant>
        <vt:i4>5</vt:i4>
      </vt:variant>
      <vt:variant>
        <vt:lpwstr>https://environment.govt.nz/publications/guidance-on-the-national-objectives-framework-of-the-nps-fm/</vt:lpwstr>
      </vt:variant>
      <vt:variant>
        <vt:lpwstr/>
      </vt:variant>
      <vt:variant>
        <vt:i4>2359335</vt:i4>
      </vt:variant>
      <vt:variant>
        <vt:i4>204</vt:i4>
      </vt:variant>
      <vt:variant>
        <vt:i4>0</vt:i4>
      </vt:variant>
      <vt:variant>
        <vt:i4>5</vt:i4>
      </vt:variant>
      <vt:variant>
        <vt:lpwstr>https://environment.govt.nz/publications/mahinga-kai-kete/</vt:lpwstr>
      </vt:variant>
      <vt:variant>
        <vt:lpwstr/>
      </vt:variant>
      <vt:variant>
        <vt:i4>3735668</vt:i4>
      </vt:variant>
      <vt:variant>
        <vt:i4>201</vt:i4>
      </vt:variant>
      <vt:variant>
        <vt:i4>0</vt:i4>
      </vt:variant>
      <vt:variant>
        <vt:i4>5</vt:i4>
      </vt:variant>
      <vt:variant>
        <vt:lpwstr>https://environment.govt.nz/publications/guidance-for-implementing-the-npsfm-sediment-requirements/</vt:lpwstr>
      </vt:variant>
      <vt:variant>
        <vt:lpwstr/>
      </vt:variant>
      <vt:variant>
        <vt:i4>3014763</vt:i4>
      </vt:variant>
      <vt:variant>
        <vt:i4>197</vt:i4>
      </vt:variant>
      <vt:variant>
        <vt:i4>0</vt:i4>
      </vt:variant>
      <vt:variant>
        <vt:i4>5</vt:i4>
      </vt:variant>
      <vt:variant>
        <vt:lpwstr>https://environment.govt.nz/publications/setting-instream-nutrient-concentration-thresholds-for-nutrient-affected-attributes-in-rivers/</vt:lpwstr>
      </vt:variant>
      <vt:variant>
        <vt:lpwstr/>
      </vt:variant>
      <vt:variant>
        <vt:i4>3014763</vt:i4>
      </vt:variant>
      <vt:variant>
        <vt:i4>195</vt:i4>
      </vt:variant>
      <vt:variant>
        <vt:i4>0</vt:i4>
      </vt:variant>
      <vt:variant>
        <vt:i4>5</vt:i4>
      </vt:variant>
      <vt:variant>
        <vt:lpwstr>https://environment.govt.nz/publications/setting-instream-nutrient-concentration-thresholds-for-nutrient-affected-attributes-in-rivers/</vt:lpwstr>
      </vt:variant>
      <vt:variant>
        <vt:lpwstr/>
      </vt:variant>
      <vt:variant>
        <vt:i4>8192049</vt:i4>
      </vt:variant>
      <vt:variant>
        <vt:i4>192</vt:i4>
      </vt:variant>
      <vt:variant>
        <vt:i4>0</vt:i4>
      </vt:variant>
      <vt:variant>
        <vt:i4>5</vt:i4>
      </vt:variant>
      <vt:variant>
        <vt:lpwstr>https://environment.govt.nz/publications/guidance-on-look-up-tables-for-setting-nutrient-targets-for-periphyton-second-edition/</vt:lpwstr>
      </vt:variant>
      <vt:variant>
        <vt:lpwstr/>
      </vt:variant>
      <vt:variant>
        <vt:i4>6029378</vt:i4>
      </vt:variant>
      <vt:variant>
        <vt:i4>189</vt:i4>
      </vt:variant>
      <vt:variant>
        <vt:i4>0</vt:i4>
      </vt:variant>
      <vt:variant>
        <vt:i4>5</vt:i4>
      </vt:variant>
      <vt:variant>
        <vt:lpwstr>https://environment.govt.nz/publications/guidance-on-the-national-objectives-framework-of-the-nps-fm/</vt:lpwstr>
      </vt:variant>
      <vt:variant>
        <vt:lpwstr/>
      </vt:variant>
      <vt:variant>
        <vt:i4>6684718</vt:i4>
      </vt:variant>
      <vt:variant>
        <vt:i4>186</vt:i4>
      </vt:variant>
      <vt:variant>
        <vt:i4>0</vt:i4>
      </vt:variant>
      <vt:variant>
        <vt:i4>5</vt:i4>
      </vt:variant>
      <vt:variant>
        <vt:lpwstr>https://environment.govt.nz/acts-and-regulations/freshwater-implementation-guidance/factsheets-on-policies-and-regulations-in-the-essential-freshwater-package/</vt:lpwstr>
      </vt:variant>
      <vt:variant>
        <vt:lpwstr/>
      </vt:variant>
      <vt:variant>
        <vt:i4>6488119</vt:i4>
      </vt:variant>
      <vt:variant>
        <vt:i4>183</vt:i4>
      </vt:variant>
      <vt:variant>
        <vt:i4>0</vt:i4>
      </vt:variant>
      <vt:variant>
        <vt:i4>5</vt:i4>
      </vt:variant>
      <vt:variant>
        <vt:lpwstr>https://environment.govt.nz/what-government-is-doing/areas-of-work/freshwater/work-programme/supporting-evidence-for-government-freshwater-work-programme/science-and-technical-advisory-group/</vt:lpwstr>
      </vt:variant>
      <vt:variant>
        <vt:lpwstr/>
      </vt:variant>
      <vt:variant>
        <vt:i4>3014763</vt:i4>
      </vt:variant>
      <vt:variant>
        <vt:i4>177</vt:i4>
      </vt:variant>
      <vt:variant>
        <vt:i4>0</vt:i4>
      </vt:variant>
      <vt:variant>
        <vt:i4>5</vt:i4>
      </vt:variant>
      <vt:variant>
        <vt:lpwstr>https://environment.govt.nz/publications/setting-instream-nutrient-concentration-thresholds-for-nutrient-affected-attributes-in-rivers/</vt:lpwstr>
      </vt:variant>
      <vt:variant>
        <vt:lpwstr/>
      </vt:variant>
      <vt:variant>
        <vt:i4>8192049</vt:i4>
      </vt:variant>
      <vt:variant>
        <vt:i4>174</vt:i4>
      </vt:variant>
      <vt:variant>
        <vt:i4>0</vt:i4>
      </vt:variant>
      <vt:variant>
        <vt:i4>5</vt:i4>
      </vt:variant>
      <vt:variant>
        <vt:lpwstr>https://environment.govt.nz/publications/guidance-on-look-up-tables-for-setting-nutrient-targets-for-periphyton-second-edition/</vt:lpwstr>
      </vt:variant>
      <vt:variant>
        <vt:lpwstr/>
      </vt:variant>
      <vt:variant>
        <vt:i4>6029378</vt:i4>
      </vt:variant>
      <vt:variant>
        <vt:i4>171</vt:i4>
      </vt:variant>
      <vt:variant>
        <vt:i4>0</vt:i4>
      </vt:variant>
      <vt:variant>
        <vt:i4>5</vt:i4>
      </vt:variant>
      <vt:variant>
        <vt:lpwstr>https://environment.govt.nz/publications/guidance-on-the-national-objectives-framework-of-the-nps-fm/</vt:lpwstr>
      </vt:variant>
      <vt:variant>
        <vt:lpwstr/>
      </vt:variant>
      <vt:variant>
        <vt:i4>1310781</vt:i4>
      </vt:variant>
      <vt:variant>
        <vt:i4>161</vt:i4>
      </vt:variant>
      <vt:variant>
        <vt:i4>0</vt:i4>
      </vt:variant>
      <vt:variant>
        <vt:i4>5</vt:i4>
      </vt:variant>
      <vt:variant>
        <vt:lpwstr/>
      </vt:variant>
      <vt:variant>
        <vt:lpwstr>_Toc142661808</vt:lpwstr>
      </vt:variant>
      <vt:variant>
        <vt:i4>1310781</vt:i4>
      </vt:variant>
      <vt:variant>
        <vt:i4>155</vt:i4>
      </vt:variant>
      <vt:variant>
        <vt:i4>0</vt:i4>
      </vt:variant>
      <vt:variant>
        <vt:i4>5</vt:i4>
      </vt:variant>
      <vt:variant>
        <vt:lpwstr/>
      </vt:variant>
      <vt:variant>
        <vt:lpwstr>_Toc142661807</vt:lpwstr>
      </vt:variant>
      <vt:variant>
        <vt:i4>1310781</vt:i4>
      </vt:variant>
      <vt:variant>
        <vt:i4>149</vt:i4>
      </vt:variant>
      <vt:variant>
        <vt:i4>0</vt:i4>
      </vt:variant>
      <vt:variant>
        <vt:i4>5</vt:i4>
      </vt:variant>
      <vt:variant>
        <vt:lpwstr/>
      </vt:variant>
      <vt:variant>
        <vt:lpwstr>_Toc142661806</vt:lpwstr>
      </vt:variant>
      <vt:variant>
        <vt:i4>1310781</vt:i4>
      </vt:variant>
      <vt:variant>
        <vt:i4>143</vt:i4>
      </vt:variant>
      <vt:variant>
        <vt:i4>0</vt:i4>
      </vt:variant>
      <vt:variant>
        <vt:i4>5</vt:i4>
      </vt:variant>
      <vt:variant>
        <vt:lpwstr/>
      </vt:variant>
      <vt:variant>
        <vt:lpwstr>_Toc142661805</vt:lpwstr>
      </vt:variant>
      <vt:variant>
        <vt:i4>1310781</vt:i4>
      </vt:variant>
      <vt:variant>
        <vt:i4>137</vt:i4>
      </vt:variant>
      <vt:variant>
        <vt:i4>0</vt:i4>
      </vt:variant>
      <vt:variant>
        <vt:i4>5</vt:i4>
      </vt:variant>
      <vt:variant>
        <vt:lpwstr/>
      </vt:variant>
      <vt:variant>
        <vt:lpwstr>_Toc142661804</vt:lpwstr>
      </vt:variant>
      <vt:variant>
        <vt:i4>1310781</vt:i4>
      </vt:variant>
      <vt:variant>
        <vt:i4>131</vt:i4>
      </vt:variant>
      <vt:variant>
        <vt:i4>0</vt:i4>
      </vt:variant>
      <vt:variant>
        <vt:i4>5</vt:i4>
      </vt:variant>
      <vt:variant>
        <vt:lpwstr/>
      </vt:variant>
      <vt:variant>
        <vt:lpwstr>_Toc142661803</vt:lpwstr>
      </vt:variant>
      <vt:variant>
        <vt:i4>1900594</vt:i4>
      </vt:variant>
      <vt:variant>
        <vt:i4>122</vt:i4>
      </vt:variant>
      <vt:variant>
        <vt:i4>0</vt:i4>
      </vt:variant>
      <vt:variant>
        <vt:i4>5</vt:i4>
      </vt:variant>
      <vt:variant>
        <vt:lpwstr/>
      </vt:variant>
      <vt:variant>
        <vt:lpwstr>_Toc142661795</vt:lpwstr>
      </vt:variant>
      <vt:variant>
        <vt:i4>1900594</vt:i4>
      </vt:variant>
      <vt:variant>
        <vt:i4>116</vt:i4>
      </vt:variant>
      <vt:variant>
        <vt:i4>0</vt:i4>
      </vt:variant>
      <vt:variant>
        <vt:i4>5</vt:i4>
      </vt:variant>
      <vt:variant>
        <vt:lpwstr/>
      </vt:variant>
      <vt:variant>
        <vt:lpwstr>_Toc142661794</vt:lpwstr>
      </vt:variant>
      <vt:variant>
        <vt:i4>1900594</vt:i4>
      </vt:variant>
      <vt:variant>
        <vt:i4>110</vt:i4>
      </vt:variant>
      <vt:variant>
        <vt:i4>0</vt:i4>
      </vt:variant>
      <vt:variant>
        <vt:i4>5</vt:i4>
      </vt:variant>
      <vt:variant>
        <vt:lpwstr/>
      </vt:variant>
      <vt:variant>
        <vt:lpwstr>_Toc142661793</vt:lpwstr>
      </vt:variant>
      <vt:variant>
        <vt:i4>1376304</vt:i4>
      </vt:variant>
      <vt:variant>
        <vt:i4>101</vt:i4>
      </vt:variant>
      <vt:variant>
        <vt:i4>0</vt:i4>
      </vt:variant>
      <vt:variant>
        <vt:i4>5</vt:i4>
      </vt:variant>
      <vt:variant>
        <vt:lpwstr/>
      </vt:variant>
      <vt:variant>
        <vt:lpwstr>_Toc143077515</vt:lpwstr>
      </vt:variant>
      <vt:variant>
        <vt:i4>1376304</vt:i4>
      </vt:variant>
      <vt:variant>
        <vt:i4>95</vt:i4>
      </vt:variant>
      <vt:variant>
        <vt:i4>0</vt:i4>
      </vt:variant>
      <vt:variant>
        <vt:i4>5</vt:i4>
      </vt:variant>
      <vt:variant>
        <vt:lpwstr/>
      </vt:variant>
      <vt:variant>
        <vt:lpwstr>_Toc143077514</vt:lpwstr>
      </vt:variant>
      <vt:variant>
        <vt:i4>1376304</vt:i4>
      </vt:variant>
      <vt:variant>
        <vt:i4>89</vt:i4>
      </vt:variant>
      <vt:variant>
        <vt:i4>0</vt:i4>
      </vt:variant>
      <vt:variant>
        <vt:i4>5</vt:i4>
      </vt:variant>
      <vt:variant>
        <vt:lpwstr/>
      </vt:variant>
      <vt:variant>
        <vt:lpwstr>_Toc143077513</vt:lpwstr>
      </vt:variant>
      <vt:variant>
        <vt:i4>1376304</vt:i4>
      </vt:variant>
      <vt:variant>
        <vt:i4>83</vt:i4>
      </vt:variant>
      <vt:variant>
        <vt:i4>0</vt:i4>
      </vt:variant>
      <vt:variant>
        <vt:i4>5</vt:i4>
      </vt:variant>
      <vt:variant>
        <vt:lpwstr/>
      </vt:variant>
      <vt:variant>
        <vt:lpwstr>_Toc143077512</vt:lpwstr>
      </vt:variant>
      <vt:variant>
        <vt:i4>1376304</vt:i4>
      </vt:variant>
      <vt:variant>
        <vt:i4>77</vt:i4>
      </vt:variant>
      <vt:variant>
        <vt:i4>0</vt:i4>
      </vt:variant>
      <vt:variant>
        <vt:i4>5</vt:i4>
      </vt:variant>
      <vt:variant>
        <vt:lpwstr/>
      </vt:variant>
      <vt:variant>
        <vt:lpwstr>_Toc143077511</vt:lpwstr>
      </vt:variant>
      <vt:variant>
        <vt:i4>1376304</vt:i4>
      </vt:variant>
      <vt:variant>
        <vt:i4>71</vt:i4>
      </vt:variant>
      <vt:variant>
        <vt:i4>0</vt:i4>
      </vt:variant>
      <vt:variant>
        <vt:i4>5</vt:i4>
      </vt:variant>
      <vt:variant>
        <vt:lpwstr/>
      </vt:variant>
      <vt:variant>
        <vt:lpwstr>_Toc143077510</vt:lpwstr>
      </vt:variant>
      <vt:variant>
        <vt:i4>1310768</vt:i4>
      </vt:variant>
      <vt:variant>
        <vt:i4>65</vt:i4>
      </vt:variant>
      <vt:variant>
        <vt:i4>0</vt:i4>
      </vt:variant>
      <vt:variant>
        <vt:i4>5</vt:i4>
      </vt:variant>
      <vt:variant>
        <vt:lpwstr/>
      </vt:variant>
      <vt:variant>
        <vt:lpwstr>_Toc143077509</vt:lpwstr>
      </vt:variant>
      <vt:variant>
        <vt:i4>1310768</vt:i4>
      </vt:variant>
      <vt:variant>
        <vt:i4>59</vt:i4>
      </vt:variant>
      <vt:variant>
        <vt:i4>0</vt:i4>
      </vt:variant>
      <vt:variant>
        <vt:i4>5</vt:i4>
      </vt:variant>
      <vt:variant>
        <vt:lpwstr/>
      </vt:variant>
      <vt:variant>
        <vt:lpwstr>_Toc143077508</vt:lpwstr>
      </vt:variant>
      <vt:variant>
        <vt:i4>1310768</vt:i4>
      </vt:variant>
      <vt:variant>
        <vt:i4>53</vt:i4>
      </vt:variant>
      <vt:variant>
        <vt:i4>0</vt:i4>
      </vt:variant>
      <vt:variant>
        <vt:i4>5</vt:i4>
      </vt:variant>
      <vt:variant>
        <vt:lpwstr/>
      </vt:variant>
      <vt:variant>
        <vt:lpwstr>_Toc143077507</vt:lpwstr>
      </vt:variant>
      <vt:variant>
        <vt:i4>1310768</vt:i4>
      </vt:variant>
      <vt:variant>
        <vt:i4>47</vt:i4>
      </vt:variant>
      <vt:variant>
        <vt:i4>0</vt:i4>
      </vt:variant>
      <vt:variant>
        <vt:i4>5</vt:i4>
      </vt:variant>
      <vt:variant>
        <vt:lpwstr/>
      </vt:variant>
      <vt:variant>
        <vt:lpwstr>_Toc143077506</vt:lpwstr>
      </vt:variant>
      <vt:variant>
        <vt:i4>1310768</vt:i4>
      </vt:variant>
      <vt:variant>
        <vt:i4>41</vt:i4>
      </vt:variant>
      <vt:variant>
        <vt:i4>0</vt:i4>
      </vt:variant>
      <vt:variant>
        <vt:i4>5</vt:i4>
      </vt:variant>
      <vt:variant>
        <vt:lpwstr/>
      </vt:variant>
      <vt:variant>
        <vt:lpwstr>_Toc143077505</vt:lpwstr>
      </vt:variant>
      <vt:variant>
        <vt:i4>1310768</vt:i4>
      </vt:variant>
      <vt:variant>
        <vt:i4>35</vt:i4>
      </vt:variant>
      <vt:variant>
        <vt:i4>0</vt:i4>
      </vt:variant>
      <vt:variant>
        <vt:i4>5</vt:i4>
      </vt:variant>
      <vt:variant>
        <vt:lpwstr/>
      </vt:variant>
      <vt:variant>
        <vt:lpwstr>_Toc143077504</vt:lpwstr>
      </vt:variant>
      <vt:variant>
        <vt:i4>1310768</vt:i4>
      </vt:variant>
      <vt:variant>
        <vt:i4>29</vt:i4>
      </vt:variant>
      <vt:variant>
        <vt:i4>0</vt:i4>
      </vt:variant>
      <vt:variant>
        <vt:i4>5</vt:i4>
      </vt:variant>
      <vt:variant>
        <vt:lpwstr/>
      </vt:variant>
      <vt:variant>
        <vt:lpwstr>_Toc143077503</vt:lpwstr>
      </vt:variant>
      <vt:variant>
        <vt:i4>1310768</vt:i4>
      </vt:variant>
      <vt:variant>
        <vt:i4>23</vt:i4>
      </vt:variant>
      <vt:variant>
        <vt:i4>0</vt:i4>
      </vt:variant>
      <vt:variant>
        <vt:i4>5</vt:i4>
      </vt:variant>
      <vt:variant>
        <vt:lpwstr/>
      </vt:variant>
      <vt:variant>
        <vt:lpwstr>_Toc143077502</vt:lpwstr>
      </vt:variant>
      <vt:variant>
        <vt:i4>1310768</vt:i4>
      </vt:variant>
      <vt:variant>
        <vt:i4>17</vt:i4>
      </vt:variant>
      <vt:variant>
        <vt:i4>0</vt:i4>
      </vt:variant>
      <vt:variant>
        <vt:i4>5</vt:i4>
      </vt:variant>
      <vt:variant>
        <vt:lpwstr/>
      </vt:variant>
      <vt:variant>
        <vt:lpwstr>_Toc143077501</vt:lpwstr>
      </vt:variant>
      <vt:variant>
        <vt:i4>1310768</vt:i4>
      </vt:variant>
      <vt:variant>
        <vt:i4>11</vt:i4>
      </vt:variant>
      <vt:variant>
        <vt:i4>0</vt:i4>
      </vt:variant>
      <vt:variant>
        <vt:i4>5</vt:i4>
      </vt:variant>
      <vt:variant>
        <vt:lpwstr/>
      </vt:variant>
      <vt:variant>
        <vt:lpwstr>_Toc143077500</vt:lpwstr>
      </vt:variant>
      <vt:variant>
        <vt:i4>1900593</vt:i4>
      </vt:variant>
      <vt:variant>
        <vt:i4>5</vt:i4>
      </vt:variant>
      <vt:variant>
        <vt:i4>0</vt:i4>
      </vt:variant>
      <vt:variant>
        <vt:i4>5</vt:i4>
      </vt:variant>
      <vt:variant>
        <vt:lpwstr/>
      </vt:variant>
      <vt:variant>
        <vt:lpwstr>_Toc143077499</vt:lpwstr>
      </vt:variant>
      <vt:variant>
        <vt:i4>7340128</vt:i4>
      </vt:variant>
      <vt:variant>
        <vt:i4>0</vt:i4>
      </vt:variant>
      <vt:variant>
        <vt:i4>0</vt:i4>
      </vt:variant>
      <vt:variant>
        <vt:i4>5</vt:i4>
      </vt:variant>
      <vt:variant>
        <vt:lpwstr>http://www.environment.govt.nz/</vt:lpwstr>
      </vt:variant>
      <vt:variant>
        <vt:lpwstr/>
      </vt:variant>
      <vt:variant>
        <vt:i4>8192049</vt:i4>
      </vt:variant>
      <vt:variant>
        <vt:i4>6</vt:i4>
      </vt:variant>
      <vt:variant>
        <vt:i4>0</vt:i4>
      </vt:variant>
      <vt:variant>
        <vt:i4>5</vt:i4>
      </vt:variant>
      <vt:variant>
        <vt:lpwstr>https://environment.govt.nz/publications/guidance-on-look-up-tables-for-setting-nutrient-targets-for-periphyton-second-edition/</vt:lpwstr>
      </vt:variant>
      <vt:variant>
        <vt:lpwstr/>
      </vt:variant>
      <vt:variant>
        <vt:i4>6029378</vt:i4>
      </vt:variant>
      <vt:variant>
        <vt:i4>3</vt:i4>
      </vt:variant>
      <vt:variant>
        <vt:i4>0</vt:i4>
      </vt:variant>
      <vt:variant>
        <vt:i4>5</vt:i4>
      </vt:variant>
      <vt:variant>
        <vt:lpwstr>https://environment.govt.nz/publications/guidance-on-the-national-objectives-framework-of-the-nps-fm/</vt:lpwstr>
      </vt:variant>
      <vt:variant>
        <vt:lpwstr/>
      </vt:variant>
      <vt:variant>
        <vt:i4>1245191</vt:i4>
      </vt:variant>
      <vt:variant>
        <vt:i4>0</vt:i4>
      </vt:variant>
      <vt:variant>
        <vt:i4>0</vt:i4>
      </vt:variant>
      <vt:variant>
        <vt:i4>5</vt:i4>
      </vt:variant>
      <vt:variant>
        <vt:lpwstr>https://environment.govt.nz/publications/guidance-on-the-national-objectives-framework-of-the-nps-fm/clause-3-9/</vt:lpwstr>
      </vt:variant>
      <vt:variant>
        <vt:lpwstr>policy-intent-10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dc:description/>
  <cp:lastModifiedBy>Michael Johnson</cp:lastModifiedBy>
  <cp:revision>3</cp:revision>
  <cp:lastPrinted>2023-08-16T02:13:00Z</cp:lastPrinted>
  <dcterms:created xsi:type="dcterms:W3CDTF">2023-08-16T02:11:00Z</dcterms:created>
  <dcterms:modified xsi:type="dcterms:W3CDTF">2023-08-16T02:14:00Z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22de7915-7972-4939-b8c5-87915bae8229</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y fmtid="{D5CDD505-2E9C-101B-9397-08002B2CF9AE}" pid="12" name="LivelinkID">
    <vt:lpwstr/>
  </property>
  <property fmtid="{D5CDD505-2E9C-101B-9397-08002B2CF9AE}" pid="13" name="Te Puna Name">
    <vt:lpwstr/>
  </property>
  <property fmtid="{D5CDD505-2E9C-101B-9397-08002B2CF9AE}" pid="14" name="Te Puna Modified By">
    <vt:lpwstr/>
  </property>
  <property fmtid="{D5CDD505-2E9C-101B-9397-08002B2CF9AE}" pid="15" name="Best Bets Value">
    <vt:lpwstr/>
  </property>
  <property fmtid="{D5CDD505-2E9C-101B-9397-08002B2CF9AE}" pid="16" name="xd_ProgID">
    <vt:lpwstr/>
  </property>
  <property fmtid="{D5CDD505-2E9C-101B-9397-08002B2CF9AE}" pid="17" name="Nickname">
    <vt:lpwstr/>
  </property>
  <property fmtid="{D5CDD505-2E9C-101B-9397-08002B2CF9AE}" pid="18" name="OpenText Path">
    <vt:lpwstr/>
  </property>
  <property fmtid="{D5CDD505-2E9C-101B-9397-08002B2CF9AE}" pid="19" name="ComplianceAssetId">
    <vt:lpwstr/>
  </property>
  <property fmtid="{D5CDD505-2E9C-101B-9397-08002B2CF9AE}" pid="20" name="TemplateUrl">
    <vt:lpwstr/>
  </property>
  <property fmtid="{D5CDD505-2E9C-101B-9397-08002B2CF9AE}" pid="21" name="Categories0">
    <vt:lpwstr/>
  </property>
  <property fmtid="{D5CDD505-2E9C-101B-9397-08002B2CF9AE}" pid="22" name="Owned By">
    <vt:lpwstr/>
  </property>
  <property fmtid="{D5CDD505-2E9C-101B-9397-08002B2CF9AE}" pid="23" name="RM Classification">
    <vt:lpwstr/>
  </property>
  <property fmtid="{D5CDD505-2E9C-101B-9397-08002B2CF9AE}" pid="24" name="Te Puna Created By">
    <vt:lpwstr/>
  </property>
  <property fmtid="{D5CDD505-2E9C-101B-9397-08002B2CF9AE}" pid="25" name="_ExtendedDescription">
    <vt:lpwstr/>
  </property>
  <property fmtid="{D5CDD505-2E9C-101B-9397-08002B2CF9AE}" pid="26" name="Current Security Clearance Level">
    <vt:lpwstr/>
  </property>
  <property fmtid="{D5CDD505-2E9C-101B-9397-08002B2CF9AE}" pid="27" name="File Number">
    <vt:lpwstr/>
  </property>
  <property fmtid="{D5CDD505-2E9C-101B-9397-08002B2CF9AE}" pid="28" name="URL">
    <vt:lpwstr/>
  </property>
  <property fmtid="{D5CDD505-2E9C-101B-9397-08002B2CF9AE}" pid="29" name="xd_Signature">
    <vt:bool>false</vt:bool>
  </property>
  <property fmtid="{D5CDD505-2E9C-101B-9397-08002B2CF9AE}" pid="30" name="Audit">
    <vt:lpwstr/>
  </property>
  <property fmtid="{D5CDD505-2E9C-101B-9397-08002B2CF9AE}" pid="31" name="Te Puna Owned By">
    <vt:lpwstr/>
  </property>
  <property fmtid="{D5CDD505-2E9C-101B-9397-08002B2CF9AE}" pid="32" name="RSI">
    <vt:lpwstr/>
  </property>
  <property fmtid="{D5CDD505-2E9C-101B-9397-08002B2CF9AE}" pid="33" name="TriggerFlowInfo">
    <vt:lpwstr/>
  </property>
</Properties>
</file>