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7F9FA" w14:textId="2652BCF5" w:rsidR="00D34ABA" w:rsidRPr="00A947D6" w:rsidRDefault="005604EC" w:rsidP="00E07F01">
      <w:pPr>
        <w:pStyle w:val="Heading1"/>
      </w:pPr>
      <w:r w:rsidRPr="000C47D3">
        <w:rPr>
          <w:noProof/>
        </w:rPr>
        <w:drawing>
          <wp:anchor distT="0" distB="0" distL="114300" distR="114300" simplePos="0" relativeHeight="251660288" behindDoc="0" locked="0" layoutInCell="1" allowOverlap="1" wp14:anchorId="6E8D5178" wp14:editId="2C78F63B">
            <wp:simplePos x="0" y="0"/>
            <wp:positionH relativeFrom="column">
              <wp:posOffset>-173182</wp:posOffset>
            </wp:positionH>
            <wp:positionV relativeFrom="paragraph">
              <wp:posOffset>-207818</wp:posOffset>
            </wp:positionV>
            <wp:extent cx="6229795" cy="2073160"/>
            <wp:effectExtent l="0" t="0" r="0" b="3810"/>
            <wp:wrapSquare wrapText="bothSides"/>
            <wp:docPr id="3" name="Picture 3" descr="\\Anchor\BhadraZ$\Desktop\Planning standards and S32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chor\BhadraZ$\Desktop\Planning standards and S32s\heade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29795" cy="2073160"/>
                    </a:xfrm>
                    <a:prstGeom prst="rect">
                      <a:avLst/>
                    </a:prstGeom>
                    <a:noFill/>
                    <a:ln>
                      <a:noFill/>
                    </a:ln>
                  </pic:spPr>
                </pic:pic>
              </a:graphicData>
            </a:graphic>
            <wp14:sizeRelH relativeFrom="page">
              <wp14:pctWidth>0</wp14:pctWidth>
            </wp14:sizeRelH>
            <wp14:sizeRelV relativeFrom="page">
              <wp14:pctHeight>0</wp14:pctHeight>
            </wp14:sizeRelV>
          </wp:anchor>
        </w:drawing>
      </w:r>
      <w:r w:rsidR="0070398B" w:rsidRPr="000C47D3">
        <w:rPr>
          <w:rFonts w:ascii="Calibri" w:hAnsi="Calibri" w:cs="Times New Roman"/>
        </w:rPr>
        <w:t>Guidance for</w:t>
      </w:r>
      <w:r w:rsidR="0070398B" w:rsidRPr="000C47D3">
        <w:t xml:space="preserve"> </w:t>
      </w:r>
      <w:r w:rsidR="0070398B" w:rsidRPr="000C47D3">
        <w:rPr>
          <w:rFonts w:ascii="Calibri" w:hAnsi="Calibri" w:cs="Times New Roman"/>
        </w:rPr>
        <w:t>District Plan</w:t>
      </w:r>
      <w:r w:rsidR="0070398B" w:rsidRPr="000C47D3">
        <w:t xml:space="preserve">s </w:t>
      </w:r>
      <w:r w:rsidR="00B01967" w:rsidRPr="000C47D3">
        <w:t>Structure and Chapter Standards</w:t>
      </w:r>
    </w:p>
    <w:p w14:paraId="4B9D446F" w14:textId="424FACEF" w:rsidR="0070398B" w:rsidRPr="00D34ABA" w:rsidRDefault="00D34ABA" w:rsidP="00A947D6">
      <w:pPr>
        <w:pStyle w:val="BodyText"/>
      </w:pPr>
      <w:r w:rsidRPr="00D34ABA">
        <w:t xml:space="preserve">This document provides guidance </w:t>
      </w:r>
      <w:r w:rsidR="0070398B" w:rsidRPr="00D34ABA">
        <w:t>on the following standards:</w:t>
      </w:r>
    </w:p>
    <w:p w14:paraId="0820BAA2" w14:textId="57D2DC28" w:rsidR="0070398B" w:rsidRPr="00461B43" w:rsidRDefault="0070398B" w:rsidP="00461B43">
      <w:pPr>
        <w:pStyle w:val="Bullet"/>
        <w:rPr>
          <w:i/>
        </w:rPr>
      </w:pPr>
      <w:r w:rsidRPr="00461B43">
        <w:rPr>
          <w:i/>
        </w:rPr>
        <w:t xml:space="preserve">4. District </w:t>
      </w:r>
      <w:r w:rsidR="00B72E7A">
        <w:rPr>
          <w:i/>
        </w:rPr>
        <w:t>P</w:t>
      </w:r>
      <w:r w:rsidRPr="00B72E7A">
        <w:rPr>
          <w:i/>
        </w:rPr>
        <w:t xml:space="preserve">lan </w:t>
      </w:r>
      <w:r w:rsidR="00B72E7A">
        <w:rPr>
          <w:i/>
        </w:rPr>
        <w:t>S</w:t>
      </w:r>
      <w:r w:rsidRPr="00B72E7A">
        <w:rPr>
          <w:i/>
        </w:rPr>
        <w:t>tructure</w:t>
      </w:r>
      <w:r w:rsidR="00B72E7A">
        <w:rPr>
          <w:i/>
        </w:rPr>
        <w:t xml:space="preserve"> Standard</w:t>
      </w:r>
    </w:p>
    <w:p w14:paraId="3128359F" w14:textId="20B298BC" w:rsidR="0070398B" w:rsidRPr="00461B43" w:rsidRDefault="0070398B" w:rsidP="00461B43">
      <w:pPr>
        <w:pStyle w:val="Bullet"/>
        <w:rPr>
          <w:i/>
        </w:rPr>
      </w:pPr>
      <w:r w:rsidRPr="00461B43">
        <w:rPr>
          <w:i/>
        </w:rPr>
        <w:t xml:space="preserve">6. Introduction and </w:t>
      </w:r>
      <w:r w:rsidR="00B72E7A">
        <w:rPr>
          <w:i/>
        </w:rPr>
        <w:t>G</w:t>
      </w:r>
      <w:r w:rsidRPr="00B72E7A">
        <w:rPr>
          <w:i/>
        </w:rPr>
        <w:t>eneral</w:t>
      </w:r>
      <w:r w:rsidR="00B72E7A">
        <w:rPr>
          <w:i/>
        </w:rPr>
        <w:t xml:space="preserve"> P</w:t>
      </w:r>
      <w:r w:rsidRPr="00B72E7A">
        <w:rPr>
          <w:i/>
        </w:rPr>
        <w:t>rovisions</w:t>
      </w:r>
      <w:r w:rsidR="00B72E7A">
        <w:rPr>
          <w:i/>
        </w:rPr>
        <w:t xml:space="preserve"> Standard</w:t>
      </w:r>
    </w:p>
    <w:p w14:paraId="443015C0" w14:textId="5664440A" w:rsidR="0070398B" w:rsidRPr="00461B43" w:rsidRDefault="00B15F7D" w:rsidP="00461B43">
      <w:pPr>
        <w:pStyle w:val="Bullet"/>
        <w:rPr>
          <w:i/>
        </w:rPr>
      </w:pPr>
      <w:r w:rsidRPr="00461B43">
        <w:rPr>
          <w:i/>
        </w:rPr>
        <w:t>7. District-w</w:t>
      </w:r>
      <w:r w:rsidR="00B72E7A" w:rsidRPr="00461B43">
        <w:rPr>
          <w:i/>
        </w:rPr>
        <w:t xml:space="preserve">ide </w:t>
      </w:r>
      <w:r w:rsidR="00B72E7A">
        <w:rPr>
          <w:i/>
        </w:rPr>
        <w:t>M</w:t>
      </w:r>
      <w:r w:rsidRPr="00B72E7A">
        <w:rPr>
          <w:i/>
        </w:rPr>
        <w:t>atters</w:t>
      </w:r>
      <w:r w:rsidR="00B72E7A">
        <w:rPr>
          <w:i/>
        </w:rPr>
        <w:t xml:space="preserve"> Standard</w:t>
      </w:r>
    </w:p>
    <w:p w14:paraId="1200CB7C" w14:textId="40AE0A5A" w:rsidR="005573D9" w:rsidRPr="00461B43" w:rsidRDefault="0070398B" w:rsidP="00461B43">
      <w:pPr>
        <w:pStyle w:val="Bullet"/>
      </w:pPr>
      <w:r w:rsidRPr="00461B43">
        <w:rPr>
          <w:i/>
        </w:rPr>
        <w:t>9. Designations</w:t>
      </w:r>
      <w:r w:rsidR="00B72E7A">
        <w:rPr>
          <w:i/>
        </w:rPr>
        <w:t xml:space="preserve"> Standard</w:t>
      </w:r>
      <w:r w:rsidR="003D497D" w:rsidRPr="00461B43">
        <w:rPr>
          <w:i/>
        </w:rPr>
        <w:t>.</w:t>
      </w:r>
      <w:r w:rsidRPr="00461B43">
        <w:t xml:space="preserve"> </w:t>
      </w:r>
    </w:p>
    <w:p w14:paraId="7C2789D6" w14:textId="26C22C64" w:rsidR="00321085" w:rsidRDefault="00426032" w:rsidP="00547305">
      <w:pPr>
        <w:pStyle w:val="BodyText"/>
        <w:spacing w:before="240"/>
      </w:pPr>
      <w:r w:rsidRPr="00B661F8">
        <w:t xml:space="preserve">This guidance is intended to help you understand and interpret the </w:t>
      </w:r>
      <w:r>
        <w:t>above planning standards</w:t>
      </w:r>
      <w:r w:rsidRPr="00B661F8">
        <w:t xml:space="preserve"> so you can </w:t>
      </w:r>
      <w:r w:rsidR="00CE2AAB">
        <w:t xml:space="preserve">implement </w:t>
      </w:r>
      <w:r w:rsidR="00434BB3">
        <w:t>them</w:t>
      </w:r>
      <w:r w:rsidR="003D497D">
        <w:t xml:space="preserve"> </w:t>
      </w:r>
      <w:r w:rsidR="003D497D" w:rsidRPr="00B661F8">
        <w:t>efficient</w:t>
      </w:r>
      <w:r w:rsidR="003D497D">
        <w:t>ly and effectively</w:t>
      </w:r>
      <w:r w:rsidR="00CE2AAB">
        <w:t xml:space="preserve">. </w:t>
      </w:r>
      <w:r w:rsidR="00321085" w:rsidRPr="00321085">
        <w:t xml:space="preserve">It should be read alongside </w:t>
      </w:r>
      <w:r w:rsidR="000C1070">
        <w:t xml:space="preserve">the </w:t>
      </w:r>
      <w:hyperlink r:id="rId9" w:history="1">
        <w:r w:rsidR="000C1070" w:rsidRPr="00547305">
          <w:rPr>
            <w:rStyle w:val="Hyperlink"/>
            <w:i/>
            <w:color w:val="0F7B7D"/>
            <w:u w:val="none"/>
          </w:rPr>
          <w:t>R</w:t>
        </w:r>
        <w:r w:rsidR="00321085" w:rsidRPr="00547305">
          <w:rPr>
            <w:rStyle w:val="Hyperlink"/>
            <w:i/>
            <w:color w:val="0F7B7D"/>
            <w:u w:val="none"/>
          </w:rPr>
          <w:t>ecommendations on submissions report</w:t>
        </w:r>
        <w:r w:rsidR="00E82F7E" w:rsidRPr="00547305">
          <w:rPr>
            <w:rStyle w:val="Hyperlink"/>
            <w:i/>
            <w:color w:val="0F7B7D"/>
            <w:u w:val="none"/>
          </w:rPr>
          <w:t>s</w:t>
        </w:r>
        <w:r w:rsidR="00321085" w:rsidRPr="00547305">
          <w:rPr>
            <w:rStyle w:val="Hyperlink"/>
            <w:i/>
            <w:color w:val="0F7B7D"/>
            <w:u w:val="none"/>
          </w:rPr>
          <w:t xml:space="preserve"> 2</w:t>
        </w:r>
        <w:r w:rsidR="00E82F7E" w:rsidRPr="00547305">
          <w:rPr>
            <w:rStyle w:val="Hyperlink"/>
            <w:i/>
            <w:color w:val="0F7B7D"/>
            <w:u w:val="none"/>
          </w:rPr>
          <w:t>C District Plan Structure</w:t>
        </w:r>
        <w:r w:rsidR="00321085" w:rsidRPr="00547305">
          <w:rPr>
            <w:rStyle w:val="Hyperlink"/>
            <w:i/>
            <w:color w:val="0F7B7D"/>
            <w:u w:val="none"/>
          </w:rPr>
          <w:t xml:space="preserve"> Standard</w:t>
        </w:r>
      </w:hyperlink>
      <w:r w:rsidR="00E82F7E" w:rsidRPr="00547305">
        <w:rPr>
          <w:color w:val="0F7B7D"/>
        </w:rPr>
        <w:t xml:space="preserve"> </w:t>
      </w:r>
      <w:r w:rsidR="00E82F7E" w:rsidRPr="00547305">
        <w:rPr>
          <w:color w:val="000000" w:themeColor="text1"/>
        </w:rPr>
        <w:t xml:space="preserve">and </w:t>
      </w:r>
      <w:hyperlink r:id="rId10" w:history="1">
        <w:r w:rsidR="00E82F7E" w:rsidRPr="00547305">
          <w:rPr>
            <w:rStyle w:val="Hyperlink"/>
            <w:i/>
            <w:color w:val="0F7B7D"/>
            <w:u w:val="none"/>
          </w:rPr>
          <w:t>2E Chapter Standard</w:t>
        </w:r>
      </w:hyperlink>
      <w:r w:rsidR="00321085" w:rsidRPr="00321085">
        <w:t xml:space="preserve"> for further context</w:t>
      </w:r>
      <w:r w:rsidR="00E82F7E">
        <w:t>.</w:t>
      </w:r>
    </w:p>
    <w:p w14:paraId="20770309" w14:textId="0410DB33" w:rsidR="00426032" w:rsidRDefault="00434BB3" w:rsidP="00A947D6">
      <w:pPr>
        <w:pStyle w:val="BodyText"/>
      </w:pPr>
      <w:r>
        <w:t xml:space="preserve">The guidance </w:t>
      </w:r>
      <w:r w:rsidR="00CE2AAB">
        <w:t>i</w:t>
      </w:r>
      <w:r w:rsidR="00426032">
        <w:t>s intended to be read as a whole because the issues it covers are cross-cutting and interrelated.</w:t>
      </w:r>
      <w:r w:rsidR="00CE2AAB">
        <w:t xml:space="preserve"> </w:t>
      </w:r>
      <w:r>
        <w:t xml:space="preserve">We have </w:t>
      </w:r>
      <w:r w:rsidR="00CE2AAB">
        <w:t xml:space="preserve">developed </w:t>
      </w:r>
      <w:r>
        <w:t xml:space="preserve">this guidance </w:t>
      </w:r>
      <w:r w:rsidR="00CE2AAB">
        <w:t>based on our experience to</w:t>
      </w:r>
      <w:r>
        <w:t xml:space="preserve"> </w:t>
      </w:r>
      <w:r w:rsidR="00CE2AAB">
        <w:t>date</w:t>
      </w:r>
      <w:r w:rsidR="003D497D">
        <w:t xml:space="preserve"> and </w:t>
      </w:r>
      <w:r>
        <w:t xml:space="preserve">will update </w:t>
      </w:r>
      <w:r w:rsidR="003D497D">
        <w:t>it</w:t>
      </w:r>
      <w:r w:rsidR="00CE2AAB">
        <w:t xml:space="preserve"> with </w:t>
      </w:r>
      <w:r w:rsidR="00CC7D20">
        <w:t xml:space="preserve">more </w:t>
      </w:r>
      <w:r w:rsidR="00CE2AAB">
        <w:t xml:space="preserve">examples </w:t>
      </w:r>
      <w:r w:rsidR="00321085">
        <w:t xml:space="preserve">as </w:t>
      </w:r>
      <w:r w:rsidR="00F21688">
        <w:t>councils</w:t>
      </w:r>
      <w:r w:rsidR="00321085">
        <w:t xml:space="preserve"> </w:t>
      </w:r>
      <w:r w:rsidR="00CC7D20">
        <w:t xml:space="preserve">begin to </w:t>
      </w:r>
      <w:r w:rsidR="00321085">
        <w:t>implement the planning standards</w:t>
      </w:r>
      <w:r w:rsidR="00CE2AAB">
        <w:t>.</w:t>
      </w:r>
      <w:r w:rsidR="00E07F01">
        <w:t xml:space="preserve"> </w:t>
      </w:r>
    </w:p>
    <w:p w14:paraId="3537CFA1" w14:textId="79FD7C93" w:rsidR="00A1281F" w:rsidRPr="001E5987" w:rsidRDefault="00B15F7D" w:rsidP="000C1070">
      <w:pPr>
        <w:pStyle w:val="Heading2"/>
      </w:pPr>
      <w:r w:rsidRPr="001E5987">
        <w:t>District Plan Structure</w:t>
      </w:r>
    </w:p>
    <w:p w14:paraId="1FE56785" w14:textId="632FBC4E" w:rsidR="002877CB" w:rsidRDefault="002877CB" w:rsidP="00A947D6">
      <w:pPr>
        <w:pStyle w:val="BodyText"/>
      </w:pPr>
      <w:r>
        <w:t xml:space="preserve">All parts in the </w:t>
      </w:r>
      <w:r w:rsidR="005672DA" w:rsidRPr="005672DA">
        <w:rPr>
          <w:i/>
        </w:rPr>
        <w:t xml:space="preserve">4. </w:t>
      </w:r>
      <w:r w:rsidRPr="005672DA">
        <w:rPr>
          <w:i/>
        </w:rPr>
        <w:t xml:space="preserve">District Plan </w:t>
      </w:r>
      <w:r w:rsidRPr="00AF61B9">
        <w:rPr>
          <w:i/>
        </w:rPr>
        <w:t>Structure</w:t>
      </w:r>
      <w:r w:rsidRPr="00CC36C5">
        <w:rPr>
          <w:i/>
        </w:rPr>
        <w:t xml:space="preserve"> </w:t>
      </w:r>
      <w:r w:rsidR="00B01967" w:rsidRPr="00CC36C5">
        <w:rPr>
          <w:i/>
        </w:rPr>
        <w:t>S</w:t>
      </w:r>
      <w:r w:rsidRPr="00CC36C5">
        <w:rPr>
          <w:i/>
        </w:rPr>
        <w:t>tandard</w:t>
      </w:r>
      <w:r>
        <w:t xml:space="preserve"> are compulsory</w:t>
      </w:r>
      <w:r w:rsidR="005672DA">
        <w:t>,</w:t>
      </w:r>
      <w:r>
        <w:t xml:space="preserve"> as are all chapters shown in bold.</w:t>
      </w:r>
    </w:p>
    <w:p w14:paraId="649AC199" w14:textId="36EB759C" w:rsidR="002877CB" w:rsidRDefault="00B72E7A" w:rsidP="00A947D6">
      <w:pPr>
        <w:pStyle w:val="BodyText"/>
      </w:pPr>
      <w:r>
        <w:t>You must include c</w:t>
      </w:r>
      <w:r w:rsidR="002877CB">
        <w:t>hapters and sections shown in grey if they are relevant to</w:t>
      </w:r>
      <w:r w:rsidR="0084627E">
        <w:t xml:space="preserve"> the content </w:t>
      </w:r>
      <w:r w:rsidR="00503482">
        <w:t xml:space="preserve">in </w:t>
      </w:r>
      <w:r w:rsidR="002877CB">
        <w:t>the district plan.</w:t>
      </w:r>
    </w:p>
    <w:p w14:paraId="361F05D6" w14:textId="3BF7D790" w:rsidR="00DB174B" w:rsidRDefault="00DB174B" w:rsidP="00A947D6">
      <w:pPr>
        <w:pStyle w:val="BodyText"/>
      </w:pPr>
      <w:r>
        <w:t>Headings are titles that group together one or more chapters of a common theme.</w:t>
      </w:r>
      <w:r w:rsidR="00E07F01">
        <w:t xml:space="preserve"> </w:t>
      </w:r>
      <w:r>
        <w:t xml:space="preserve">These </w:t>
      </w:r>
      <w:r w:rsidR="003D497D">
        <w:t xml:space="preserve">headings </w:t>
      </w:r>
      <w:r>
        <w:t xml:space="preserve">are </w:t>
      </w:r>
      <w:r w:rsidR="00503482">
        <w:t>included</w:t>
      </w:r>
      <w:r>
        <w:t xml:space="preserve"> for ease of use and navigation.</w:t>
      </w:r>
      <w:r w:rsidR="00E07F01">
        <w:t xml:space="preserve"> </w:t>
      </w:r>
      <w:r>
        <w:t>Headings have no provisions separate to their underlying chapters. If a chapter is included under a heading</w:t>
      </w:r>
      <w:r w:rsidR="003D497D">
        <w:t>,</w:t>
      </w:r>
      <w:r>
        <w:t xml:space="preserve"> that heading must also be included. </w:t>
      </w:r>
    </w:p>
    <w:p w14:paraId="0A2B5483" w14:textId="53B8257D" w:rsidR="00B15F7D" w:rsidRDefault="00B15F7D" w:rsidP="00A947D6">
      <w:pPr>
        <w:pStyle w:val="BodyText"/>
      </w:pPr>
      <w:r>
        <w:t xml:space="preserve">Additional </w:t>
      </w:r>
      <w:r w:rsidR="009F2D08">
        <w:t>c</w:t>
      </w:r>
      <w:r>
        <w:t xml:space="preserve">hapters </w:t>
      </w:r>
      <w:r w:rsidR="002877CB">
        <w:t xml:space="preserve">are </w:t>
      </w:r>
      <w:r w:rsidR="00611A94">
        <w:t>allowed under most headings</w:t>
      </w:r>
      <w:r w:rsidR="002877CB">
        <w:t>.</w:t>
      </w:r>
      <w:r w:rsidR="00E07F01">
        <w:t xml:space="preserve"> </w:t>
      </w:r>
      <w:r w:rsidR="002877CB">
        <w:t xml:space="preserve">There are several headings where </w:t>
      </w:r>
      <w:r w:rsidR="00B72E7A">
        <w:t xml:space="preserve">you </w:t>
      </w:r>
      <w:r w:rsidR="003D497D">
        <w:t>can</w:t>
      </w:r>
      <w:r w:rsidR="002877CB">
        <w:t xml:space="preserve"> </w:t>
      </w:r>
      <w:r w:rsidR="00971723">
        <w:t xml:space="preserve">include chapters </w:t>
      </w:r>
      <w:r w:rsidR="00B72E7A">
        <w:t>you</w:t>
      </w:r>
      <w:r w:rsidR="003D497D">
        <w:t xml:space="preserve"> </w:t>
      </w:r>
      <w:r w:rsidR="00971723">
        <w:t xml:space="preserve">consider </w:t>
      </w:r>
      <w:r w:rsidR="002877CB">
        <w:t>appropriate</w:t>
      </w:r>
      <w:r w:rsidR="005672DA">
        <w:t>.</w:t>
      </w:r>
      <w:r w:rsidR="00E07F01">
        <w:t xml:space="preserve"> </w:t>
      </w:r>
      <w:r w:rsidR="005672DA">
        <w:t>T</w:t>
      </w:r>
      <w:r w:rsidR="002877CB">
        <w:t xml:space="preserve">hese </w:t>
      </w:r>
      <w:r w:rsidR="005672DA">
        <w:t xml:space="preserve">headings </w:t>
      </w:r>
      <w:r w:rsidR="002877CB">
        <w:t xml:space="preserve">are </w:t>
      </w:r>
      <w:r w:rsidR="002877CB" w:rsidRPr="005672DA">
        <w:rPr>
          <w:i/>
        </w:rPr>
        <w:t>Tangata whenua/mana whenua</w:t>
      </w:r>
      <w:r w:rsidR="002877CB">
        <w:t xml:space="preserve">, </w:t>
      </w:r>
      <w:r w:rsidR="002877CB" w:rsidRPr="005672DA">
        <w:rPr>
          <w:i/>
        </w:rPr>
        <w:t>Strategic</w:t>
      </w:r>
      <w:r w:rsidR="005672DA">
        <w:rPr>
          <w:i/>
        </w:rPr>
        <w:t xml:space="preserve"> </w:t>
      </w:r>
      <w:r w:rsidR="009F2D08">
        <w:rPr>
          <w:i/>
        </w:rPr>
        <w:t>d</w:t>
      </w:r>
      <w:r w:rsidR="005672DA">
        <w:rPr>
          <w:i/>
        </w:rPr>
        <w:t xml:space="preserve">irection </w:t>
      </w:r>
      <w:r w:rsidR="002877CB">
        <w:t xml:space="preserve">(except </w:t>
      </w:r>
      <w:r w:rsidR="002877CB" w:rsidRPr="009F2D08">
        <w:rPr>
          <w:i/>
        </w:rPr>
        <w:t xml:space="preserve">Urban form and </w:t>
      </w:r>
      <w:r w:rsidR="009F2D08" w:rsidRPr="009F2D08">
        <w:rPr>
          <w:i/>
        </w:rPr>
        <w:t>d</w:t>
      </w:r>
      <w:r w:rsidR="002877CB" w:rsidRPr="009F2D08">
        <w:rPr>
          <w:i/>
        </w:rPr>
        <w:t>evelopment</w:t>
      </w:r>
      <w:r w:rsidR="002877CB">
        <w:t xml:space="preserve"> which is required)</w:t>
      </w:r>
      <w:r>
        <w:t>,</w:t>
      </w:r>
      <w:r w:rsidR="002877CB">
        <w:t xml:space="preserve"> </w:t>
      </w:r>
      <w:r w:rsidRPr="005672DA">
        <w:rPr>
          <w:i/>
        </w:rPr>
        <w:t>Energy</w:t>
      </w:r>
      <w:r w:rsidR="002877CB" w:rsidRPr="005672DA">
        <w:rPr>
          <w:i/>
        </w:rPr>
        <w:t>,</w:t>
      </w:r>
      <w:r w:rsidRPr="005672DA">
        <w:rPr>
          <w:i/>
        </w:rPr>
        <w:t xml:space="preserve"> </w:t>
      </w:r>
      <w:r w:rsidR="002877CB" w:rsidRPr="005672DA">
        <w:rPr>
          <w:i/>
        </w:rPr>
        <w:t>Infrastructure</w:t>
      </w:r>
      <w:r w:rsidRPr="005672DA">
        <w:rPr>
          <w:i/>
        </w:rPr>
        <w:t xml:space="preserve"> and Transpor</w:t>
      </w:r>
      <w:r>
        <w:t xml:space="preserve">t </w:t>
      </w:r>
      <w:r w:rsidR="002877CB">
        <w:t xml:space="preserve">and </w:t>
      </w:r>
      <w:r w:rsidR="00DB174B" w:rsidRPr="005672DA">
        <w:rPr>
          <w:i/>
        </w:rPr>
        <w:t>Subdivision</w:t>
      </w:r>
      <w:r w:rsidR="00DB174B">
        <w:t>.</w:t>
      </w:r>
      <w:r w:rsidR="00E07F01">
        <w:t xml:space="preserve"> </w:t>
      </w:r>
      <w:r w:rsidR="00DB174B">
        <w:t xml:space="preserve">When </w:t>
      </w:r>
      <w:r w:rsidR="00B72E7A">
        <w:t>you add</w:t>
      </w:r>
      <w:r w:rsidR="003D497D">
        <w:t xml:space="preserve"> </w:t>
      </w:r>
      <w:r w:rsidR="00B72E7A">
        <w:t>extra</w:t>
      </w:r>
      <w:r w:rsidR="00DB174B">
        <w:t xml:space="preserve"> chapters</w:t>
      </w:r>
      <w:r w:rsidR="003D497D">
        <w:t>,</w:t>
      </w:r>
      <w:r w:rsidR="00DB174B">
        <w:t xml:space="preserve"> </w:t>
      </w:r>
      <w:r w:rsidR="00D34ABA">
        <w:t>or choose</w:t>
      </w:r>
      <w:r w:rsidR="009F2D08">
        <w:t xml:space="preserve"> the</w:t>
      </w:r>
      <w:r w:rsidR="00D34ABA">
        <w:t xml:space="preserve"> chapters, </w:t>
      </w:r>
      <w:r w:rsidR="00B72E7A">
        <w:t>you</w:t>
      </w:r>
      <w:r w:rsidR="003D497D">
        <w:t xml:space="preserve"> must add </w:t>
      </w:r>
      <w:r w:rsidR="00D34ABA">
        <w:t xml:space="preserve">these </w:t>
      </w:r>
      <w:r w:rsidR="00DB174B">
        <w:t>in alphabetical order.</w:t>
      </w:r>
    </w:p>
    <w:p w14:paraId="3E4CE1A6" w14:textId="656C9FD6" w:rsidR="00DB174B" w:rsidRDefault="00B72E7A" w:rsidP="00A947D6">
      <w:pPr>
        <w:pStyle w:val="BodyText"/>
      </w:pPr>
      <w:r>
        <w:t>You can add s</w:t>
      </w:r>
      <w:r w:rsidR="00DB174B">
        <w:t>ections and subsections where appropriate.</w:t>
      </w:r>
    </w:p>
    <w:p w14:paraId="5AA3CF55" w14:textId="0F0FA54C" w:rsidR="00576A7F" w:rsidRDefault="00576A7F" w:rsidP="00576A7F">
      <w:pPr>
        <w:pStyle w:val="TableText"/>
        <w:spacing w:after="120"/>
        <w:rPr>
          <w:rFonts w:cs="Calibri"/>
        </w:rPr>
      </w:pPr>
      <w:r w:rsidRPr="00576A7F">
        <w:rPr>
          <w:rFonts w:asciiTheme="minorHAnsi" w:hAnsiTheme="minorHAnsi"/>
          <w:sz w:val="22"/>
          <w:szCs w:val="22"/>
        </w:rPr>
        <w:lastRenderedPageBreak/>
        <w:t xml:space="preserve">We expect most </w:t>
      </w:r>
      <w:r w:rsidR="00F21688">
        <w:rPr>
          <w:rFonts w:asciiTheme="minorHAnsi" w:hAnsiTheme="minorHAnsi"/>
          <w:sz w:val="22"/>
          <w:szCs w:val="22"/>
        </w:rPr>
        <w:t>councils</w:t>
      </w:r>
      <w:r w:rsidRPr="00576A7F">
        <w:rPr>
          <w:rFonts w:asciiTheme="minorHAnsi" w:hAnsiTheme="minorHAnsi"/>
          <w:sz w:val="22"/>
          <w:szCs w:val="22"/>
        </w:rPr>
        <w:t xml:space="preserve"> </w:t>
      </w:r>
      <w:r w:rsidR="00797BC1">
        <w:rPr>
          <w:rFonts w:asciiTheme="minorHAnsi" w:hAnsiTheme="minorHAnsi"/>
          <w:sz w:val="22"/>
          <w:szCs w:val="22"/>
        </w:rPr>
        <w:t>will</w:t>
      </w:r>
      <w:r w:rsidRPr="00576A7F">
        <w:rPr>
          <w:rFonts w:asciiTheme="minorHAnsi" w:hAnsiTheme="minorHAnsi"/>
          <w:sz w:val="22"/>
          <w:szCs w:val="22"/>
        </w:rPr>
        <w:t xml:space="preserve"> need to make changes to their documents to align the form of their plans with the structure of the </w:t>
      </w:r>
      <w:r w:rsidR="00E07F01">
        <w:rPr>
          <w:rFonts w:asciiTheme="minorHAnsi" w:hAnsiTheme="minorHAnsi"/>
          <w:sz w:val="22"/>
          <w:szCs w:val="22"/>
        </w:rPr>
        <w:t>s</w:t>
      </w:r>
      <w:r w:rsidRPr="00576A7F">
        <w:rPr>
          <w:rFonts w:asciiTheme="minorHAnsi" w:hAnsiTheme="minorHAnsi"/>
          <w:sz w:val="22"/>
          <w:szCs w:val="22"/>
        </w:rPr>
        <w:t xml:space="preserve">tandards. However, </w:t>
      </w:r>
      <w:r w:rsidR="003D497D">
        <w:rPr>
          <w:rFonts w:asciiTheme="minorHAnsi" w:hAnsiTheme="minorHAnsi"/>
          <w:sz w:val="22"/>
          <w:szCs w:val="22"/>
        </w:rPr>
        <w:t xml:space="preserve">we don’t anticipate </w:t>
      </w:r>
      <w:r w:rsidRPr="00576A7F">
        <w:rPr>
          <w:rFonts w:asciiTheme="minorHAnsi" w:hAnsiTheme="minorHAnsi"/>
          <w:sz w:val="22"/>
          <w:szCs w:val="22"/>
        </w:rPr>
        <w:t xml:space="preserve">these changes to affect plan outcomes or impose new duties, functions or obligations on </w:t>
      </w:r>
      <w:r w:rsidR="00F21688">
        <w:rPr>
          <w:rFonts w:asciiTheme="minorHAnsi" w:hAnsiTheme="minorHAnsi"/>
          <w:sz w:val="22"/>
          <w:szCs w:val="22"/>
        </w:rPr>
        <w:t>councils</w:t>
      </w:r>
      <w:r w:rsidRPr="00FD5BA4">
        <w:rPr>
          <w:rFonts w:cs="Calibri"/>
        </w:rPr>
        <w:t>.</w:t>
      </w:r>
    </w:p>
    <w:p w14:paraId="0F1C6C5D" w14:textId="6644FC05" w:rsidR="00A32FB4" w:rsidRDefault="00A32FB4" w:rsidP="00A32FB4">
      <w:pPr>
        <w:pStyle w:val="BodyText"/>
        <w:rPr>
          <w:lang w:val="en-NZ"/>
        </w:rPr>
      </w:pPr>
      <w:r>
        <w:rPr>
          <w:lang w:val="en-NZ"/>
        </w:rPr>
        <w:t xml:space="preserve">The range and names of </w:t>
      </w:r>
      <w:r w:rsidRPr="00C9588D">
        <w:rPr>
          <w:lang w:val="en-NZ"/>
        </w:rPr>
        <w:t>land-use zones that can be used in district</w:t>
      </w:r>
      <w:r>
        <w:rPr>
          <w:lang w:val="en-NZ"/>
        </w:rPr>
        <w:t xml:space="preserve"> plans are set out and described in </w:t>
      </w:r>
      <w:r w:rsidRPr="00466B8E">
        <w:rPr>
          <w:i/>
          <w:lang w:val="en-NZ"/>
        </w:rPr>
        <w:t>8.</w:t>
      </w:r>
      <w:r w:rsidR="0085321A">
        <w:rPr>
          <w:i/>
          <w:lang w:val="en-NZ"/>
        </w:rPr>
        <w:t xml:space="preserve"> </w:t>
      </w:r>
      <w:r w:rsidRPr="00466B8E">
        <w:rPr>
          <w:i/>
          <w:lang w:val="en-NZ"/>
        </w:rPr>
        <w:t>Zone Framework Standard</w:t>
      </w:r>
      <w:r>
        <w:rPr>
          <w:lang w:val="en-NZ"/>
        </w:rPr>
        <w:t xml:space="preserve">. See </w:t>
      </w:r>
      <w:hyperlink r:id="rId11" w:history="1">
        <w:r w:rsidRPr="008B31F3">
          <w:rPr>
            <w:rStyle w:val="Hyperlink"/>
            <w:i/>
            <w:color w:val="0F7B7D"/>
            <w:u w:val="none"/>
            <w:lang w:val="en-NZ"/>
          </w:rPr>
          <w:t xml:space="preserve">Guidance for the District Spatial Layers Standard </w:t>
        </w:r>
        <w:r w:rsidRPr="00461B43">
          <w:rPr>
            <w:rStyle w:val="Hyperlink"/>
            <w:color w:val="000000" w:themeColor="text1"/>
            <w:u w:val="none"/>
            <w:lang w:val="en-NZ"/>
          </w:rPr>
          <w:t>and</w:t>
        </w:r>
        <w:r w:rsidRPr="00461B43">
          <w:rPr>
            <w:rStyle w:val="Hyperlink"/>
            <w:i/>
            <w:color w:val="000000" w:themeColor="text1"/>
            <w:u w:val="none"/>
            <w:lang w:val="en-NZ"/>
          </w:rPr>
          <w:t xml:space="preserve"> </w:t>
        </w:r>
        <w:r w:rsidRPr="008B31F3">
          <w:rPr>
            <w:rStyle w:val="Hyperlink"/>
            <w:i/>
            <w:color w:val="0F7B7D"/>
            <w:u w:val="none"/>
            <w:lang w:val="en-NZ"/>
          </w:rPr>
          <w:t>Zone Framework Standard</w:t>
        </w:r>
      </w:hyperlink>
      <w:r>
        <w:rPr>
          <w:lang w:val="en-NZ"/>
        </w:rPr>
        <w:t xml:space="preserve"> for more information </w:t>
      </w:r>
      <w:r w:rsidR="003D497D">
        <w:rPr>
          <w:lang w:val="en-NZ"/>
        </w:rPr>
        <w:t xml:space="preserve">about </w:t>
      </w:r>
      <w:r>
        <w:rPr>
          <w:lang w:val="en-NZ"/>
        </w:rPr>
        <w:t xml:space="preserve">how the Zone </w:t>
      </w:r>
      <w:r w:rsidR="003D497D">
        <w:rPr>
          <w:lang w:val="en-NZ"/>
        </w:rPr>
        <w:t>F</w:t>
      </w:r>
      <w:r>
        <w:rPr>
          <w:lang w:val="en-NZ"/>
        </w:rPr>
        <w:t>ramework Standard works.</w:t>
      </w:r>
    </w:p>
    <w:p w14:paraId="7C3444E3" w14:textId="1D779C5A" w:rsidR="00B72E7A" w:rsidRDefault="00A32FB4" w:rsidP="00195A36">
      <w:pPr>
        <w:pStyle w:val="BodyText"/>
        <w:rPr>
          <w:lang w:val="en-NZ"/>
        </w:rPr>
      </w:pPr>
      <w:r>
        <w:rPr>
          <w:lang w:val="en-NZ"/>
        </w:rPr>
        <w:t xml:space="preserve">Direction 6 of the </w:t>
      </w:r>
      <w:r w:rsidRPr="00466B8E">
        <w:rPr>
          <w:i/>
          <w:lang w:val="en-NZ"/>
        </w:rPr>
        <w:t>4.</w:t>
      </w:r>
      <w:r w:rsidR="0085321A">
        <w:rPr>
          <w:i/>
          <w:lang w:val="en-NZ"/>
        </w:rPr>
        <w:t xml:space="preserve"> </w:t>
      </w:r>
      <w:r w:rsidRPr="00466B8E">
        <w:rPr>
          <w:i/>
          <w:lang w:val="en-NZ"/>
        </w:rPr>
        <w:t>District Plan Structure Standard</w:t>
      </w:r>
      <w:r>
        <w:rPr>
          <w:lang w:val="en-NZ"/>
        </w:rPr>
        <w:t xml:space="preserve"> requires the zones used in a plan </w:t>
      </w:r>
      <w:r w:rsidR="003D497D">
        <w:rPr>
          <w:lang w:val="en-NZ"/>
        </w:rPr>
        <w:t xml:space="preserve">to </w:t>
      </w:r>
      <w:r>
        <w:rPr>
          <w:lang w:val="en-NZ"/>
        </w:rPr>
        <w:t xml:space="preserve">be set out in the prescribed order </w:t>
      </w:r>
      <w:r w:rsidRPr="00466B8E">
        <w:rPr>
          <w:lang w:val="en-NZ"/>
        </w:rPr>
        <w:t xml:space="preserve">under </w:t>
      </w:r>
      <w:r w:rsidRPr="00466B8E">
        <w:rPr>
          <w:i/>
          <w:lang w:val="en-NZ"/>
        </w:rPr>
        <w:t xml:space="preserve">Part 3 </w:t>
      </w:r>
      <w:r w:rsidRPr="00466B8E">
        <w:rPr>
          <w:i/>
          <w:color w:val="000000"/>
          <w:sz w:val="16"/>
          <w:szCs w:val="16"/>
        </w:rPr>
        <w:t xml:space="preserve">– </w:t>
      </w:r>
      <w:r w:rsidRPr="00466B8E">
        <w:rPr>
          <w:i/>
          <w:lang w:val="en-NZ"/>
        </w:rPr>
        <w:t xml:space="preserve">Area-specific matters </w:t>
      </w:r>
      <w:r w:rsidRPr="00466B8E">
        <w:rPr>
          <w:lang w:val="en-NZ"/>
        </w:rPr>
        <w:t>heading</w:t>
      </w:r>
      <w:r>
        <w:rPr>
          <w:lang w:val="en-NZ"/>
        </w:rPr>
        <w:t>. ‘Grouping’ chapters</w:t>
      </w:r>
      <w:r w:rsidR="00B72E7A">
        <w:rPr>
          <w:lang w:val="en-NZ"/>
        </w:rPr>
        <w:t xml:space="preserve"> –</w:t>
      </w:r>
      <w:r>
        <w:rPr>
          <w:lang w:val="en-NZ"/>
        </w:rPr>
        <w:t xml:space="preserve"> </w:t>
      </w:r>
      <w:r w:rsidR="00B72E7A">
        <w:rPr>
          <w:lang w:val="en-NZ"/>
        </w:rPr>
        <w:t>for example,</w:t>
      </w:r>
      <w:r>
        <w:rPr>
          <w:lang w:val="en-NZ"/>
        </w:rPr>
        <w:t xml:space="preserve"> </w:t>
      </w:r>
      <w:r w:rsidRPr="00C9588D">
        <w:rPr>
          <w:lang w:val="en-NZ"/>
        </w:rPr>
        <w:t>residential, rural, commercial and mixed use, industrial, open space and recreation, and special purpose</w:t>
      </w:r>
      <w:r>
        <w:rPr>
          <w:lang w:val="en-NZ"/>
        </w:rPr>
        <w:t xml:space="preserve"> zones</w:t>
      </w:r>
      <w:r w:rsidR="00B72E7A">
        <w:rPr>
          <w:lang w:val="en-NZ"/>
        </w:rPr>
        <w:t xml:space="preserve"> –</w:t>
      </w:r>
      <w:r w:rsidRPr="00C9588D">
        <w:rPr>
          <w:lang w:val="en-NZ"/>
        </w:rPr>
        <w:t xml:space="preserve"> </w:t>
      </w:r>
      <w:r>
        <w:rPr>
          <w:lang w:val="en-NZ"/>
        </w:rPr>
        <w:t>can contain provisions</w:t>
      </w:r>
      <w:r w:rsidRPr="00C9588D">
        <w:rPr>
          <w:lang w:val="en-NZ"/>
        </w:rPr>
        <w:t xml:space="preserve"> that apply to all zones withi</w:t>
      </w:r>
      <w:r>
        <w:rPr>
          <w:lang w:val="en-NZ"/>
        </w:rPr>
        <w:t xml:space="preserve">n that grouping. </w:t>
      </w:r>
      <w:r w:rsidRPr="00C9588D">
        <w:rPr>
          <w:lang w:val="en-NZ"/>
        </w:rPr>
        <w:t xml:space="preserve">For </w:t>
      </w:r>
      <w:r w:rsidR="00B72E7A">
        <w:rPr>
          <w:lang w:val="en-NZ"/>
        </w:rPr>
        <w:t>instance</w:t>
      </w:r>
      <w:r w:rsidRPr="00C9588D">
        <w:rPr>
          <w:lang w:val="en-NZ"/>
        </w:rPr>
        <w:t xml:space="preserve">, provisions that apply to all residential zones could be located in a </w:t>
      </w:r>
      <w:r w:rsidR="00E76722">
        <w:rPr>
          <w:lang w:val="en-NZ"/>
        </w:rPr>
        <w:t>‘</w:t>
      </w:r>
      <w:r w:rsidRPr="00C9588D">
        <w:rPr>
          <w:lang w:val="en-NZ"/>
        </w:rPr>
        <w:t xml:space="preserve">Residential zones </w:t>
      </w:r>
      <w:r w:rsidR="00E76722">
        <w:rPr>
          <w:lang w:val="en-NZ"/>
        </w:rPr>
        <w:t>–</w:t>
      </w:r>
      <w:r w:rsidR="00E76722" w:rsidRPr="00C9588D">
        <w:rPr>
          <w:lang w:val="en-NZ"/>
        </w:rPr>
        <w:t xml:space="preserve"> </w:t>
      </w:r>
      <w:r w:rsidRPr="00C9588D">
        <w:rPr>
          <w:lang w:val="en-NZ"/>
        </w:rPr>
        <w:t>RESZ chapter’, with provisions specific to particular zones located in their respective zone sections</w:t>
      </w:r>
      <w:r w:rsidR="00B72E7A">
        <w:rPr>
          <w:lang w:val="en-NZ"/>
        </w:rPr>
        <w:t xml:space="preserve">, for example, </w:t>
      </w:r>
      <w:r w:rsidRPr="00C9588D">
        <w:rPr>
          <w:lang w:val="en-NZ"/>
        </w:rPr>
        <w:t>‘Me</w:t>
      </w:r>
      <w:r>
        <w:rPr>
          <w:lang w:val="en-NZ"/>
        </w:rPr>
        <w:t xml:space="preserve">dium density residential zone’. Alternatively, if there are no provisions that apply to all zones, the grouping chapter could effectively function as a heading. If only one zone is used from the grouping, that zone section is elevated to chapter level. </w:t>
      </w:r>
    </w:p>
    <w:p w14:paraId="7801ED2C" w14:textId="4147D7F2" w:rsidR="004E436A" w:rsidRPr="00195A36" w:rsidRDefault="00E76722" w:rsidP="00195A36">
      <w:pPr>
        <w:pStyle w:val="BodyText"/>
        <w:rPr>
          <w:lang w:val="en-NZ"/>
        </w:rPr>
      </w:pPr>
      <w:r>
        <w:rPr>
          <w:lang w:val="en-NZ"/>
        </w:rPr>
        <w:t>We expect most</w:t>
      </w:r>
      <w:r w:rsidR="004E436A" w:rsidRPr="00195A36">
        <w:rPr>
          <w:lang w:val="en-NZ"/>
        </w:rPr>
        <w:t xml:space="preserve"> provisions that relate specifically to a zone will be located within the individual zone section as opposed to the zone grouping chapter.</w:t>
      </w:r>
    </w:p>
    <w:p w14:paraId="21AE3E3B" w14:textId="3EE8BB1C" w:rsidR="00B15F7D" w:rsidRPr="00E07F01" w:rsidRDefault="0097098B" w:rsidP="00547305">
      <w:pPr>
        <w:pStyle w:val="Heading2"/>
      </w:pPr>
      <w:r w:rsidRPr="00434BB3">
        <w:t xml:space="preserve">6. </w:t>
      </w:r>
      <w:r w:rsidR="00B15F7D" w:rsidRPr="00434BB3">
        <w:t xml:space="preserve">Introduction and </w:t>
      </w:r>
      <w:r w:rsidR="00434BB3" w:rsidRPr="00434BB3">
        <w:t>g</w:t>
      </w:r>
      <w:r w:rsidR="00B15F7D" w:rsidRPr="00E07F01">
        <w:t xml:space="preserve">eneral </w:t>
      </w:r>
      <w:r w:rsidR="00434BB3" w:rsidRPr="00E07F01">
        <w:t>p</w:t>
      </w:r>
      <w:r w:rsidR="00B15F7D" w:rsidRPr="00E07F01">
        <w:t>rovisions</w:t>
      </w:r>
      <w:r w:rsidR="00E920BB" w:rsidRPr="00E07F01">
        <w:t xml:space="preserve"> </w:t>
      </w:r>
    </w:p>
    <w:p w14:paraId="7A59BF77" w14:textId="263EA01A" w:rsidR="001E5987" w:rsidRPr="00E07F01" w:rsidRDefault="001E5987" w:rsidP="00547305">
      <w:pPr>
        <w:pStyle w:val="Heading3"/>
      </w:pPr>
      <w:r w:rsidRPr="00E07F01">
        <w:t>Introduction</w:t>
      </w:r>
    </w:p>
    <w:p w14:paraId="07EF1354" w14:textId="63B892C2" w:rsidR="00500C45" w:rsidRDefault="00B27909" w:rsidP="0070261D">
      <w:pPr>
        <w:pStyle w:val="BodyText"/>
      </w:pPr>
      <w:r>
        <w:t>The introduction</w:t>
      </w:r>
      <w:r w:rsidR="00500C45">
        <w:t xml:space="preserve"> provides a location for information including a foreword</w:t>
      </w:r>
      <w:r w:rsidR="00E76722">
        <w:t xml:space="preserve"> or </w:t>
      </w:r>
      <w:r w:rsidR="00500C45">
        <w:t xml:space="preserve">mihi, </w:t>
      </w:r>
      <w:r w:rsidR="00E76722">
        <w:t xml:space="preserve">table of </w:t>
      </w:r>
      <w:r w:rsidR="00500C45">
        <w:t>contents, purpose of the plan and a description of the</w:t>
      </w:r>
      <w:r w:rsidR="009F2D08">
        <w:t xml:space="preserve"> district</w:t>
      </w:r>
      <w:r w:rsidR="00500C45">
        <w:t>.</w:t>
      </w:r>
      <w:r w:rsidR="00503482">
        <w:t xml:space="preserve"> None of </w:t>
      </w:r>
      <w:r w:rsidR="00547305">
        <w:t xml:space="preserve">the </w:t>
      </w:r>
      <w:r w:rsidR="00503482">
        <w:t xml:space="preserve">chapters </w:t>
      </w:r>
      <w:r w:rsidR="00547305">
        <w:t xml:space="preserve">in the introduction section </w:t>
      </w:r>
      <w:r w:rsidR="00503482">
        <w:t>are mandatory</w:t>
      </w:r>
      <w:r w:rsidR="0015271E">
        <w:t>.</w:t>
      </w:r>
      <w:r w:rsidR="00E07F01">
        <w:t xml:space="preserve"> </w:t>
      </w:r>
      <w:r w:rsidR="0015271E">
        <w:t>They should</w:t>
      </w:r>
      <w:r w:rsidR="00503482">
        <w:t xml:space="preserve"> only </w:t>
      </w:r>
      <w:r w:rsidR="00EE6B39">
        <w:t xml:space="preserve">be </w:t>
      </w:r>
      <w:r w:rsidR="00503482">
        <w:t xml:space="preserve">included if </w:t>
      </w:r>
      <w:r w:rsidR="00B72E7A">
        <w:t>you consider</w:t>
      </w:r>
      <w:r w:rsidR="00503482">
        <w:t xml:space="preserve"> </w:t>
      </w:r>
      <w:r w:rsidR="0015271E">
        <w:t>them useful</w:t>
      </w:r>
      <w:r w:rsidR="00503482">
        <w:t xml:space="preserve"> </w:t>
      </w:r>
      <w:r w:rsidR="00EE6B39">
        <w:t xml:space="preserve">plan </w:t>
      </w:r>
      <w:r w:rsidR="00503482">
        <w:t>components.</w:t>
      </w:r>
      <w:r w:rsidR="00E07F01">
        <w:t xml:space="preserve"> </w:t>
      </w:r>
    </w:p>
    <w:p w14:paraId="5F9D8AC7" w14:textId="6AFBA2EE" w:rsidR="00E920BB" w:rsidRDefault="00500C45" w:rsidP="0070261D">
      <w:pPr>
        <w:pStyle w:val="BodyText"/>
      </w:pPr>
      <w:r>
        <w:t xml:space="preserve">A description of the </w:t>
      </w:r>
      <w:r w:rsidR="009F2D08">
        <w:t>district</w:t>
      </w:r>
      <w:r>
        <w:t xml:space="preserve"> can include</w:t>
      </w:r>
      <w:r w:rsidR="0097098B">
        <w:t xml:space="preserve"> </w:t>
      </w:r>
      <w:r w:rsidR="001E5987" w:rsidRPr="00253258">
        <w:t>‘</w:t>
      </w:r>
      <w:r>
        <w:t>k</w:t>
      </w:r>
      <w:r w:rsidR="001E5987" w:rsidRPr="00253258">
        <w:t xml:space="preserve">ey information (including issues) about the district relevant from a resource management perspective’ </w:t>
      </w:r>
      <w:r w:rsidR="00187673">
        <w:t>(</w:t>
      </w:r>
      <w:r w:rsidR="001E5987" w:rsidRPr="00253258">
        <w:t>referred to in direction 4</w:t>
      </w:r>
      <w:r>
        <w:t>). This may</w:t>
      </w:r>
      <w:r w:rsidR="001E5987" w:rsidRPr="00253258">
        <w:t xml:space="preserve"> include information on the district’s</w:t>
      </w:r>
      <w:r w:rsidR="00E920BB">
        <w:t>:</w:t>
      </w:r>
      <w:r w:rsidR="001E5987" w:rsidRPr="00253258">
        <w:t xml:space="preserve"> </w:t>
      </w:r>
    </w:p>
    <w:p w14:paraId="09128833" w14:textId="53580511" w:rsidR="00E920BB" w:rsidRPr="00E07F01" w:rsidRDefault="005672DA" w:rsidP="0011042D">
      <w:pPr>
        <w:pStyle w:val="Bullet"/>
      </w:pPr>
      <w:r w:rsidRPr="00E07F01">
        <w:t>h</w:t>
      </w:r>
      <w:r w:rsidR="001E5987" w:rsidRPr="00E07F01">
        <w:t>istory</w:t>
      </w:r>
    </w:p>
    <w:p w14:paraId="3FC5E344" w14:textId="1E3B468B" w:rsidR="00E920BB" w:rsidRPr="00E07F01" w:rsidRDefault="005672DA" w:rsidP="0011042D">
      <w:pPr>
        <w:pStyle w:val="Bullet"/>
      </w:pPr>
      <w:r w:rsidRPr="00E07F01">
        <w:t>g</w:t>
      </w:r>
      <w:r w:rsidR="001E5987" w:rsidRPr="00E07F01">
        <w:t>eography</w:t>
      </w:r>
    </w:p>
    <w:p w14:paraId="71F7414A" w14:textId="16814BA0" w:rsidR="00500C45" w:rsidRPr="00E07F01" w:rsidRDefault="005672DA" w:rsidP="0011042D">
      <w:pPr>
        <w:pStyle w:val="Bullet"/>
      </w:pPr>
      <w:r w:rsidRPr="00E07F01">
        <w:t>g</w:t>
      </w:r>
      <w:r w:rsidR="001E5987" w:rsidRPr="00E07F01">
        <w:t>eographic area</w:t>
      </w:r>
    </w:p>
    <w:p w14:paraId="00C74C1E" w14:textId="1B384512" w:rsidR="00500C45" w:rsidRPr="00E07F01" w:rsidRDefault="005672DA" w:rsidP="0011042D">
      <w:pPr>
        <w:pStyle w:val="Bullet"/>
      </w:pPr>
      <w:r w:rsidRPr="00E07F01">
        <w:t>d</w:t>
      </w:r>
      <w:r w:rsidR="00500C45" w:rsidRPr="00E07F01">
        <w:t>emography</w:t>
      </w:r>
    </w:p>
    <w:p w14:paraId="65ACD808" w14:textId="283CAD26" w:rsidR="007B6897" w:rsidRPr="00E07F01" w:rsidRDefault="005672DA" w:rsidP="0011042D">
      <w:pPr>
        <w:pStyle w:val="Bullet"/>
      </w:pPr>
      <w:r w:rsidRPr="00E07F01">
        <w:t>p</w:t>
      </w:r>
      <w:r w:rsidR="007B6897" w:rsidRPr="00E07F01">
        <w:t>opulation</w:t>
      </w:r>
    </w:p>
    <w:p w14:paraId="7C6C8D04" w14:textId="5DB358FF" w:rsidR="007B6897" w:rsidRPr="00E07F01" w:rsidRDefault="005672DA" w:rsidP="0011042D">
      <w:pPr>
        <w:pStyle w:val="Bullet"/>
      </w:pPr>
      <w:r w:rsidRPr="00E07F01">
        <w:t>s</w:t>
      </w:r>
      <w:r w:rsidR="007B6897" w:rsidRPr="00E07F01">
        <w:t>ervices</w:t>
      </w:r>
    </w:p>
    <w:p w14:paraId="656F5277" w14:textId="3289455B" w:rsidR="007B6897" w:rsidRPr="00E07F01" w:rsidRDefault="005672DA" w:rsidP="0011042D">
      <w:pPr>
        <w:pStyle w:val="Bullet"/>
      </w:pPr>
      <w:r w:rsidRPr="00E07F01">
        <w:t>t</w:t>
      </w:r>
      <w:r w:rsidR="007B6897" w:rsidRPr="00E07F01">
        <w:t>ransport routes</w:t>
      </w:r>
    </w:p>
    <w:p w14:paraId="7D073F29" w14:textId="01DD094C" w:rsidR="007B6897" w:rsidRPr="00E07F01" w:rsidRDefault="005672DA" w:rsidP="0011042D">
      <w:pPr>
        <w:pStyle w:val="Bullet"/>
      </w:pPr>
      <w:r w:rsidRPr="00E07F01">
        <w:t>t</w:t>
      </w:r>
      <w:r w:rsidR="007B6897" w:rsidRPr="00E07F01">
        <w:t>angata</w:t>
      </w:r>
      <w:r w:rsidR="00435E7F" w:rsidRPr="00435E7F">
        <w:t xml:space="preserve"> </w:t>
      </w:r>
      <w:r w:rsidR="00435E7F" w:rsidRPr="00E07F01">
        <w:t>whenua/mana whenua</w:t>
      </w:r>
      <w:r w:rsidR="00435E7F">
        <w:rPr>
          <w:rStyle w:val="FootnoteReference"/>
        </w:rPr>
        <w:t xml:space="preserve"> </w:t>
      </w:r>
      <w:r w:rsidR="00F70F8A">
        <w:rPr>
          <w:rStyle w:val="FootnoteReference"/>
        </w:rPr>
        <w:footnoteReference w:id="2"/>
      </w:r>
      <w:r w:rsidR="00730B78">
        <w:t xml:space="preserve"> </w:t>
      </w:r>
    </w:p>
    <w:p w14:paraId="13638CC2" w14:textId="61AC90B6" w:rsidR="007B6897" w:rsidRPr="00E07F01" w:rsidRDefault="005672DA" w:rsidP="0011042D">
      <w:pPr>
        <w:pStyle w:val="Bullet"/>
      </w:pPr>
      <w:r w:rsidRPr="00E07F01">
        <w:t>n</w:t>
      </w:r>
      <w:r w:rsidR="007B6897" w:rsidRPr="00E07F01">
        <w:t>atural hazards</w:t>
      </w:r>
    </w:p>
    <w:p w14:paraId="4211F93D" w14:textId="379E8DC7" w:rsidR="007B6897" w:rsidRPr="00E07F01" w:rsidRDefault="005672DA" w:rsidP="0011042D">
      <w:pPr>
        <w:pStyle w:val="Bullet"/>
      </w:pPr>
      <w:r w:rsidRPr="00E07F01">
        <w:t>u</w:t>
      </w:r>
      <w:r w:rsidR="001E5987" w:rsidRPr="00E07F01">
        <w:t xml:space="preserve">rban, </w:t>
      </w:r>
      <w:r w:rsidR="007B6897" w:rsidRPr="00E07F01">
        <w:t>rural and natural environment</w:t>
      </w:r>
    </w:p>
    <w:p w14:paraId="597D4E42" w14:textId="08B69AD7" w:rsidR="00EE6B39" w:rsidRPr="00FF6C3C" w:rsidRDefault="005672DA" w:rsidP="00FC3B71">
      <w:pPr>
        <w:pStyle w:val="Bullet"/>
        <w:spacing w:after="0"/>
        <w:rPr>
          <w:szCs w:val="22"/>
        </w:rPr>
      </w:pPr>
      <w:r w:rsidRPr="00FF6C3C">
        <w:rPr>
          <w:szCs w:val="22"/>
        </w:rPr>
        <w:t>m</w:t>
      </w:r>
      <w:r w:rsidR="001E5987" w:rsidRPr="00FF6C3C">
        <w:rPr>
          <w:szCs w:val="22"/>
        </w:rPr>
        <w:t xml:space="preserve">ajor industries and resources. </w:t>
      </w:r>
    </w:p>
    <w:p w14:paraId="358DC03B" w14:textId="0D7A2952" w:rsidR="00FF6C3C" w:rsidRDefault="00EE6B39" w:rsidP="0070261D">
      <w:pPr>
        <w:pStyle w:val="BodyText"/>
      </w:pPr>
      <w:r w:rsidRPr="00EE6B39">
        <w:lastRenderedPageBreak/>
        <w:t>Although</w:t>
      </w:r>
      <w:r w:rsidRPr="0015271E">
        <w:t xml:space="preserve"> all of the above examples could be included in this part of the plan</w:t>
      </w:r>
      <w:r w:rsidR="00E07F01">
        <w:t>,</w:t>
      </w:r>
      <w:r w:rsidRPr="0015271E">
        <w:t xml:space="preserve"> it is important </w:t>
      </w:r>
      <w:r w:rsidR="00B72E7A">
        <w:t>you</w:t>
      </w:r>
      <w:r w:rsidRPr="0015271E">
        <w:t xml:space="preserve"> only include </w:t>
      </w:r>
      <w:r w:rsidRPr="00EE6B39">
        <w:t xml:space="preserve">information that </w:t>
      </w:r>
      <w:r w:rsidR="00E07F01">
        <w:t xml:space="preserve">helps </w:t>
      </w:r>
      <w:r w:rsidR="00FF025D">
        <w:t>the policy and rule framework that follows</w:t>
      </w:r>
      <w:r w:rsidRPr="00EE6B39">
        <w:t>.</w:t>
      </w:r>
      <w:r w:rsidR="00E07F01">
        <w:t xml:space="preserve"> </w:t>
      </w:r>
      <w:r>
        <w:t>Th</w:t>
      </w:r>
      <w:r w:rsidRPr="0015271E">
        <w:t xml:space="preserve">e requirements of section 18A of the </w:t>
      </w:r>
      <w:r w:rsidR="009A0E94">
        <w:t>Resource Management Act</w:t>
      </w:r>
      <w:r w:rsidR="0070261D">
        <w:t xml:space="preserve"> 1991</w:t>
      </w:r>
      <w:r w:rsidR="009A0E94">
        <w:t xml:space="preserve"> (</w:t>
      </w:r>
      <w:r w:rsidRPr="0015271E">
        <w:t>RMA</w:t>
      </w:r>
      <w:r w:rsidR="009A0E94">
        <w:t>)</w:t>
      </w:r>
      <w:r w:rsidRPr="0015271E">
        <w:t xml:space="preserve"> </w:t>
      </w:r>
      <w:r>
        <w:t>apply to all plans and state that plans</w:t>
      </w:r>
      <w:r w:rsidRPr="0015271E">
        <w:t xml:space="preserve"> “include only those matters relevant to the purpose” of the Act and be “worded in a way that is clear and </w:t>
      </w:r>
      <w:r w:rsidR="00B62411" w:rsidRPr="00B62411">
        <w:t>concise</w:t>
      </w:r>
      <w:r w:rsidR="00B62411">
        <w:t>”</w:t>
      </w:r>
      <w:r w:rsidRPr="0015271E">
        <w:t xml:space="preserve">. </w:t>
      </w:r>
    </w:p>
    <w:p w14:paraId="5CD5CB98" w14:textId="1A145507" w:rsidR="001E5987" w:rsidRPr="00B72E7A" w:rsidRDefault="001E5987" w:rsidP="00B72E7A">
      <w:pPr>
        <w:pStyle w:val="Heading3"/>
      </w:pPr>
      <w:r w:rsidRPr="00B72E7A">
        <w:t>How the plan works</w:t>
      </w:r>
    </w:p>
    <w:p w14:paraId="2AE8A2C8" w14:textId="210F68BE" w:rsidR="00E920BB" w:rsidRPr="00461B43" w:rsidRDefault="007813C5" w:rsidP="00461B43">
      <w:pPr>
        <w:pStyle w:val="BodyText"/>
        <w:rPr>
          <w:lang w:val="en-NZ"/>
        </w:rPr>
      </w:pPr>
      <w:r w:rsidRPr="00461B43">
        <w:rPr>
          <w:lang w:val="en-NZ"/>
        </w:rPr>
        <w:t xml:space="preserve">The </w:t>
      </w:r>
      <w:r w:rsidRPr="00461B43">
        <w:rPr>
          <w:i/>
          <w:lang w:val="en-NZ"/>
        </w:rPr>
        <w:t>How the plan works</w:t>
      </w:r>
      <w:r w:rsidR="00FE4E27" w:rsidRPr="00461B43">
        <w:rPr>
          <w:lang w:val="en-NZ"/>
        </w:rPr>
        <w:t xml:space="preserve"> heading</w:t>
      </w:r>
      <w:r w:rsidRPr="00461B43">
        <w:rPr>
          <w:lang w:val="en-NZ"/>
        </w:rPr>
        <w:t xml:space="preserve"> provides a location for statutory information relevant to plans</w:t>
      </w:r>
      <w:r w:rsidR="00FE4E27" w:rsidRPr="00461B43">
        <w:rPr>
          <w:lang w:val="en-NZ"/>
        </w:rPr>
        <w:t>, including</w:t>
      </w:r>
      <w:r w:rsidRPr="00461B43">
        <w:rPr>
          <w:lang w:val="en-NZ"/>
        </w:rPr>
        <w:t xml:space="preserve"> pending and existing Treaty of Waitangi settlement legislation. </w:t>
      </w:r>
      <w:r w:rsidR="00E76722" w:rsidRPr="00461B43">
        <w:rPr>
          <w:lang w:val="en-NZ"/>
        </w:rPr>
        <w:t>This</w:t>
      </w:r>
      <w:r w:rsidR="001E5987" w:rsidRPr="00461B43">
        <w:rPr>
          <w:lang w:val="en-NZ"/>
        </w:rPr>
        <w:t xml:space="preserve"> legislation</w:t>
      </w:r>
      <w:r w:rsidR="00E76722" w:rsidRPr="00461B43">
        <w:rPr>
          <w:lang w:val="en-NZ"/>
        </w:rPr>
        <w:t>,</w:t>
      </w:r>
      <w:r w:rsidR="001E5987" w:rsidRPr="00461B43">
        <w:rPr>
          <w:lang w:val="en-NZ"/>
        </w:rPr>
        <w:t xml:space="preserve"> or related statutory documents </w:t>
      </w:r>
      <w:r w:rsidR="00E920BB" w:rsidRPr="00461B43">
        <w:rPr>
          <w:lang w:val="en-NZ"/>
        </w:rPr>
        <w:t>(</w:t>
      </w:r>
      <w:r w:rsidRPr="00461B43">
        <w:rPr>
          <w:lang w:val="en-NZ"/>
        </w:rPr>
        <w:t>referred</w:t>
      </w:r>
      <w:r w:rsidR="00E920BB" w:rsidRPr="00461B43">
        <w:rPr>
          <w:lang w:val="en-NZ"/>
        </w:rPr>
        <w:t xml:space="preserve"> to </w:t>
      </w:r>
      <w:r w:rsidR="001E5987" w:rsidRPr="00461B43">
        <w:rPr>
          <w:lang w:val="en-NZ"/>
        </w:rPr>
        <w:t>in direction 5c</w:t>
      </w:r>
      <w:r w:rsidR="00E920BB" w:rsidRPr="00461B43">
        <w:rPr>
          <w:lang w:val="en-NZ"/>
        </w:rPr>
        <w:t>)</w:t>
      </w:r>
      <w:r w:rsidR="00E76722" w:rsidRPr="00461B43">
        <w:rPr>
          <w:lang w:val="en-NZ"/>
        </w:rPr>
        <w:t>,</w:t>
      </w:r>
      <w:r w:rsidR="001E5987" w:rsidRPr="00461B43">
        <w:rPr>
          <w:lang w:val="en-NZ"/>
        </w:rPr>
        <w:t xml:space="preserve"> includes legislation and documents that have not been through a full settlement process. </w:t>
      </w:r>
      <w:r w:rsidR="00B72E7A">
        <w:rPr>
          <w:lang w:val="en-NZ"/>
        </w:rPr>
        <w:t xml:space="preserve">You </w:t>
      </w:r>
      <w:r w:rsidR="00B72E7A" w:rsidRPr="00461B43">
        <w:rPr>
          <w:lang w:val="en-NZ"/>
        </w:rPr>
        <w:t xml:space="preserve">don’t have to </w:t>
      </w:r>
      <w:r w:rsidR="00B72E7A">
        <w:rPr>
          <w:lang w:val="en-NZ"/>
        </w:rPr>
        <w:t>include t</w:t>
      </w:r>
      <w:r w:rsidR="001E5987" w:rsidRPr="00253258">
        <w:rPr>
          <w:lang w:val="en-NZ"/>
        </w:rPr>
        <w:t>hese documents</w:t>
      </w:r>
      <w:r w:rsidR="00E920BB">
        <w:rPr>
          <w:lang w:val="en-NZ"/>
        </w:rPr>
        <w:t xml:space="preserve"> </w:t>
      </w:r>
      <w:r w:rsidR="001E5987" w:rsidRPr="00461B43">
        <w:rPr>
          <w:lang w:val="en-NZ"/>
        </w:rPr>
        <w:t xml:space="preserve">in plans, however </w:t>
      </w:r>
      <w:r w:rsidR="00B72E7A" w:rsidRPr="00461B43">
        <w:rPr>
          <w:lang w:val="en-NZ"/>
        </w:rPr>
        <w:t xml:space="preserve">if </w:t>
      </w:r>
      <w:r w:rsidR="00B72E7A">
        <w:rPr>
          <w:lang w:val="en-NZ"/>
        </w:rPr>
        <w:t>you choose</w:t>
      </w:r>
      <w:r w:rsidR="00E920BB" w:rsidRPr="00461B43">
        <w:rPr>
          <w:lang w:val="en-NZ"/>
        </w:rPr>
        <w:t xml:space="preserve"> to refer to them in a plan</w:t>
      </w:r>
      <w:r w:rsidR="001E5987" w:rsidRPr="00461B43">
        <w:rPr>
          <w:lang w:val="en-NZ"/>
        </w:rPr>
        <w:t xml:space="preserve"> </w:t>
      </w:r>
      <w:r w:rsidR="00B72E7A">
        <w:rPr>
          <w:lang w:val="en-NZ"/>
        </w:rPr>
        <w:t xml:space="preserve">you must place </w:t>
      </w:r>
      <w:r w:rsidRPr="00461B43">
        <w:rPr>
          <w:lang w:val="en-NZ"/>
        </w:rPr>
        <w:t>that information</w:t>
      </w:r>
      <w:r w:rsidR="001E5987" w:rsidRPr="00461B43">
        <w:rPr>
          <w:lang w:val="en-NZ"/>
        </w:rPr>
        <w:t xml:space="preserve"> under the </w:t>
      </w:r>
      <w:r w:rsidR="001E5987" w:rsidRPr="00461B43">
        <w:rPr>
          <w:i/>
          <w:lang w:val="en-NZ"/>
        </w:rPr>
        <w:t>How the</w:t>
      </w:r>
      <w:r w:rsidR="005672DA" w:rsidRPr="00461B43">
        <w:rPr>
          <w:i/>
          <w:lang w:val="en-NZ"/>
        </w:rPr>
        <w:t xml:space="preserve"> plan works</w:t>
      </w:r>
      <w:r w:rsidR="001E5987" w:rsidRPr="00461B43">
        <w:rPr>
          <w:lang w:val="en-NZ"/>
        </w:rPr>
        <w:t xml:space="preserve"> heading. </w:t>
      </w:r>
    </w:p>
    <w:p w14:paraId="7677857F" w14:textId="34806350" w:rsidR="001E5987" w:rsidRPr="00D2401B" w:rsidRDefault="007D7F00" w:rsidP="00547305">
      <w:pPr>
        <w:pStyle w:val="Heading3"/>
      </w:pPr>
      <w:r w:rsidRPr="00D2401B">
        <w:t xml:space="preserve">Relationships between spatial layers </w:t>
      </w:r>
    </w:p>
    <w:p w14:paraId="00A02DBE" w14:textId="2DB02BCC" w:rsidR="0005608F" w:rsidRPr="007D2E64" w:rsidRDefault="007D2E64" w:rsidP="00547305">
      <w:pPr>
        <w:pStyle w:val="BodyText"/>
      </w:pPr>
      <w:r w:rsidRPr="007D2E64">
        <w:t xml:space="preserve">The </w:t>
      </w:r>
      <w:r w:rsidRPr="007D2E64">
        <w:rPr>
          <w:i/>
          <w:iCs/>
        </w:rPr>
        <w:t>Relationships between spatial layers</w:t>
      </w:r>
      <w:r w:rsidRPr="007D2E64">
        <w:t xml:space="preserve"> chapter must be included in plans because it is </w:t>
      </w:r>
      <w:r w:rsidR="00D2401B">
        <w:t xml:space="preserve">considered </w:t>
      </w:r>
      <w:r w:rsidRPr="007D2E64">
        <w:t xml:space="preserve">necessary to explain and </w:t>
      </w:r>
      <w:r w:rsidR="00E07F01">
        <w:t>clarify</w:t>
      </w:r>
      <w:r w:rsidRPr="007D2E64">
        <w:t xml:space="preserve"> the relationships between spatial layers for plan users</w:t>
      </w:r>
      <w:r>
        <w:t>.</w:t>
      </w:r>
    </w:p>
    <w:p w14:paraId="27552BAA" w14:textId="428193F2" w:rsidR="001E5987" w:rsidRPr="008D383F" w:rsidRDefault="00E920BB" w:rsidP="00547305">
      <w:pPr>
        <w:pStyle w:val="BodyText"/>
        <w:rPr>
          <w:lang w:val="en-NZ"/>
        </w:rPr>
      </w:pPr>
      <w:r w:rsidRPr="007813C5">
        <w:t>The</w:t>
      </w:r>
      <w:r>
        <w:rPr>
          <w:i/>
        </w:rPr>
        <w:t xml:space="preserve"> </w:t>
      </w:r>
      <w:hyperlink r:id="rId12" w:history="1">
        <w:r w:rsidR="004A58BD" w:rsidRPr="00547305">
          <w:rPr>
            <w:rStyle w:val="Hyperlink"/>
            <w:rFonts w:asciiTheme="minorHAnsi" w:hAnsiTheme="minorHAnsi" w:cstheme="minorHAnsi"/>
            <w:i/>
            <w:color w:val="0F7B7D"/>
            <w:szCs w:val="22"/>
            <w:u w:val="none"/>
          </w:rPr>
          <w:t>G</w:t>
        </w:r>
        <w:r w:rsidR="001E5987" w:rsidRPr="00547305">
          <w:rPr>
            <w:rStyle w:val="Hyperlink"/>
            <w:rFonts w:asciiTheme="minorHAnsi" w:hAnsiTheme="minorHAnsi" w:cstheme="minorHAnsi"/>
            <w:i/>
            <w:color w:val="0F7B7D"/>
            <w:szCs w:val="22"/>
            <w:u w:val="none"/>
          </w:rPr>
          <w:t xml:space="preserve">uidance for National Planning Standards: </w:t>
        </w:r>
        <w:r w:rsidR="00821525" w:rsidRPr="00547305">
          <w:rPr>
            <w:rStyle w:val="Hyperlink"/>
            <w:rFonts w:asciiTheme="minorHAnsi" w:hAnsiTheme="minorHAnsi" w:cstheme="minorHAnsi"/>
            <w:i/>
            <w:color w:val="0F7B7D"/>
            <w:szCs w:val="22"/>
            <w:u w:val="none"/>
          </w:rPr>
          <w:t xml:space="preserve">12. </w:t>
        </w:r>
        <w:r w:rsidR="00644D97" w:rsidRPr="00547305">
          <w:rPr>
            <w:rStyle w:val="Hyperlink"/>
            <w:rFonts w:asciiTheme="minorHAnsi" w:hAnsiTheme="minorHAnsi" w:cstheme="minorHAnsi"/>
            <w:i/>
            <w:color w:val="0F7B7D"/>
            <w:szCs w:val="22"/>
            <w:u w:val="none"/>
          </w:rPr>
          <w:t xml:space="preserve">District </w:t>
        </w:r>
        <w:r w:rsidR="001E5987" w:rsidRPr="00547305">
          <w:rPr>
            <w:rStyle w:val="Hyperlink"/>
            <w:rFonts w:asciiTheme="minorHAnsi" w:hAnsiTheme="minorHAnsi" w:cstheme="minorHAnsi"/>
            <w:i/>
            <w:color w:val="0F7B7D"/>
            <w:szCs w:val="22"/>
            <w:u w:val="none"/>
          </w:rPr>
          <w:t>Spatial Layers</w:t>
        </w:r>
      </w:hyperlink>
      <w:r w:rsidR="001E5987" w:rsidRPr="00253258">
        <w:rPr>
          <w:i/>
        </w:rPr>
        <w:t xml:space="preserve"> </w:t>
      </w:r>
      <w:r w:rsidR="001E5987" w:rsidRPr="00253258">
        <w:t>provide</w:t>
      </w:r>
      <w:r>
        <w:t>s</w:t>
      </w:r>
      <w:r w:rsidR="001E5987" w:rsidRPr="00253258">
        <w:t xml:space="preserve"> guidance </w:t>
      </w:r>
      <w:r w:rsidR="007813C5">
        <w:t>on how</w:t>
      </w:r>
      <w:r w:rsidR="001E5987" w:rsidRPr="00253258">
        <w:t xml:space="preserve"> spatial layers relate to one another</w:t>
      </w:r>
      <w:r w:rsidR="00B132D8">
        <w:t xml:space="preserve"> that can </w:t>
      </w:r>
      <w:r w:rsidR="00E07F01">
        <w:t xml:space="preserve">help </w:t>
      </w:r>
      <w:r w:rsidR="00B72E7A">
        <w:t>you</w:t>
      </w:r>
      <w:r>
        <w:t xml:space="preserve"> </w:t>
      </w:r>
      <w:r w:rsidR="00797BC1">
        <w:t>write</w:t>
      </w:r>
      <w:r w:rsidR="005672DA">
        <w:t xml:space="preserve"> this chapter</w:t>
      </w:r>
      <w:r w:rsidR="007D7F00">
        <w:t xml:space="preserve"> (referred to in direction 8).</w:t>
      </w:r>
      <w:r w:rsidR="00225782">
        <w:t xml:space="preserve"> </w:t>
      </w:r>
    </w:p>
    <w:p w14:paraId="0978D7C7" w14:textId="77777777" w:rsidR="001E5987" w:rsidRPr="00434BB3" w:rsidRDefault="001E5987" w:rsidP="008B31F3">
      <w:pPr>
        <w:pStyle w:val="Heading3"/>
      </w:pPr>
      <w:r w:rsidRPr="00434BB3">
        <w:t xml:space="preserve">Interpretation </w:t>
      </w:r>
    </w:p>
    <w:p w14:paraId="7E995BA3" w14:textId="3DDAD28D" w:rsidR="00644D97" w:rsidRDefault="00E51D9D" w:rsidP="008B31F3">
      <w:pPr>
        <w:pStyle w:val="BodyText"/>
      </w:pPr>
      <w:r>
        <w:t xml:space="preserve">The </w:t>
      </w:r>
      <w:r w:rsidRPr="00E51D9D">
        <w:rPr>
          <w:i/>
        </w:rPr>
        <w:t xml:space="preserve">Interpretation </w:t>
      </w:r>
      <w:r w:rsidRPr="007F4AC8">
        <w:t>heading</w:t>
      </w:r>
      <w:r>
        <w:t xml:space="preserve"> must be included in plans as the </w:t>
      </w:r>
      <w:r w:rsidR="00797BC1" w:rsidRPr="00F70F8A">
        <w:rPr>
          <w:i/>
        </w:rPr>
        <w:t>D</w:t>
      </w:r>
      <w:r w:rsidRPr="00F70F8A">
        <w:rPr>
          <w:i/>
        </w:rPr>
        <w:t xml:space="preserve">efinitions </w:t>
      </w:r>
      <w:r>
        <w:t xml:space="preserve">and </w:t>
      </w:r>
      <w:r w:rsidR="00797BC1" w:rsidRPr="00F70F8A">
        <w:rPr>
          <w:i/>
        </w:rPr>
        <w:t>A</w:t>
      </w:r>
      <w:r w:rsidRPr="00F70F8A">
        <w:rPr>
          <w:i/>
        </w:rPr>
        <w:t xml:space="preserve">bbreviations </w:t>
      </w:r>
      <w:r>
        <w:t>chapters are compulsory.</w:t>
      </w:r>
      <w:r w:rsidR="00E07F01">
        <w:t xml:space="preserve"> </w:t>
      </w:r>
      <w:r w:rsidRPr="00E51D9D">
        <w:t xml:space="preserve">The </w:t>
      </w:r>
      <w:r w:rsidRPr="00E51D9D">
        <w:rPr>
          <w:i/>
        </w:rPr>
        <w:t xml:space="preserve">10. Format </w:t>
      </w:r>
      <w:r w:rsidRPr="008B31F3">
        <w:rPr>
          <w:i/>
        </w:rPr>
        <w:t>Standard</w:t>
      </w:r>
      <w:r w:rsidRPr="00E51D9D">
        <w:t xml:space="preserve"> and </w:t>
      </w:r>
      <w:r w:rsidRPr="00E51D9D">
        <w:rPr>
          <w:i/>
        </w:rPr>
        <w:t xml:space="preserve">14. Definitions </w:t>
      </w:r>
      <w:r w:rsidRPr="008B31F3">
        <w:rPr>
          <w:i/>
        </w:rPr>
        <w:t>Standard</w:t>
      </w:r>
      <w:r w:rsidRPr="00E51D9D">
        <w:t xml:space="preserve"> provide the structure, form and</w:t>
      </w:r>
      <w:r w:rsidR="00797BC1">
        <w:t xml:space="preserve"> some</w:t>
      </w:r>
      <w:r w:rsidRPr="00E51D9D">
        <w:t xml:space="preserve"> content </w:t>
      </w:r>
      <w:r>
        <w:t>of the definitions</w:t>
      </w:r>
      <w:r w:rsidRPr="00E51D9D">
        <w:t xml:space="preserve"> chapter.</w:t>
      </w:r>
      <w:r w:rsidR="00E07F01">
        <w:t xml:space="preserve"> </w:t>
      </w:r>
      <w:r>
        <w:t>Therefore</w:t>
      </w:r>
      <w:r w:rsidR="005672DA">
        <w:t>,</w:t>
      </w:r>
      <w:r>
        <w:t xml:space="preserve"> g</w:t>
      </w:r>
      <w:r w:rsidR="00D34ABA">
        <w:t>uidance for th</w:t>
      </w:r>
      <w:r w:rsidR="005672DA">
        <w:t xml:space="preserve">e </w:t>
      </w:r>
      <w:r w:rsidR="005672DA" w:rsidRPr="005672DA">
        <w:rPr>
          <w:i/>
        </w:rPr>
        <w:t xml:space="preserve">Definitions </w:t>
      </w:r>
      <w:r w:rsidR="005672DA">
        <w:t>chapter</w:t>
      </w:r>
      <w:r w:rsidR="00D34ABA">
        <w:t xml:space="preserve"> is included within </w:t>
      </w:r>
      <w:hyperlink r:id="rId13" w:history="1">
        <w:r w:rsidR="00B76930" w:rsidRPr="008B31F3">
          <w:rPr>
            <w:rStyle w:val="Hyperlink"/>
            <w:i/>
            <w:color w:val="0F7B7D"/>
            <w:szCs w:val="22"/>
            <w:u w:val="none"/>
          </w:rPr>
          <w:t>Guidance for National Planning Standards: 10. Format</w:t>
        </w:r>
      </w:hyperlink>
      <w:r w:rsidR="00B76930" w:rsidRPr="008B31F3">
        <w:rPr>
          <w:i/>
          <w:color w:val="0F7B7D"/>
        </w:rPr>
        <w:t xml:space="preserve"> </w:t>
      </w:r>
      <w:r w:rsidR="00B76930" w:rsidRPr="008B31F3">
        <w:rPr>
          <w:color w:val="000000" w:themeColor="text1"/>
        </w:rPr>
        <w:t>and</w:t>
      </w:r>
      <w:r w:rsidR="00B76930" w:rsidRPr="008B31F3">
        <w:rPr>
          <w:i/>
          <w:color w:val="000000" w:themeColor="text1"/>
        </w:rPr>
        <w:t xml:space="preserve"> </w:t>
      </w:r>
      <w:hyperlink r:id="rId14" w:history="1">
        <w:r w:rsidR="00D34ABA" w:rsidRPr="008B31F3">
          <w:rPr>
            <w:rStyle w:val="Hyperlink"/>
            <w:i/>
            <w:color w:val="0F7B7D"/>
            <w:szCs w:val="22"/>
            <w:u w:val="none"/>
          </w:rPr>
          <w:t>Guidance for National Planning Standards: 14. Definitions</w:t>
        </w:r>
        <w:r w:rsidR="001E5987" w:rsidRPr="008B31F3">
          <w:rPr>
            <w:rStyle w:val="Hyperlink"/>
            <w:color w:val="000000" w:themeColor="text1"/>
            <w:szCs w:val="22"/>
            <w:u w:val="none"/>
          </w:rPr>
          <w:t>.</w:t>
        </w:r>
      </w:hyperlink>
    </w:p>
    <w:p w14:paraId="2C3FB200" w14:textId="4E98F52B" w:rsidR="00E51D9D" w:rsidRPr="00E51D9D" w:rsidRDefault="00E51D9D" w:rsidP="008B31F3">
      <w:pPr>
        <w:pStyle w:val="BodyText"/>
      </w:pPr>
      <w:r>
        <w:t xml:space="preserve">An </w:t>
      </w:r>
      <w:r w:rsidR="00435E7F" w:rsidRPr="00435E7F">
        <w:rPr>
          <w:i/>
        </w:rPr>
        <w:t>A</w:t>
      </w:r>
      <w:r w:rsidRPr="00E51D9D">
        <w:rPr>
          <w:i/>
        </w:rPr>
        <w:t>bbreviations chapter</w:t>
      </w:r>
      <w:r>
        <w:t xml:space="preserve"> must be included and contain at least the abbreviations included in </w:t>
      </w:r>
      <w:r w:rsidR="00461B43">
        <w:rPr>
          <w:i/>
        </w:rPr>
        <w:t>T</w:t>
      </w:r>
      <w:r w:rsidRPr="00E51D9D">
        <w:rPr>
          <w:i/>
        </w:rPr>
        <w:t>able 7: Abbreviations</w:t>
      </w:r>
      <w:r>
        <w:rPr>
          <w:i/>
        </w:rPr>
        <w:t xml:space="preserve">. </w:t>
      </w:r>
      <w:r w:rsidRPr="00E51D9D">
        <w:t>T</w:t>
      </w:r>
      <w:r>
        <w:t xml:space="preserve">his is because the abbreviations are used in the tables </w:t>
      </w:r>
      <w:r w:rsidR="00B72E7A">
        <w:t>that must</w:t>
      </w:r>
      <w:r>
        <w:t xml:space="preserve"> be included in the </w:t>
      </w:r>
      <w:r w:rsidR="005672DA">
        <w:rPr>
          <w:i/>
        </w:rPr>
        <w:t>N</w:t>
      </w:r>
      <w:r w:rsidR="0084072F">
        <w:rPr>
          <w:i/>
        </w:rPr>
        <w:t xml:space="preserve">ational </w:t>
      </w:r>
      <w:r w:rsidR="00435E7F">
        <w:rPr>
          <w:i/>
        </w:rPr>
        <w:t>d</w:t>
      </w:r>
      <w:r w:rsidRPr="00E51D9D">
        <w:rPr>
          <w:i/>
        </w:rPr>
        <w:t xml:space="preserve">irection </w:t>
      </w:r>
      <w:r w:rsidR="00435E7F">
        <w:rPr>
          <w:i/>
        </w:rPr>
        <w:t>i</w:t>
      </w:r>
      <w:r w:rsidR="00860804">
        <w:rPr>
          <w:i/>
        </w:rPr>
        <w:t xml:space="preserve">nstruments </w:t>
      </w:r>
      <w:r w:rsidRPr="00860804">
        <w:t>chapter.</w:t>
      </w:r>
      <w:r w:rsidR="004F3D6D">
        <w:t xml:space="preserve"> If </w:t>
      </w:r>
      <w:r w:rsidR="00B72E7A">
        <w:t>you use</w:t>
      </w:r>
      <w:r w:rsidR="00E07F01">
        <w:t xml:space="preserve"> </w:t>
      </w:r>
      <w:r w:rsidR="004F3D6D">
        <w:t xml:space="preserve">abbreviations in </w:t>
      </w:r>
      <w:r w:rsidR="00B72E7A">
        <w:t>your</w:t>
      </w:r>
      <w:r w:rsidR="00E07F01">
        <w:t xml:space="preserve"> </w:t>
      </w:r>
      <w:r w:rsidR="004F3D6D">
        <w:t xml:space="preserve">plan </w:t>
      </w:r>
      <w:r w:rsidR="00797BC1">
        <w:t>(</w:t>
      </w:r>
      <w:r w:rsidR="00FC3B71">
        <w:t>in accordance</w:t>
      </w:r>
      <w:r w:rsidR="004F3D6D">
        <w:t xml:space="preserve"> with directions 5 and 8</w:t>
      </w:r>
      <w:r w:rsidR="00461B43">
        <w:t xml:space="preserve"> and the unique identifiers in T</w:t>
      </w:r>
      <w:r w:rsidR="004F3D6D">
        <w:t xml:space="preserve">able 16 of </w:t>
      </w:r>
      <w:r w:rsidR="004F3D6D" w:rsidRPr="004F3D6D">
        <w:rPr>
          <w:i/>
        </w:rPr>
        <w:t>10. Format</w:t>
      </w:r>
      <w:r w:rsidR="004F3D6D" w:rsidRPr="008B31F3">
        <w:rPr>
          <w:i/>
        </w:rPr>
        <w:t xml:space="preserve"> </w:t>
      </w:r>
      <w:r w:rsidR="00B01967" w:rsidRPr="008B31F3">
        <w:rPr>
          <w:i/>
        </w:rPr>
        <w:t>S</w:t>
      </w:r>
      <w:r w:rsidR="004F3D6D" w:rsidRPr="008B31F3">
        <w:rPr>
          <w:i/>
        </w:rPr>
        <w:t>tandard</w:t>
      </w:r>
      <w:r w:rsidR="00797BC1">
        <w:t>)</w:t>
      </w:r>
      <w:r w:rsidR="00E07F01">
        <w:t xml:space="preserve"> </w:t>
      </w:r>
      <w:r w:rsidR="00B72E7A">
        <w:t>you</w:t>
      </w:r>
      <w:r>
        <w:t xml:space="preserve"> </w:t>
      </w:r>
      <w:r w:rsidR="004F3D6D">
        <w:t xml:space="preserve">should also include </w:t>
      </w:r>
      <w:r w:rsidR="00E07F01">
        <w:t xml:space="preserve">them </w:t>
      </w:r>
      <w:r w:rsidR="004F3D6D">
        <w:t>in the abbreviation</w:t>
      </w:r>
      <w:r w:rsidR="00B72E7A">
        <w:t>s</w:t>
      </w:r>
      <w:r w:rsidR="004F3D6D">
        <w:t xml:space="preserve"> table.</w:t>
      </w:r>
    </w:p>
    <w:p w14:paraId="38639E61" w14:textId="214F2187" w:rsidR="001E5987" w:rsidRPr="001E5987" w:rsidRDefault="001E5987" w:rsidP="008B31F3">
      <w:pPr>
        <w:pStyle w:val="Heading3"/>
      </w:pPr>
      <w:r w:rsidRPr="001E5987">
        <w:t xml:space="preserve">National </w:t>
      </w:r>
      <w:r w:rsidR="00E95DDF">
        <w:t>d</w:t>
      </w:r>
      <w:r w:rsidRPr="001E5987">
        <w:t>irection</w:t>
      </w:r>
      <w:r w:rsidR="00B62411">
        <w:t xml:space="preserve"> </w:t>
      </w:r>
      <w:r w:rsidR="00E95DDF">
        <w:t>i</w:t>
      </w:r>
      <w:r w:rsidR="00B62411">
        <w:t>nstruments</w:t>
      </w:r>
    </w:p>
    <w:p w14:paraId="349CCE23" w14:textId="0912070D" w:rsidR="00C24A0A" w:rsidRDefault="00C24A0A" w:rsidP="008B31F3">
      <w:pPr>
        <w:pStyle w:val="BodyText"/>
      </w:pPr>
      <w:r>
        <w:t xml:space="preserve">The </w:t>
      </w:r>
      <w:r w:rsidRPr="005672DA">
        <w:rPr>
          <w:i/>
        </w:rPr>
        <w:t xml:space="preserve">National </w:t>
      </w:r>
      <w:r>
        <w:rPr>
          <w:i/>
        </w:rPr>
        <w:t>d</w:t>
      </w:r>
      <w:r w:rsidRPr="005672DA">
        <w:rPr>
          <w:i/>
        </w:rPr>
        <w:t>irection</w:t>
      </w:r>
      <w:r>
        <w:rPr>
          <w:i/>
        </w:rPr>
        <w:t xml:space="preserve"> instruments</w:t>
      </w:r>
      <w:r>
        <w:t xml:space="preserve"> heading is compulsory and requires </w:t>
      </w:r>
      <w:r w:rsidR="00B72E7A">
        <w:t>you</w:t>
      </w:r>
      <w:r w:rsidRPr="00611A94">
        <w:t xml:space="preserve"> </w:t>
      </w:r>
      <w:r w:rsidR="00FA2674">
        <w:t xml:space="preserve">to </w:t>
      </w:r>
      <w:r w:rsidRPr="00611A94">
        <w:t>include the content of tables 9–12</w:t>
      </w:r>
      <w:r>
        <w:t xml:space="preserve"> under </w:t>
      </w:r>
      <w:r w:rsidR="00797BC1">
        <w:t xml:space="preserve">the </w:t>
      </w:r>
      <w:r>
        <w:t>prescribed chapters.</w:t>
      </w:r>
      <w:r w:rsidR="00E07F01">
        <w:t xml:space="preserve"> </w:t>
      </w:r>
    </w:p>
    <w:p w14:paraId="242225FD" w14:textId="7E8DB0A0" w:rsidR="00C24A0A" w:rsidRDefault="00797BC1" w:rsidP="0069266C">
      <w:pPr>
        <w:pStyle w:val="BodyText"/>
      </w:pPr>
      <w:r>
        <w:t>In table 9</w:t>
      </w:r>
      <w:r w:rsidR="00E76722">
        <w:t>,</w:t>
      </w:r>
      <w:r>
        <w:t xml:space="preserve"> </w:t>
      </w:r>
      <w:r w:rsidR="00B72E7A">
        <w:t>you</w:t>
      </w:r>
      <w:r w:rsidR="00C24A0A">
        <w:t xml:space="preserve"> must </w:t>
      </w:r>
      <w:r w:rsidR="00C24A0A" w:rsidRPr="00611A94">
        <w:t xml:space="preserve">insert </w:t>
      </w:r>
      <w:r w:rsidR="00B72E7A">
        <w:t>your</w:t>
      </w:r>
      <w:r w:rsidR="00C24A0A" w:rsidRPr="00611A94">
        <w:t xml:space="preserve"> choice from </w:t>
      </w:r>
      <w:r w:rsidR="00C24A0A">
        <w:t>the o</w:t>
      </w:r>
      <w:r w:rsidR="00C24A0A" w:rsidRPr="00611A94">
        <w:t>ptions</w:t>
      </w:r>
      <w:r w:rsidR="00C24A0A">
        <w:t xml:space="preserve"> in directions 17 and 23</w:t>
      </w:r>
      <w:r w:rsidR="00FE4E27">
        <w:t xml:space="preserve"> for </w:t>
      </w:r>
      <w:r w:rsidR="00FE4E27" w:rsidRPr="0011042D">
        <w:t>national policy statements and the New Zealand Coastal Policy Statement</w:t>
      </w:r>
      <w:r w:rsidR="00FE4E27">
        <w:t xml:space="preserve"> and, when relevant to the local setting, table 12 for </w:t>
      </w:r>
      <w:r w:rsidR="00FE4E27" w:rsidRPr="0011042D">
        <w:t>water conservation orders</w:t>
      </w:r>
      <w:r w:rsidR="00C24A0A">
        <w:t>. The</w:t>
      </w:r>
      <w:r w:rsidR="00FE4E27">
        <w:t xml:space="preserve"> options</w:t>
      </w:r>
      <w:r w:rsidR="00C24A0A">
        <w:t xml:space="preserve"> provide plan users with an indication of </w:t>
      </w:r>
      <w:r w:rsidR="00C31375">
        <w:t xml:space="preserve">when </w:t>
      </w:r>
      <w:r w:rsidR="00B72E7A">
        <w:t>you have</w:t>
      </w:r>
      <w:r w:rsidR="00FC5AE2">
        <w:t xml:space="preserve"> </w:t>
      </w:r>
      <w:r w:rsidR="00C31375">
        <w:t xml:space="preserve">last </w:t>
      </w:r>
      <w:r w:rsidR="00FA2674">
        <w:t xml:space="preserve">reviewed </w:t>
      </w:r>
      <w:r w:rsidR="00B72E7A">
        <w:t>your</w:t>
      </w:r>
      <w:r w:rsidR="00FC5AE2">
        <w:t xml:space="preserve"> plan </w:t>
      </w:r>
      <w:r w:rsidR="00C31375">
        <w:t xml:space="preserve">in relation to </w:t>
      </w:r>
      <w:r w:rsidR="00FC5AE2">
        <w:t>each individual piece of national direction</w:t>
      </w:r>
      <w:r w:rsidR="00EF2BEF">
        <w:t>. Y</w:t>
      </w:r>
      <w:r w:rsidR="00B72E7A">
        <w:t xml:space="preserve">ou </w:t>
      </w:r>
      <w:r w:rsidR="00FC5AE2">
        <w:t>may or may not have actually init</w:t>
      </w:r>
      <w:r w:rsidR="00EF2BEF">
        <w:t>iated an associated plan change</w:t>
      </w:r>
      <w:r w:rsidR="00C24A0A">
        <w:t>.</w:t>
      </w:r>
      <w:r w:rsidR="00E07F01">
        <w:t xml:space="preserve"> </w:t>
      </w:r>
    </w:p>
    <w:p w14:paraId="4D181641" w14:textId="1AE9C406" w:rsidR="00C24A0A" w:rsidRDefault="00B72E7A" w:rsidP="008B31F3">
      <w:pPr>
        <w:pStyle w:val="BodyText"/>
      </w:pPr>
      <w:r>
        <w:t>You</w:t>
      </w:r>
      <w:r w:rsidR="00C24A0A" w:rsidRPr="00611A94">
        <w:t xml:space="preserve"> can format the tables to suit </w:t>
      </w:r>
      <w:r w:rsidR="00EF2BEF">
        <w:t>the</w:t>
      </w:r>
      <w:r w:rsidR="00C24A0A" w:rsidRPr="00611A94">
        <w:t xml:space="preserve"> individual ‘look and feel’</w:t>
      </w:r>
      <w:r w:rsidR="00EF2BEF">
        <w:t xml:space="preserve"> of your plan</w:t>
      </w:r>
      <w:r w:rsidR="00797BC1">
        <w:t>. T</w:t>
      </w:r>
      <w:r w:rsidR="00C24A0A" w:rsidRPr="00611A94">
        <w:t xml:space="preserve">he formatting of the tables is not directed by the </w:t>
      </w:r>
      <w:r w:rsidR="00B76930">
        <w:t xml:space="preserve">planning </w:t>
      </w:r>
      <w:r w:rsidR="00C24A0A" w:rsidRPr="00611A94">
        <w:t>standards.</w:t>
      </w:r>
    </w:p>
    <w:p w14:paraId="3597EE7B" w14:textId="0B2AF64F" w:rsidR="00435E7F" w:rsidRDefault="00435E7F">
      <w:pPr>
        <w:pStyle w:val="BodyText"/>
      </w:pPr>
      <w:r w:rsidRPr="00A660AE">
        <w:lastRenderedPageBreak/>
        <w:t>The</w:t>
      </w:r>
      <w:r w:rsidRPr="00611A94">
        <w:t xml:space="preserve"> Hauraki Gulf Marine Park Act 2000 is included in table 9 because sections 7 and 8 of </w:t>
      </w:r>
      <w:r w:rsidR="00B72E7A">
        <w:t>this Act</w:t>
      </w:r>
      <w:r w:rsidRPr="00611A94">
        <w:t xml:space="preserve"> are treated as a national policy statement and New Zealand Coastal Policy Statement.</w:t>
      </w:r>
      <w:r w:rsidRPr="00B820C3">
        <w:t xml:space="preserve"> </w:t>
      </w:r>
      <w:r w:rsidRPr="00611A94">
        <w:t xml:space="preserve">The Hauraki Gulf Marine Park Act 2000 </w:t>
      </w:r>
      <w:r>
        <w:t>will only be a relevant consideration for a few councils.</w:t>
      </w:r>
    </w:p>
    <w:p w14:paraId="3A1BE473" w14:textId="72667903" w:rsidR="00F70112" w:rsidRDefault="00F70112" w:rsidP="00F70112">
      <w:pPr>
        <w:pStyle w:val="BodyText"/>
        <w:rPr>
          <w:szCs w:val="22"/>
        </w:rPr>
      </w:pPr>
      <w:r>
        <w:t xml:space="preserve">Directions 19 and 21 of </w:t>
      </w:r>
      <w:r>
        <w:rPr>
          <w:i/>
          <w:iCs/>
        </w:rPr>
        <w:t xml:space="preserve">6. Introduction and General Provisions Standard </w:t>
      </w:r>
      <w:r>
        <w:t>require</w:t>
      </w:r>
      <w:r w:rsidR="00764AB2">
        <w:t>s</w:t>
      </w:r>
      <w:r>
        <w:rPr>
          <w:i/>
          <w:iCs/>
        </w:rPr>
        <w:t xml:space="preserve"> </w:t>
      </w:r>
      <w:r w:rsidR="00F24FBB">
        <w:t>you</w:t>
      </w:r>
      <w:r>
        <w:t xml:space="preserve"> to update tables 10 and 11 in </w:t>
      </w:r>
      <w:r w:rsidR="00F24FBB">
        <w:t>your plan</w:t>
      </w:r>
      <w:r w:rsidR="008424B3">
        <w:t>,</w:t>
      </w:r>
      <w:r>
        <w:t xml:space="preserve"> either when the relevant table in the planning standards is updated</w:t>
      </w:r>
      <w:r w:rsidR="008424B3">
        <w:t>,</w:t>
      </w:r>
      <w:r>
        <w:t xml:space="preserve"> or when new national direction </w:t>
      </w:r>
      <w:r w:rsidR="00AB059E">
        <w:t>takes effect</w:t>
      </w:r>
      <w:r>
        <w:t xml:space="preserve">. </w:t>
      </w:r>
      <w:r w:rsidR="00764AB2">
        <w:t>You</w:t>
      </w:r>
      <w:r w:rsidR="00764AB2" w:rsidRPr="00BD6D1C">
        <w:t xml:space="preserve"> must also include table 9 in </w:t>
      </w:r>
      <w:r w:rsidR="00764AB2">
        <w:t xml:space="preserve">your </w:t>
      </w:r>
      <w:r w:rsidR="00764AB2" w:rsidRPr="00BD6D1C">
        <w:t xml:space="preserve">plan and should also update </w:t>
      </w:r>
      <w:r w:rsidR="00764AB2">
        <w:t xml:space="preserve">this table </w:t>
      </w:r>
      <w:r w:rsidR="00764AB2" w:rsidRPr="00BD6D1C">
        <w:t xml:space="preserve">when new national policy statements </w:t>
      </w:r>
      <w:r w:rsidR="00764AB2">
        <w:t>take effect</w:t>
      </w:r>
      <w:r w:rsidR="00764AB2" w:rsidRPr="00BD6D1C">
        <w:t xml:space="preserve">, so long as </w:t>
      </w:r>
      <w:r w:rsidR="00764AB2">
        <w:t xml:space="preserve">you keep </w:t>
      </w:r>
      <w:r w:rsidR="00764AB2" w:rsidRPr="00BD6D1C">
        <w:t>the form</w:t>
      </w:r>
      <w:r w:rsidR="00764AB2">
        <w:t>at of this table</w:t>
      </w:r>
      <w:r w:rsidR="008424B3">
        <w:t xml:space="preserve">. </w:t>
      </w:r>
      <w:r>
        <w:t xml:space="preserve">This allows </w:t>
      </w:r>
      <w:r w:rsidR="00F24FBB">
        <w:t>you</w:t>
      </w:r>
      <w:r>
        <w:t xml:space="preserve"> to provide an up</w:t>
      </w:r>
      <w:r w:rsidR="008424B3">
        <w:t>-</w:t>
      </w:r>
      <w:r>
        <w:t>to</w:t>
      </w:r>
      <w:r w:rsidR="008424B3">
        <w:t>-</w:t>
      </w:r>
      <w:r>
        <w:t xml:space="preserve">date list of all national direction tools in </w:t>
      </w:r>
      <w:r w:rsidR="00F24FBB">
        <w:t>your plan</w:t>
      </w:r>
      <w:r w:rsidR="008424B3">
        <w:t>,</w:t>
      </w:r>
      <w:r>
        <w:t xml:space="preserve"> with a corresponding comment as to whether the plan has been updated to reflect specific national direction tools. </w:t>
      </w:r>
    </w:p>
    <w:p w14:paraId="3C9A3844" w14:textId="4A44231D" w:rsidR="00C24A0A" w:rsidRPr="00611A94" w:rsidRDefault="00C24A0A" w:rsidP="0069266C">
      <w:pPr>
        <w:pStyle w:val="BodyText"/>
      </w:pPr>
      <w:r w:rsidRPr="00F34EA6">
        <w:t xml:space="preserve">A </w:t>
      </w:r>
      <w:r w:rsidR="00730B78" w:rsidRPr="00F34EA6">
        <w:t>Schedule 1</w:t>
      </w:r>
      <w:r w:rsidRPr="00F34EA6">
        <w:t xml:space="preserve"> process is not necessary</w:t>
      </w:r>
      <w:r w:rsidRPr="00C034F5">
        <w:t xml:space="preserve"> to include any new national direction instruments with associated links, as </w:t>
      </w:r>
      <w:r w:rsidR="00CE7CB3">
        <w:t>this</w:t>
      </w:r>
      <w:r w:rsidRPr="00C034F5">
        <w:t xml:space="preserve"> will be a part of the mandatory planning standards and </w:t>
      </w:r>
      <w:r w:rsidR="00FA2674" w:rsidRPr="00C034F5">
        <w:t>including</w:t>
      </w:r>
      <w:r w:rsidR="00CC7D20" w:rsidRPr="00C034F5">
        <w:t xml:space="preserve"> links is considered to be a</w:t>
      </w:r>
      <w:r w:rsidRPr="00C034F5">
        <w:t xml:space="preserve"> </w:t>
      </w:r>
      <w:r w:rsidR="00E345AC" w:rsidRPr="00C034F5">
        <w:t>minor</w:t>
      </w:r>
      <w:r w:rsidR="00FC5AE2" w:rsidRPr="00C034F5">
        <w:t xml:space="preserve"> </w:t>
      </w:r>
      <w:r w:rsidRPr="00C034F5">
        <w:t>change.</w:t>
      </w:r>
    </w:p>
    <w:p w14:paraId="047A55EF" w14:textId="70AE55C8" w:rsidR="001E5987" w:rsidRPr="001E5987" w:rsidRDefault="00134338" w:rsidP="008B31F3">
      <w:pPr>
        <w:pStyle w:val="Heading3"/>
      </w:pPr>
      <w:r>
        <w:t xml:space="preserve">Tangata </w:t>
      </w:r>
      <w:r w:rsidR="001E5987" w:rsidRPr="001E5987">
        <w:t>whenua/mana whenua</w:t>
      </w:r>
    </w:p>
    <w:p w14:paraId="40094D86" w14:textId="793AAB94" w:rsidR="00FE4E27" w:rsidRDefault="00325599" w:rsidP="008B31F3">
      <w:pPr>
        <w:pStyle w:val="BodyText"/>
      </w:pPr>
      <w:r>
        <w:t>The</w:t>
      </w:r>
      <w:r w:rsidR="00134338">
        <w:t xml:space="preserve"> </w:t>
      </w:r>
      <w:r w:rsidR="007F4AC8" w:rsidRPr="007F4AC8">
        <w:rPr>
          <w:i/>
        </w:rPr>
        <w:t>T</w:t>
      </w:r>
      <w:r w:rsidR="00134338" w:rsidRPr="00134338">
        <w:rPr>
          <w:i/>
        </w:rPr>
        <w:t>angata</w:t>
      </w:r>
      <w:r>
        <w:t xml:space="preserve"> </w:t>
      </w:r>
      <w:r w:rsidR="007D7F00" w:rsidRPr="00B27909">
        <w:rPr>
          <w:i/>
        </w:rPr>
        <w:t>whenua/mana whenua</w:t>
      </w:r>
      <w:r w:rsidR="007D7F00" w:rsidRPr="007D7F00">
        <w:t xml:space="preserve"> </w:t>
      </w:r>
      <w:r w:rsidR="00FE4E27">
        <w:t xml:space="preserve">heading and </w:t>
      </w:r>
      <w:r w:rsidR="007D7F00" w:rsidRPr="007D7F00">
        <w:t xml:space="preserve">chapter provides a location for context and process-related </w:t>
      </w:r>
      <w:r w:rsidR="00134338">
        <w:t xml:space="preserve">tangata </w:t>
      </w:r>
      <w:r w:rsidR="007D7F00" w:rsidRPr="007D7F00">
        <w:t>whenua/m</w:t>
      </w:r>
      <w:r w:rsidR="007D7F00">
        <w:t xml:space="preserve">ana whenua provisions. </w:t>
      </w:r>
    </w:p>
    <w:p w14:paraId="440C33A9" w14:textId="14C48EC3" w:rsidR="000961AF" w:rsidRPr="000961AF" w:rsidRDefault="000961AF" w:rsidP="008B31F3">
      <w:pPr>
        <w:pStyle w:val="BodyText"/>
      </w:pPr>
      <w:r>
        <w:t xml:space="preserve">The term </w:t>
      </w:r>
      <w:r w:rsidR="00134338" w:rsidRPr="007F4AC8">
        <w:t xml:space="preserve">tangata </w:t>
      </w:r>
      <w:r w:rsidRPr="007F4AC8">
        <w:t>whenua/mana whenua</w:t>
      </w:r>
      <w:r>
        <w:rPr>
          <w:i/>
        </w:rPr>
        <w:t xml:space="preserve"> </w:t>
      </w:r>
      <w:r>
        <w:t xml:space="preserve">is used in the planning standards as a title for this heading. </w:t>
      </w:r>
      <w:r w:rsidR="00F24FBB">
        <w:t>You</w:t>
      </w:r>
      <w:r>
        <w:t xml:space="preserve"> are not required to use this term</w:t>
      </w:r>
      <w:r w:rsidR="00F24FBB">
        <w:t xml:space="preserve"> and </w:t>
      </w:r>
      <w:r w:rsidR="00FA2674">
        <w:t xml:space="preserve">can determine </w:t>
      </w:r>
      <w:r>
        <w:t xml:space="preserve">an appropriate term locally. If </w:t>
      </w:r>
      <w:r w:rsidR="00F24FBB">
        <w:t xml:space="preserve">you </w:t>
      </w:r>
      <w:r w:rsidR="00FA2674">
        <w:t xml:space="preserve">cannot decide on </w:t>
      </w:r>
      <w:r>
        <w:t xml:space="preserve">an appropriate term then </w:t>
      </w:r>
      <w:r w:rsidR="00F24FBB">
        <w:t>you</w:t>
      </w:r>
      <w:r w:rsidR="00FA2674">
        <w:t xml:space="preserve"> can use </w:t>
      </w:r>
      <w:r>
        <w:t>either the term</w:t>
      </w:r>
      <w:r w:rsidR="00134338">
        <w:t xml:space="preserve"> tangata</w:t>
      </w:r>
      <w:r>
        <w:t xml:space="preserve"> whenua or mana whenua. </w:t>
      </w:r>
    </w:p>
    <w:p w14:paraId="417DE582" w14:textId="62830143" w:rsidR="00FA7D75" w:rsidRDefault="00FA7D75" w:rsidP="008B31F3">
      <w:pPr>
        <w:pStyle w:val="BodyText"/>
        <w:rPr>
          <w:rFonts w:cstheme="minorHAnsi"/>
          <w:lang w:val="en-NZ"/>
        </w:rPr>
      </w:pPr>
      <w:r w:rsidRPr="00996C92">
        <w:rPr>
          <w:rFonts w:cstheme="minorHAnsi"/>
          <w:lang w:val="en-NZ"/>
        </w:rPr>
        <w:t xml:space="preserve">The </w:t>
      </w:r>
      <w:r>
        <w:rPr>
          <w:rFonts w:cstheme="minorHAnsi"/>
          <w:lang w:val="en-NZ"/>
        </w:rPr>
        <w:t>‘</w:t>
      </w:r>
      <w:r w:rsidR="00435E7F">
        <w:rPr>
          <w:rFonts w:cstheme="minorHAnsi"/>
          <w:lang w:val="en-NZ"/>
        </w:rPr>
        <w:t>m</w:t>
      </w:r>
      <w:r>
        <w:rPr>
          <w:rFonts w:cstheme="minorHAnsi"/>
          <w:lang w:val="en-NZ"/>
        </w:rPr>
        <w:t>atters to consider for provisions under the</w:t>
      </w:r>
      <w:r w:rsidR="00584EC8">
        <w:rPr>
          <w:rFonts w:cstheme="minorHAnsi"/>
          <w:lang w:val="en-NZ"/>
        </w:rPr>
        <w:t xml:space="preserve"> </w:t>
      </w:r>
      <w:r w:rsidR="00584EC8" w:rsidRPr="00584EC8">
        <w:rPr>
          <w:rFonts w:cstheme="minorHAnsi"/>
          <w:i/>
          <w:lang w:val="en-NZ"/>
        </w:rPr>
        <w:t>T</w:t>
      </w:r>
      <w:r w:rsidR="00134338" w:rsidRPr="00584EC8">
        <w:rPr>
          <w:rFonts w:cstheme="minorHAnsi"/>
          <w:i/>
          <w:lang w:val="en-NZ"/>
        </w:rPr>
        <w:t>angata</w:t>
      </w:r>
      <w:r w:rsidRPr="00584EC8">
        <w:rPr>
          <w:rFonts w:cstheme="minorHAnsi"/>
          <w:i/>
          <w:lang w:val="en-NZ"/>
        </w:rPr>
        <w:t xml:space="preserve"> whenua/mana whenua</w:t>
      </w:r>
      <w:r w:rsidR="008424B3">
        <w:rPr>
          <w:rFonts w:cstheme="minorHAnsi"/>
          <w:i/>
          <w:lang w:val="en-NZ"/>
        </w:rPr>
        <w:t>’</w:t>
      </w:r>
      <w:r w:rsidR="00584EC8">
        <w:rPr>
          <w:rFonts w:cstheme="minorHAnsi"/>
          <w:lang w:val="en-NZ"/>
        </w:rPr>
        <w:t xml:space="preserve"> heading</w:t>
      </w:r>
      <w:r>
        <w:rPr>
          <w:rFonts w:cstheme="minorHAnsi"/>
          <w:lang w:val="en-NZ"/>
        </w:rPr>
        <w:t xml:space="preserve"> in direction 28 </w:t>
      </w:r>
      <w:r w:rsidR="00EE339B">
        <w:rPr>
          <w:rFonts w:cstheme="minorHAnsi"/>
          <w:lang w:val="en-NZ"/>
        </w:rPr>
        <w:t>are</w:t>
      </w:r>
      <w:r w:rsidR="00B80993">
        <w:rPr>
          <w:rFonts w:cstheme="minorHAnsi"/>
          <w:lang w:val="en-NZ"/>
        </w:rPr>
        <w:t xml:space="preserve"> </w:t>
      </w:r>
      <w:r>
        <w:rPr>
          <w:rFonts w:cstheme="minorHAnsi"/>
          <w:lang w:val="en-NZ"/>
        </w:rPr>
        <w:t xml:space="preserve">included </w:t>
      </w:r>
      <w:r w:rsidR="00EE339B">
        <w:rPr>
          <w:rFonts w:cstheme="minorHAnsi"/>
          <w:lang w:val="en-NZ"/>
        </w:rPr>
        <w:t xml:space="preserve">as a starting point </w:t>
      </w:r>
      <w:r>
        <w:rPr>
          <w:rFonts w:cstheme="minorHAnsi"/>
          <w:lang w:val="en-NZ"/>
        </w:rPr>
        <w:t xml:space="preserve">for </w:t>
      </w:r>
      <w:r w:rsidR="00F21688">
        <w:rPr>
          <w:rFonts w:cstheme="minorHAnsi"/>
          <w:lang w:val="en-NZ"/>
        </w:rPr>
        <w:t>councils</w:t>
      </w:r>
      <w:r>
        <w:rPr>
          <w:rFonts w:cstheme="minorHAnsi"/>
          <w:lang w:val="en-NZ"/>
        </w:rPr>
        <w:t xml:space="preserve"> to consider</w:t>
      </w:r>
      <w:r w:rsidR="00EE339B">
        <w:rPr>
          <w:rFonts w:cstheme="minorHAnsi"/>
          <w:lang w:val="en-NZ"/>
        </w:rPr>
        <w:t xml:space="preserve"> when deciding what to include</w:t>
      </w:r>
      <w:r w:rsidR="00435E7F">
        <w:rPr>
          <w:rFonts w:cstheme="minorHAnsi"/>
          <w:lang w:val="en-NZ"/>
        </w:rPr>
        <w:t xml:space="preserve"> in the associated chapters</w:t>
      </w:r>
      <w:r w:rsidR="00FA2674">
        <w:rPr>
          <w:rFonts w:cstheme="minorHAnsi"/>
          <w:lang w:val="en-NZ"/>
        </w:rPr>
        <w:t>. Th</w:t>
      </w:r>
      <w:r w:rsidR="00B80993">
        <w:rPr>
          <w:rFonts w:cstheme="minorHAnsi"/>
          <w:lang w:val="en-NZ"/>
        </w:rPr>
        <w:t>e</w:t>
      </w:r>
      <w:r w:rsidR="00CE467D">
        <w:rPr>
          <w:rFonts w:cstheme="minorHAnsi"/>
          <w:lang w:val="en-NZ"/>
        </w:rPr>
        <w:t xml:space="preserve"> content is not required</w:t>
      </w:r>
      <w:r w:rsidR="00EE339B">
        <w:rPr>
          <w:rFonts w:cstheme="minorHAnsi"/>
          <w:lang w:val="en-NZ"/>
        </w:rPr>
        <w:t xml:space="preserve"> but</w:t>
      </w:r>
      <w:r w:rsidR="008424B3">
        <w:rPr>
          <w:rFonts w:cstheme="minorHAnsi"/>
          <w:lang w:val="en-NZ"/>
        </w:rPr>
        <w:t>,</w:t>
      </w:r>
      <w:r w:rsidR="00EE339B">
        <w:rPr>
          <w:rFonts w:cstheme="minorHAnsi"/>
          <w:lang w:val="en-NZ"/>
        </w:rPr>
        <w:t xml:space="preserve"> if used</w:t>
      </w:r>
      <w:r w:rsidR="008424B3">
        <w:rPr>
          <w:rFonts w:cstheme="minorHAnsi"/>
          <w:lang w:val="en-NZ"/>
        </w:rPr>
        <w:t>,</w:t>
      </w:r>
      <w:r w:rsidR="00CE467D">
        <w:rPr>
          <w:rFonts w:cstheme="minorHAnsi"/>
          <w:lang w:val="en-NZ"/>
        </w:rPr>
        <w:t xml:space="preserve"> </w:t>
      </w:r>
      <w:r w:rsidR="00EE339B">
        <w:rPr>
          <w:rFonts w:cstheme="minorHAnsi"/>
          <w:lang w:val="en-NZ"/>
        </w:rPr>
        <w:t>can</w:t>
      </w:r>
      <w:r w:rsidRPr="00996C92">
        <w:rPr>
          <w:rFonts w:cstheme="minorHAnsi"/>
          <w:lang w:val="en-NZ"/>
        </w:rPr>
        <w:t xml:space="preserve"> be placed und</w:t>
      </w:r>
      <w:r w:rsidR="00EE339B">
        <w:rPr>
          <w:rFonts w:cstheme="minorHAnsi"/>
          <w:lang w:val="en-NZ"/>
        </w:rPr>
        <w:t>er the heading in any</w:t>
      </w:r>
      <w:r w:rsidRPr="00996C92">
        <w:rPr>
          <w:rFonts w:cstheme="minorHAnsi"/>
          <w:lang w:val="en-NZ"/>
        </w:rPr>
        <w:t xml:space="preserve"> location. This </w:t>
      </w:r>
      <w:r>
        <w:rPr>
          <w:rFonts w:cstheme="minorHAnsi"/>
          <w:lang w:val="en-NZ"/>
        </w:rPr>
        <w:t xml:space="preserve">flexibility </w:t>
      </w:r>
      <w:r w:rsidRPr="00996C92">
        <w:rPr>
          <w:rFonts w:cstheme="minorHAnsi"/>
          <w:lang w:val="en-NZ"/>
        </w:rPr>
        <w:t>is in</w:t>
      </w:r>
      <w:r>
        <w:rPr>
          <w:rFonts w:cstheme="minorHAnsi"/>
          <w:lang w:val="en-NZ"/>
        </w:rPr>
        <w:t xml:space="preserve">tended to </w:t>
      </w:r>
      <w:r w:rsidR="00FA2674">
        <w:rPr>
          <w:rFonts w:cstheme="minorHAnsi"/>
          <w:lang w:val="en-NZ"/>
        </w:rPr>
        <w:t xml:space="preserve">give </w:t>
      </w:r>
      <w:r w:rsidR="00F24FBB">
        <w:rPr>
          <w:rFonts w:cstheme="minorHAnsi"/>
          <w:lang w:val="en-NZ"/>
        </w:rPr>
        <w:t>you</w:t>
      </w:r>
      <w:r>
        <w:rPr>
          <w:rFonts w:cstheme="minorHAnsi"/>
          <w:lang w:val="en-NZ"/>
        </w:rPr>
        <w:t xml:space="preserve"> the ability</w:t>
      </w:r>
      <w:r w:rsidRPr="00996C92">
        <w:rPr>
          <w:rFonts w:cstheme="minorHAnsi"/>
          <w:lang w:val="en-NZ"/>
        </w:rPr>
        <w:t xml:space="preserve"> to determine with local</w:t>
      </w:r>
      <w:r w:rsidR="00134338">
        <w:rPr>
          <w:rFonts w:cstheme="minorHAnsi"/>
          <w:lang w:val="en-NZ"/>
        </w:rPr>
        <w:t xml:space="preserve"> tangata</w:t>
      </w:r>
      <w:r w:rsidRPr="00996C92">
        <w:rPr>
          <w:rFonts w:cstheme="minorHAnsi"/>
          <w:lang w:val="en-NZ"/>
        </w:rPr>
        <w:t xml:space="preserve"> whenua/mana whenua the way </w:t>
      </w:r>
      <w:r w:rsidR="00F24FBB">
        <w:rPr>
          <w:rFonts w:cstheme="minorHAnsi"/>
          <w:lang w:val="en-NZ"/>
        </w:rPr>
        <w:t>these</w:t>
      </w:r>
      <w:r w:rsidRPr="00996C92">
        <w:rPr>
          <w:rFonts w:cstheme="minorHAnsi"/>
          <w:lang w:val="en-NZ"/>
        </w:rPr>
        <w:t xml:space="preserve"> provisions are incorporated into </w:t>
      </w:r>
      <w:r w:rsidR="00F24FBB">
        <w:rPr>
          <w:rFonts w:cstheme="minorHAnsi"/>
          <w:lang w:val="en-NZ"/>
        </w:rPr>
        <w:t>your plan</w:t>
      </w:r>
      <w:r w:rsidRPr="00996C92">
        <w:rPr>
          <w:rFonts w:cstheme="minorHAnsi"/>
          <w:lang w:val="en-NZ"/>
        </w:rPr>
        <w:t xml:space="preserve">. </w:t>
      </w:r>
    </w:p>
    <w:p w14:paraId="57378008" w14:textId="78EF9F0C" w:rsidR="007D7F00" w:rsidRDefault="007D7F00" w:rsidP="008B31F3">
      <w:pPr>
        <w:pStyle w:val="BodyText"/>
      </w:pPr>
      <w:r>
        <w:t>Recommended headings</w:t>
      </w:r>
      <w:r w:rsidR="00EE339B">
        <w:t xml:space="preserve"> under this chapter</w:t>
      </w:r>
      <w:r>
        <w:t xml:space="preserve"> include:</w:t>
      </w:r>
    </w:p>
    <w:p w14:paraId="397858B6" w14:textId="69DF6A15" w:rsidR="007D7F00" w:rsidRDefault="00FA2674" w:rsidP="00134338">
      <w:pPr>
        <w:pStyle w:val="Bullet"/>
        <w:spacing w:before="120"/>
      </w:pPr>
      <w:r>
        <w:t>r</w:t>
      </w:r>
      <w:r w:rsidR="007D7F00" w:rsidRPr="007D7F00">
        <w:t>ecognition of hapū and iwi</w:t>
      </w:r>
    </w:p>
    <w:p w14:paraId="0293D8E5" w14:textId="7786C3E6" w:rsidR="007D7F00" w:rsidRDefault="00134338" w:rsidP="00134338">
      <w:pPr>
        <w:pStyle w:val="Bullet"/>
      </w:pPr>
      <w:r>
        <w:t xml:space="preserve">tangata </w:t>
      </w:r>
      <w:r w:rsidR="007D7F00" w:rsidRPr="007D7F00">
        <w:t>whenua/mana whenua – local authority relationships</w:t>
      </w:r>
    </w:p>
    <w:p w14:paraId="63C8B1CE" w14:textId="3AEADCBD" w:rsidR="007D7F00" w:rsidRPr="007D7F00" w:rsidRDefault="00134338" w:rsidP="00134338">
      <w:pPr>
        <w:pStyle w:val="Bullet"/>
      </w:pPr>
      <w:r>
        <w:t>h</w:t>
      </w:r>
      <w:r w:rsidR="007D7F00" w:rsidRPr="007D7F00">
        <w:t>apū and iwi planning documents</w:t>
      </w:r>
    </w:p>
    <w:p w14:paraId="58437F90" w14:textId="19C47BDF" w:rsidR="007D7F00" w:rsidRPr="007D7F00" w:rsidRDefault="00FA2674" w:rsidP="00134338">
      <w:pPr>
        <w:pStyle w:val="Bullet"/>
      </w:pPr>
      <w:r>
        <w:t>i</w:t>
      </w:r>
      <w:r w:rsidR="007D7F00" w:rsidRPr="007D7F00">
        <w:t xml:space="preserve">nvolvement and participation with </w:t>
      </w:r>
      <w:r w:rsidR="00134338">
        <w:t xml:space="preserve">tangata </w:t>
      </w:r>
      <w:r w:rsidR="007D7F00" w:rsidRPr="007D7F00">
        <w:t>whenua/mana whenua</w:t>
      </w:r>
      <w:r>
        <w:t>.</w:t>
      </w:r>
    </w:p>
    <w:p w14:paraId="26F7595A" w14:textId="4EE0F633" w:rsidR="001E5987" w:rsidRPr="00996C92" w:rsidRDefault="001E5987" w:rsidP="008B31F3">
      <w:pPr>
        <w:pStyle w:val="BodyText"/>
        <w:spacing w:before="240"/>
        <w:rPr>
          <w:lang w:val="en-NZ"/>
        </w:rPr>
      </w:pPr>
      <w:r>
        <w:rPr>
          <w:lang w:val="en-NZ"/>
        </w:rPr>
        <w:t xml:space="preserve">The location of content </w:t>
      </w:r>
      <w:r w:rsidR="00353A74">
        <w:rPr>
          <w:lang w:val="en-NZ"/>
        </w:rPr>
        <w:t xml:space="preserve">under </w:t>
      </w:r>
      <w:r>
        <w:rPr>
          <w:lang w:val="en-NZ"/>
        </w:rPr>
        <w:t xml:space="preserve">the </w:t>
      </w:r>
      <w:r w:rsidR="007F4AC8" w:rsidRPr="007F4AC8">
        <w:rPr>
          <w:i/>
          <w:lang w:val="en-NZ"/>
        </w:rPr>
        <w:t>T</w:t>
      </w:r>
      <w:r w:rsidR="00134338" w:rsidRPr="007F4AC8">
        <w:rPr>
          <w:i/>
          <w:lang w:val="en-NZ"/>
        </w:rPr>
        <w:t xml:space="preserve">angata </w:t>
      </w:r>
      <w:r w:rsidRPr="007F4AC8">
        <w:rPr>
          <w:i/>
          <w:lang w:val="en-NZ"/>
        </w:rPr>
        <w:t>whenua/mana whenua</w:t>
      </w:r>
      <w:r>
        <w:rPr>
          <w:lang w:val="en-NZ"/>
        </w:rPr>
        <w:t xml:space="preserve"> </w:t>
      </w:r>
      <w:r w:rsidR="00FA7D75">
        <w:rPr>
          <w:lang w:val="en-NZ"/>
        </w:rPr>
        <w:t>heading</w:t>
      </w:r>
      <w:r>
        <w:rPr>
          <w:lang w:val="en-NZ"/>
        </w:rPr>
        <w:t xml:space="preserve"> has also been kept </w:t>
      </w:r>
      <w:r w:rsidR="00734BE9">
        <w:rPr>
          <w:lang w:val="en-NZ"/>
        </w:rPr>
        <w:t>flexible</w:t>
      </w:r>
      <w:r>
        <w:rPr>
          <w:lang w:val="en-NZ"/>
        </w:rPr>
        <w:t xml:space="preserve"> to enable</w:t>
      </w:r>
      <w:r w:rsidRPr="00996C92">
        <w:rPr>
          <w:lang w:val="en-NZ"/>
        </w:rPr>
        <w:t xml:space="preserve"> information relating to </w:t>
      </w:r>
      <w:r w:rsidR="00134338">
        <w:rPr>
          <w:lang w:val="en-NZ"/>
        </w:rPr>
        <w:t xml:space="preserve">tangata </w:t>
      </w:r>
      <w:r w:rsidRPr="00996C92">
        <w:rPr>
          <w:lang w:val="en-NZ"/>
        </w:rPr>
        <w:t xml:space="preserve">whenua/mana whenua resource management to be </w:t>
      </w:r>
      <w:r w:rsidR="00FA7D75">
        <w:rPr>
          <w:lang w:val="en-NZ"/>
        </w:rPr>
        <w:t>located</w:t>
      </w:r>
      <w:r w:rsidR="00353A74">
        <w:rPr>
          <w:lang w:val="en-NZ"/>
        </w:rPr>
        <w:t xml:space="preserve"> </w:t>
      </w:r>
      <w:r w:rsidRPr="00996C92">
        <w:rPr>
          <w:lang w:val="en-NZ"/>
        </w:rPr>
        <w:t>outside of the plan</w:t>
      </w:r>
      <w:r w:rsidR="00353A74">
        <w:rPr>
          <w:lang w:val="en-NZ"/>
        </w:rPr>
        <w:t xml:space="preserve"> (</w:t>
      </w:r>
      <w:r>
        <w:rPr>
          <w:lang w:val="en-NZ"/>
        </w:rPr>
        <w:t>such as</w:t>
      </w:r>
      <w:r w:rsidRPr="00996C92">
        <w:rPr>
          <w:lang w:val="en-NZ"/>
        </w:rPr>
        <w:t xml:space="preserve"> on a council website</w:t>
      </w:r>
      <w:r w:rsidR="00353A74">
        <w:rPr>
          <w:lang w:val="en-NZ"/>
        </w:rPr>
        <w:t>)</w:t>
      </w:r>
      <w:r w:rsidRPr="00996C92">
        <w:rPr>
          <w:lang w:val="en-NZ"/>
        </w:rPr>
        <w:t xml:space="preserve"> and hyperlinked</w:t>
      </w:r>
      <w:r w:rsidR="00FA7D75">
        <w:rPr>
          <w:lang w:val="en-NZ"/>
        </w:rPr>
        <w:t xml:space="preserve"> within the plan</w:t>
      </w:r>
      <w:r>
        <w:rPr>
          <w:lang w:val="en-NZ"/>
        </w:rPr>
        <w:t xml:space="preserve">. </w:t>
      </w:r>
    </w:p>
    <w:p w14:paraId="7594B8A4" w14:textId="2D1B641E" w:rsidR="001E5987" w:rsidRPr="00996C92" w:rsidRDefault="001E5987" w:rsidP="0069266C">
      <w:pPr>
        <w:pStyle w:val="BodyText"/>
      </w:pPr>
      <w:r w:rsidRPr="00996C92">
        <w:rPr>
          <w:color w:val="000000" w:themeColor="text1"/>
        </w:rPr>
        <w:t xml:space="preserve">The </w:t>
      </w:r>
      <w:r w:rsidR="00F14BF3" w:rsidRPr="00F14BF3">
        <w:rPr>
          <w:i/>
          <w:color w:val="000000" w:themeColor="text1"/>
        </w:rPr>
        <w:t>T</w:t>
      </w:r>
      <w:r w:rsidR="00134338" w:rsidRPr="00F14BF3">
        <w:rPr>
          <w:i/>
          <w:color w:val="000000" w:themeColor="text1"/>
        </w:rPr>
        <w:t xml:space="preserve">angata </w:t>
      </w:r>
      <w:r w:rsidRPr="00F14BF3">
        <w:rPr>
          <w:i/>
          <w:color w:val="000000" w:themeColor="text1"/>
        </w:rPr>
        <w:t>whenua/mana whenua</w:t>
      </w:r>
      <w:r w:rsidRPr="00996C92">
        <w:rPr>
          <w:color w:val="000000" w:themeColor="text1"/>
        </w:rPr>
        <w:t xml:space="preserve"> heading must only include context and process-related provisions. It is intended other</w:t>
      </w:r>
      <w:r w:rsidRPr="00996C92">
        <w:t xml:space="preserve"> </w:t>
      </w:r>
      <w:r w:rsidR="00134338">
        <w:t xml:space="preserve">tangata </w:t>
      </w:r>
      <w:r w:rsidRPr="00996C92">
        <w:t xml:space="preserve">whenua/mana whenua provisions are incorporated throughout the plan, to encourage integration. </w:t>
      </w:r>
    </w:p>
    <w:p w14:paraId="6FBE7ABB" w14:textId="226772B3" w:rsidR="001E5987" w:rsidRPr="00996C92" w:rsidRDefault="00FA2674" w:rsidP="0069266C">
      <w:pPr>
        <w:pStyle w:val="BodyText"/>
        <w:rPr>
          <w:lang w:val="en-NZ"/>
        </w:rPr>
      </w:pPr>
      <w:r>
        <w:rPr>
          <w:lang w:val="en-NZ"/>
        </w:rPr>
        <w:t>We expect</w:t>
      </w:r>
      <w:r w:rsidR="001E5987" w:rsidRPr="00996C92">
        <w:rPr>
          <w:lang w:val="en-NZ"/>
        </w:rPr>
        <w:t xml:space="preserve"> </w:t>
      </w:r>
      <w:r w:rsidR="00F21688">
        <w:rPr>
          <w:lang w:val="en-NZ"/>
        </w:rPr>
        <w:t>councils</w:t>
      </w:r>
      <w:r w:rsidR="001E5987">
        <w:rPr>
          <w:lang w:val="en-NZ"/>
        </w:rPr>
        <w:t xml:space="preserve"> will engage </w:t>
      </w:r>
      <w:r w:rsidR="001E5987" w:rsidRPr="00996C92">
        <w:rPr>
          <w:lang w:val="en-NZ"/>
        </w:rPr>
        <w:t>wi</w:t>
      </w:r>
      <w:r w:rsidR="001E5987">
        <w:rPr>
          <w:lang w:val="en-NZ"/>
        </w:rPr>
        <w:t xml:space="preserve">th </w:t>
      </w:r>
      <w:r w:rsidR="00134338">
        <w:rPr>
          <w:lang w:val="en-NZ"/>
        </w:rPr>
        <w:t xml:space="preserve">tangata </w:t>
      </w:r>
      <w:r w:rsidR="00EE339B">
        <w:rPr>
          <w:lang w:val="en-NZ"/>
        </w:rPr>
        <w:t>whenua/mana whenua to create</w:t>
      </w:r>
      <w:r w:rsidR="00D401D4">
        <w:rPr>
          <w:lang w:val="en-NZ"/>
        </w:rPr>
        <w:t xml:space="preserve"> </w:t>
      </w:r>
      <w:r w:rsidR="005823BA">
        <w:rPr>
          <w:lang w:val="en-NZ"/>
        </w:rPr>
        <w:t xml:space="preserve">provisions under </w:t>
      </w:r>
      <w:r w:rsidR="00D401D4">
        <w:rPr>
          <w:lang w:val="en-NZ"/>
        </w:rPr>
        <w:t>the</w:t>
      </w:r>
      <w:r w:rsidR="00FA7D75">
        <w:rPr>
          <w:lang w:val="en-NZ"/>
        </w:rPr>
        <w:t xml:space="preserve"> </w:t>
      </w:r>
      <w:r w:rsidR="00F14BF3" w:rsidRPr="00F14BF3">
        <w:rPr>
          <w:i/>
          <w:lang w:val="en-NZ"/>
        </w:rPr>
        <w:t>T</w:t>
      </w:r>
      <w:r w:rsidR="00134338" w:rsidRPr="00F14BF3">
        <w:rPr>
          <w:i/>
          <w:lang w:val="en-NZ"/>
        </w:rPr>
        <w:t xml:space="preserve">angata </w:t>
      </w:r>
      <w:r w:rsidR="00FA7D75" w:rsidRPr="00F14BF3">
        <w:rPr>
          <w:i/>
          <w:lang w:val="en-NZ"/>
        </w:rPr>
        <w:t>whenua/mana whenua</w:t>
      </w:r>
      <w:r w:rsidR="00FA7D75">
        <w:rPr>
          <w:lang w:val="en-NZ"/>
        </w:rPr>
        <w:t xml:space="preserve"> </w:t>
      </w:r>
      <w:r w:rsidR="005823BA">
        <w:rPr>
          <w:lang w:val="en-NZ"/>
        </w:rPr>
        <w:t>heading</w:t>
      </w:r>
      <w:r w:rsidR="008424B3">
        <w:rPr>
          <w:lang w:val="en-NZ"/>
        </w:rPr>
        <w:t>,</w:t>
      </w:r>
      <w:r w:rsidR="00D401D4">
        <w:rPr>
          <w:lang w:val="en-NZ"/>
        </w:rPr>
        <w:t xml:space="preserve"> and other parts of the plan</w:t>
      </w:r>
      <w:r w:rsidR="001E5987" w:rsidRPr="00996C92">
        <w:rPr>
          <w:lang w:val="en-NZ"/>
        </w:rPr>
        <w:t xml:space="preserve"> that relate </w:t>
      </w:r>
      <w:r w:rsidR="001E5987">
        <w:rPr>
          <w:lang w:val="en-NZ"/>
        </w:rPr>
        <w:t>to their interests</w:t>
      </w:r>
      <w:r w:rsidR="008424B3">
        <w:rPr>
          <w:lang w:val="en-NZ"/>
        </w:rPr>
        <w:t>,</w:t>
      </w:r>
      <w:r w:rsidR="001E5987">
        <w:rPr>
          <w:lang w:val="en-NZ"/>
        </w:rPr>
        <w:t xml:space="preserve"> as part of the plan</w:t>
      </w:r>
      <w:r>
        <w:rPr>
          <w:lang w:val="en-NZ"/>
        </w:rPr>
        <w:t>-</w:t>
      </w:r>
      <w:r w:rsidR="001E5987">
        <w:rPr>
          <w:lang w:val="en-NZ"/>
        </w:rPr>
        <w:t>making process,</w:t>
      </w:r>
      <w:r w:rsidR="001E5987" w:rsidRPr="00996C92">
        <w:rPr>
          <w:lang w:val="en-NZ"/>
        </w:rPr>
        <w:t xml:space="preserve"> even when a </w:t>
      </w:r>
      <w:r w:rsidR="00730B78">
        <w:rPr>
          <w:lang w:val="en-NZ"/>
        </w:rPr>
        <w:t>Schedule 1</w:t>
      </w:r>
      <w:r w:rsidR="001E5987" w:rsidRPr="00996C92">
        <w:rPr>
          <w:lang w:val="en-NZ"/>
        </w:rPr>
        <w:t xml:space="preserve"> process is not required</w:t>
      </w:r>
      <w:r w:rsidR="001E5987">
        <w:rPr>
          <w:lang w:val="en-NZ"/>
        </w:rPr>
        <w:t xml:space="preserve">. </w:t>
      </w:r>
    </w:p>
    <w:p w14:paraId="0E04EC5A" w14:textId="77777777" w:rsidR="002E2D4B" w:rsidRDefault="00F24FBB" w:rsidP="002E2D4B">
      <w:pPr>
        <w:pStyle w:val="BodyText"/>
      </w:pPr>
      <w:r>
        <w:t>You should locate a</w:t>
      </w:r>
      <w:r w:rsidR="005672DA" w:rsidRPr="00996C92">
        <w:t xml:space="preserve">ll provisions relating to sites of significance to Māori in the </w:t>
      </w:r>
      <w:r w:rsidR="00F14BF3" w:rsidRPr="00F14BF3">
        <w:rPr>
          <w:i/>
        </w:rPr>
        <w:t>S</w:t>
      </w:r>
      <w:r w:rsidR="005672DA" w:rsidRPr="00F14BF3">
        <w:rPr>
          <w:i/>
        </w:rPr>
        <w:t>ites of significance to Māori</w:t>
      </w:r>
      <w:r w:rsidR="005672DA" w:rsidRPr="00996C92">
        <w:t xml:space="preserve"> </w:t>
      </w:r>
      <w:r w:rsidR="00A3086B">
        <w:t>chapter</w:t>
      </w:r>
      <w:r w:rsidR="005672DA" w:rsidRPr="00996C92">
        <w:t xml:space="preserve">. </w:t>
      </w:r>
      <w:r>
        <w:t>You should only include d</w:t>
      </w:r>
      <w:r w:rsidR="005672DA" w:rsidRPr="00996C92">
        <w:t>etail</w:t>
      </w:r>
      <w:r w:rsidR="005672DA">
        <w:t>s of such sites</w:t>
      </w:r>
      <w:r w:rsidR="005672DA" w:rsidRPr="00996C92">
        <w:t xml:space="preserve"> </w:t>
      </w:r>
      <w:r w:rsidR="00EE339B">
        <w:t>following agreement with</w:t>
      </w:r>
      <w:r w:rsidR="005672DA" w:rsidRPr="00996C92">
        <w:t xml:space="preserve"> Māori.</w:t>
      </w:r>
      <w:r>
        <w:t xml:space="preserve"> </w:t>
      </w:r>
    </w:p>
    <w:p w14:paraId="23D5C220" w14:textId="042156A0" w:rsidR="00D401D4" w:rsidRPr="00461B43" w:rsidRDefault="005672DA" w:rsidP="002E2D4B">
      <w:pPr>
        <w:pStyle w:val="BodyText"/>
        <w:rPr>
          <w:rFonts w:asciiTheme="minorHAnsi" w:hAnsiTheme="minorHAnsi"/>
        </w:rPr>
      </w:pPr>
      <w:r w:rsidRPr="00C86F0E">
        <w:rPr>
          <w:rFonts w:asciiTheme="minorHAnsi" w:hAnsiTheme="minorHAnsi"/>
        </w:rPr>
        <w:t>I</w:t>
      </w:r>
      <w:r w:rsidR="00734BE9" w:rsidRPr="00C86F0E">
        <w:rPr>
          <w:rFonts w:asciiTheme="minorHAnsi" w:hAnsiTheme="minorHAnsi"/>
        </w:rPr>
        <w:t xml:space="preserve">nformation on </w:t>
      </w:r>
      <w:r w:rsidRPr="00C86F0E">
        <w:rPr>
          <w:rFonts w:asciiTheme="minorHAnsi" w:hAnsiTheme="minorHAnsi"/>
        </w:rPr>
        <w:t>good</w:t>
      </w:r>
      <w:r w:rsidR="001E5987" w:rsidRPr="00461B43">
        <w:rPr>
          <w:rFonts w:asciiTheme="minorHAnsi" w:hAnsiTheme="minorHAnsi"/>
        </w:rPr>
        <w:t xml:space="preserve"> practice for engagement </w:t>
      </w:r>
      <w:r w:rsidRPr="00461B43">
        <w:rPr>
          <w:rFonts w:asciiTheme="minorHAnsi" w:hAnsiTheme="minorHAnsi"/>
        </w:rPr>
        <w:t xml:space="preserve">with </w:t>
      </w:r>
      <w:r w:rsidR="00134338" w:rsidRPr="00461B43">
        <w:rPr>
          <w:rFonts w:asciiTheme="minorHAnsi" w:hAnsiTheme="minorHAnsi"/>
        </w:rPr>
        <w:t xml:space="preserve">tangata </w:t>
      </w:r>
      <w:r w:rsidR="00EE339B" w:rsidRPr="00461B43">
        <w:rPr>
          <w:rFonts w:asciiTheme="minorHAnsi" w:hAnsiTheme="minorHAnsi"/>
        </w:rPr>
        <w:t>whenua is</w:t>
      </w:r>
      <w:r w:rsidRPr="00461B43">
        <w:rPr>
          <w:rFonts w:asciiTheme="minorHAnsi" w:hAnsiTheme="minorHAnsi"/>
        </w:rPr>
        <w:t xml:space="preserve"> available from</w:t>
      </w:r>
      <w:r w:rsidR="00D401D4" w:rsidRPr="00461B43">
        <w:rPr>
          <w:rFonts w:asciiTheme="minorHAnsi" w:hAnsiTheme="minorHAnsi"/>
        </w:rPr>
        <w:t>:</w:t>
      </w:r>
    </w:p>
    <w:p w14:paraId="41DBF9C7" w14:textId="77777777" w:rsidR="002E2D4B" w:rsidRPr="002E2D4B" w:rsidRDefault="00BD0F35" w:rsidP="00A6326E">
      <w:pPr>
        <w:pStyle w:val="ListParagraph"/>
        <w:numPr>
          <w:ilvl w:val="0"/>
          <w:numId w:val="8"/>
        </w:numPr>
        <w:tabs>
          <w:tab w:val="num" w:pos="397"/>
        </w:tabs>
        <w:spacing w:after="120" w:line="360" w:lineRule="auto"/>
        <w:rPr>
          <w:rFonts w:ascii="Calibri" w:hAnsi="Calibri"/>
          <w:sz w:val="22"/>
          <w:szCs w:val="20"/>
          <w:lang w:val="en-NZ" w:eastAsia="en-NZ"/>
        </w:rPr>
      </w:pPr>
      <w:hyperlink r:id="rId15" w:history="1">
        <w:r w:rsidR="002E2D4B" w:rsidRPr="002E2D4B">
          <w:rPr>
            <w:rFonts w:ascii="Calibri" w:hAnsi="Calibri"/>
            <w:color w:val="2C9986"/>
            <w:sz w:val="22"/>
            <w:szCs w:val="20"/>
            <w:lang w:val="en-NZ" w:eastAsia="en-NZ"/>
          </w:rPr>
          <w:t>Guidelines for engagement with M</w:t>
        </w:r>
        <w:r w:rsidR="002E2D4B" w:rsidRPr="002E2D4B">
          <w:rPr>
            <w:rFonts w:ascii="Calibri" w:hAnsi="Calibri" w:cs="Calibri"/>
            <w:color w:val="2C9986"/>
            <w:sz w:val="22"/>
            <w:szCs w:val="20"/>
            <w:lang w:val="en-NZ" w:eastAsia="en-NZ"/>
          </w:rPr>
          <w:t>āori</w:t>
        </w:r>
      </w:hyperlink>
      <w:r w:rsidR="002E2D4B" w:rsidRPr="002E2D4B">
        <w:rPr>
          <w:rFonts w:ascii="Calibri" w:hAnsi="Calibri" w:cs="Calibri"/>
          <w:sz w:val="22"/>
          <w:szCs w:val="20"/>
          <w:lang w:val="en-NZ" w:eastAsia="en-NZ"/>
        </w:rPr>
        <w:t>, prepared by Te Arawhiti</w:t>
      </w:r>
    </w:p>
    <w:p w14:paraId="2F0A10CD" w14:textId="77777777" w:rsidR="002E2D4B" w:rsidRPr="002E2D4B" w:rsidRDefault="00BD0F35" w:rsidP="00A6326E">
      <w:pPr>
        <w:pStyle w:val="ListParagraph"/>
        <w:numPr>
          <w:ilvl w:val="0"/>
          <w:numId w:val="8"/>
        </w:numPr>
        <w:tabs>
          <w:tab w:val="num" w:pos="397"/>
        </w:tabs>
        <w:spacing w:after="120" w:line="360" w:lineRule="auto"/>
        <w:rPr>
          <w:rFonts w:ascii="Calibri" w:hAnsi="Calibri"/>
          <w:sz w:val="22"/>
          <w:szCs w:val="20"/>
          <w:lang w:val="en-NZ" w:eastAsia="en-NZ"/>
        </w:rPr>
      </w:pPr>
      <w:hyperlink r:id="rId16" w:history="1">
        <w:r w:rsidR="002E2D4B" w:rsidRPr="002E2D4B">
          <w:rPr>
            <w:rFonts w:ascii="Calibri" w:hAnsi="Calibri" w:cs="Calibri"/>
            <w:color w:val="2C9986"/>
            <w:sz w:val="22"/>
            <w:szCs w:val="22"/>
            <w:lang w:val="en-NZ" w:eastAsia="en-NZ"/>
          </w:rPr>
          <w:t>consultation with tangata whenua</w:t>
        </w:r>
      </w:hyperlink>
      <w:r w:rsidR="002E2D4B" w:rsidRPr="002E2D4B">
        <w:rPr>
          <w:rFonts w:ascii="Calibri" w:hAnsi="Calibri" w:cs="Calibri"/>
          <w:color w:val="2C9986"/>
          <w:sz w:val="22"/>
          <w:szCs w:val="22"/>
          <w:lang w:val="en-NZ" w:eastAsia="en-NZ"/>
        </w:rPr>
        <w:t xml:space="preserve"> </w:t>
      </w:r>
      <w:r w:rsidR="002E2D4B" w:rsidRPr="002E2D4B">
        <w:rPr>
          <w:rFonts w:ascii="Calibri" w:hAnsi="Calibri" w:cs="Calibri"/>
          <w:color w:val="000000"/>
          <w:sz w:val="22"/>
          <w:szCs w:val="22"/>
          <w:lang w:val="en-NZ" w:eastAsia="en-NZ"/>
        </w:rPr>
        <w:t xml:space="preserve">on </w:t>
      </w:r>
      <w:r w:rsidR="002E2D4B" w:rsidRPr="002E2D4B">
        <w:rPr>
          <w:rFonts w:ascii="Calibri" w:hAnsi="Calibri"/>
          <w:sz w:val="22"/>
          <w:szCs w:val="20"/>
          <w:lang w:val="en-NZ" w:eastAsia="en-NZ"/>
        </w:rPr>
        <w:t xml:space="preserve">the quality planning website  </w:t>
      </w:r>
    </w:p>
    <w:p w14:paraId="30334338" w14:textId="77777777" w:rsidR="002E2D4B" w:rsidRPr="002E2D4B" w:rsidRDefault="002E2D4B" w:rsidP="00A6326E">
      <w:pPr>
        <w:pStyle w:val="ListParagraph"/>
        <w:numPr>
          <w:ilvl w:val="0"/>
          <w:numId w:val="8"/>
        </w:numPr>
        <w:tabs>
          <w:tab w:val="num" w:pos="397"/>
        </w:tabs>
        <w:spacing w:after="120" w:line="360" w:lineRule="auto"/>
        <w:rPr>
          <w:rFonts w:ascii="Calibri" w:hAnsi="Calibri"/>
          <w:sz w:val="22"/>
          <w:szCs w:val="20"/>
          <w:lang w:val="en-NZ" w:eastAsia="en-NZ"/>
        </w:rPr>
      </w:pPr>
      <w:r w:rsidRPr="002E2D4B">
        <w:rPr>
          <w:rFonts w:ascii="Calibri" w:hAnsi="Calibri"/>
          <w:sz w:val="22"/>
          <w:szCs w:val="20"/>
          <w:lang w:val="en-NZ" w:eastAsia="en-NZ"/>
        </w:rPr>
        <w:t xml:space="preserve">the </w:t>
      </w:r>
      <w:hyperlink r:id="rId17" w:anchor="/design-subjects/maori-design/te_aranga_principles/guidance/about" w:history="1">
        <w:r w:rsidRPr="002E2D4B">
          <w:rPr>
            <w:rFonts w:ascii="Calibri" w:hAnsi="Calibri"/>
            <w:color w:val="2C9986"/>
            <w:sz w:val="22"/>
            <w:szCs w:val="20"/>
            <w:lang w:val="en-NZ" w:eastAsia="en-NZ"/>
          </w:rPr>
          <w:t>Te Aranga</w:t>
        </w:r>
      </w:hyperlink>
      <w:r w:rsidRPr="002E2D4B">
        <w:rPr>
          <w:rFonts w:ascii="Calibri" w:hAnsi="Calibri"/>
          <w:sz w:val="22"/>
          <w:szCs w:val="20"/>
          <w:lang w:val="en-NZ" w:eastAsia="en-NZ"/>
        </w:rPr>
        <w:t xml:space="preserve"> principles</w:t>
      </w:r>
    </w:p>
    <w:p w14:paraId="39A67E68" w14:textId="77777777" w:rsidR="002E2D4B" w:rsidRPr="002E2D4B" w:rsidRDefault="002E2D4B" w:rsidP="00A6326E">
      <w:pPr>
        <w:pStyle w:val="ListParagraph"/>
        <w:numPr>
          <w:ilvl w:val="0"/>
          <w:numId w:val="8"/>
        </w:numPr>
        <w:tabs>
          <w:tab w:val="num" w:pos="397"/>
        </w:tabs>
        <w:spacing w:after="120" w:line="360" w:lineRule="auto"/>
        <w:rPr>
          <w:rFonts w:ascii="Calibri" w:hAnsi="Calibri"/>
          <w:sz w:val="22"/>
          <w:szCs w:val="20"/>
          <w:lang w:val="en-NZ" w:eastAsia="en-NZ"/>
        </w:rPr>
      </w:pPr>
      <w:r w:rsidRPr="002E2D4B">
        <w:rPr>
          <w:rFonts w:ascii="Calibri" w:hAnsi="Calibri"/>
          <w:sz w:val="22"/>
          <w:szCs w:val="20"/>
          <w:lang w:val="en-NZ" w:eastAsia="en-NZ"/>
        </w:rPr>
        <w:t xml:space="preserve">the </w:t>
      </w:r>
      <w:hyperlink r:id="rId18" w:history="1">
        <w:r w:rsidRPr="002E2D4B">
          <w:rPr>
            <w:rFonts w:ascii="Calibri" w:hAnsi="Calibri" w:cs="Calibri"/>
            <w:i/>
            <w:color w:val="2C9986"/>
            <w:sz w:val="22"/>
            <w:szCs w:val="22"/>
            <w:lang w:val="en-NZ" w:eastAsia="en-NZ"/>
          </w:rPr>
          <w:t>An Everyday Guide to the RMA</w:t>
        </w:r>
      </w:hyperlink>
      <w:r w:rsidRPr="002E2D4B">
        <w:rPr>
          <w:rFonts w:ascii="Calibri" w:hAnsi="Calibri"/>
          <w:sz w:val="22"/>
          <w:szCs w:val="20"/>
          <w:lang w:val="en-NZ" w:eastAsia="en-NZ"/>
        </w:rPr>
        <w:t xml:space="preserve"> series on our website.</w:t>
      </w:r>
    </w:p>
    <w:p w14:paraId="75925ACC" w14:textId="72FF5BFA" w:rsidR="00B15F7D" w:rsidRPr="001E5987" w:rsidRDefault="00557448" w:rsidP="008B31F3">
      <w:pPr>
        <w:pStyle w:val="Heading2"/>
      </w:pPr>
      <w:r>
        <w:t xml:space="preserve">7. </w:t>
      </w:r>
      <w:r w:rsidR="00B15F7D" w:rsidRPr="001E5987">
        <w:t xml:space="preserve">District-wide </w:t>
      </w:r>
      <w:r w:rsidR="00434BB3">
        <w:t>m</w:t>
      </w:r>
      <w:r w:rsidR="00B15F7D" w:rsidRPr="001E5987">
        <w:t xml:space="preserve">atters </w:t>
      </w:r>
    </w:p>
    <w:p w14:paraId="4EE6A784" w14:textId="3AE933D4" w:rsidR="000E09DA" w:rsidRDefault="000E09DA" w:rsidP="008B31F3">
      <w:pPr>
        <w:pStyle w:val="BodyText"/>
      </w:pPr>
      <w:r>
        <w:t>Part 2 of district plans sets out district-wide matters. It</w:t>
      </w:r>
      <w:r w:rsidRPr="00B72A0D">
        <w:t xml:space="preserve"> addresses common planning matters that can be usefully addressed in topic</w:t>
      </w:r>
      <w:r>
        <w:t>-</w:t>
      </w:r>
      <w:r w:rsidRPr="00B72A0D">
        <w:t xml:space="preserve">based chapters and that </w:t>
      </w:r>
      <w:r>
        <w:t>don’t</w:t>
      </w:r>
      <w:r w:rsidRPr="00B72A0D">
        <w:t xml:space="preserve"> conform to zone boundaries</w:t>
      </w:r>
      <w:r>
        <w:t>. T</w:t>
      </w:r>
      <w:r w:rsidRPr="00B72A0D">
        <w:t xml:space="preserve">hese typically relate to values, risks and specific activities </w:t>
      </w:r>
      <w:r>
        <w:t xml:space="preserve">such as </w:t>
      </w:r>
      <w:r w:rsidRPr="00B72A0D">
        <w:t>noise</w:t>
      </w:r>
      <w:r>
        <w:t xml:space="preserve"> and</w:t>
      </w:r>
      <w:r w:rsidRPr="00B72A0D">
        <w:t xml:space="preserve"> temporary activities.</w:t>
      </w:r>
    </w:p>
    <w:p w14:paraId="01B54B86" w14:textId="09CCD718" w:rsidR="000E09DA" w:rsidRPr="001E79D7" w:rsidRDefault="000E09DA" w:rsidP="008B31F3">
      <w:pPr>
        <w:pStyle w:val="BodyText"/>
      </w:pPr>
      <w:r w:rsidRPr="001E79D7">
        <w:t xml:space="preserve">The structure consists of </w:t>
      </w:r>
      <w:r w:rsidR="008424B3">
        <w:t>seven</w:t>
      </w:r>
      <w:r w:rsidRPr="001E79D7">
        <w:t xml:space="preserve"> headings with chapters under each.</w:t>
      </w:r>
      <w:r w:rsidR="003D497D">
        <w:t xml:space="preserve"> </w:t>
      </w:r>
      <w:r w:rsidRPr="001E79D7">
        <w:t xml:space="preserve">Some chapter names are fixed while </w:t>
      </w:r>
      <w:r w:rsidR="00F24FBB">
        <w:t xml:space="preserve">you can determine the names of </w:t>
      </w:r>
      <w:r w:rsidRPr="001E79D7">
        <w:t>others</w:t>
      </w:r>
      <w:r w:rsidR="008424B3">
        <w:t>,</w:t>
      </w:r>
      <w:r w:rsidRPr="001E79D7">
        <w:t xml:space="preserve"> as needed. </w:t>
      </w:r>
      <w:r w:rsidR="00F24FBB">
        <w:t>You should consolidate and locate t</w:t>
      </w:r>
      <w:r w:rsidRPr="001E79D7">
        <w:t xml:space="preserve">opic-based provisions in the relevant </w:t>
      </w:r>
      <w:r w:rsidRPr="002E2D4B">
        <w:rPr>
          <w:i/>
        </w:rPr>
        <w:t>District-wide matters</w:t>
      </w:r>
      <w:r w:rsidRPr="001E79D7">
        <w:t xml:space="preserve"> chapter (rather than in </w:t>
      </w:r>
      <w:r w:rsidRPr="002E2D4B">
        <w:rPr>
          <w:i/>
        </w:rPr>
        <w:t>Area-specific matte</w:t>
      </w:r>
      <w:r w:rsidRPr="001E79D7">
        <w:t xml:space="preserve">rs or a </w:t>
      </w:r>
      <w:r w:rsidRPr="002E2D4B">
        <w:rPr>
          <w:i/>
        </w:rPr>
        <w:t>Zone</w:t>
      </w:r>
      <w:r w:rsidRPr="001E79D7">
        <w:t>).</w:t>
      </w:r>
      <w:r w:rsidR="003D497D">
        <w:t xml:space="preserve"> </w:t>
      </w:r>
      <w:r w:rsidRPr="001E79D7">
        <w:t xml:space="preserve">For example, </w:t>
      </w:r>
      <w:r w:rsidR="00F24FBB">
        <w:t xml:space="preserve">you must locate </w:t>
      </w:r>
      <w:r w:rsidRPr="001E79D7">
        <w:t xml:space="preserve">noise rules relating to a </w:t>
      </w:r>
      <w:r>
        <w:t xml:space="preserve">General </w:t>
      </w:r>
      <w:r w:rsidRPr="001E79D7">
        <w:t xml:space="preserve">residential zone in the </w:t>
      </w:r>
      <w:r w:rsidRPr="002E2D4B">
        <w:rPr>
          <w:i/>
        </w:rPr>
        <w:t>Noise</w:t>
      </w:r>
      <w:r w:rsidRPr="001E79D7">
        <w:t xml:space="preserve"> chapter of District-wide matters, not </w:t>
      </w:r>
      <w:r w:rsidR="00F24FBB">
        <w:t xml:space="preserve">in </w:t>
      </w:r>
      <w:r w:rsidRPr="001E79D7">
        <w:t xml:space="preserve">the General residential zone. Any provision in a </w:t>
      </w:r>
      <w:r w:rsidRPr="002E2D4B">
        <w:rPr>
          <w:i/>
        </w:rPr>
        <w:t>District-wide matters</w:t>
      </w:r>
      <w:r w:rsidRPr="001E79D7">
        <w:t xml:space="preserve"> chapter may be supported by higher-level objectives and policies in another </w:t>
      </w:r>
      <w:r w:rsidRPr="002E2D4B">
        <w:rPr>
          <w:i/>
        </w:rPr>
        <w:t>District-wide matte</w:t>
      </w:r>
      <w:r w:rsidR="00F24FBB" w:rsidRPr="002E2D4B">
        <w:rPr>
          <w:i/>
        </w:rPr>
        <w:t>rs</w:t>
      </w:r>
      <w:r w:rsidR="00F24FBB">
        <w:t xml:space="preserve"> chapter, as long as the line of </w:t>
      </w:r>
      <w:r w:rsidRPr="001E79D7">
        <w:t>sight between them is clear.</w:t>
      </w:r>
      <w:r w:rsidR="003D497D">
        <w:t xml:space="preserve"> </w:t>
      </w:r>
    </w:p>
    <w:p w14:paraId="76A7AF1E" w14:textId="0CA75730" w:rsidR="000E09DA" w:rsidRPr="001E79D7" w:rsidRDefault="000E09DA" w:rsidP="001E6876">
      <w:pPr>
        <w:pStyle w:val="BodyText"/>
        <w:rPr>
          <w:rFonts w:cs="Calibri"/>
          <w:lang w:val="en-NZ"/>
        </w:rPr>
      </w:pPr>
      <w:r w:rsidRPr="001E79D7">
        <w:rPr>
          <w:rFonts w:cs="Calibri"/>
        </w:rPr>
        <w:t xml:space="preserve">Sometimes, a plan’s provisions will not fall neatly into one of the chapters, and </w:t>
      </w:r>
      <w:r w:rsidR="00F24FBB">
        <w:rPr>
          <w:rFonts w:cs="Calibri"/>
        </w:rPr>
        <w:t>you</w:t>
      </w:r>
      <w:r w:rsidRPr="001E79D7">
        <w:rPr>
          <w:rFonts w:cs="Calibri"/>
        </w:rPr>
        <w:t xml:space="preserve"> will need to decide the most appropriate location.</w:t>
      </w:r>
      <w:r w:rsidR="003D497D">
        <w:rPr>
          <w:rFonts w:cs="Calibri"/>
        </w:rPr>
        <w:t xml:space="preserve"> </w:t>
      </w:r>
      <w:r w:rsidRPr="001E79D7">
        <w:rPr>
          <w:rFonts w:cs="Calibri"/>
        </w:rPr>
        <w:t xml:space="preserve">To help with that, we suggest </w:t>
      </w:r>
      <w:r>
        <w:rPr>
          <w:rFonts w:cs="Calibri"/>
        </w:rPr>
        <w:t xml:space="preserve">you consider </w:t>
      </w:r>
      <w:r w:rsidRPr="001E79D7">
        <w:rPr>
          <w:rFonts w:cs="Calibri"/>
        </w:rPr>
        <w:t>the following approach.</w:t>
      </w:r>
    </w:p>
    <w:p w14:paraId="4D4B1534" w14:textId="77777777" w:rsidR="00285CD3" w:rsidRDefault="000E09DA" w:rsidP="008B31F3">
      <w:pPr>
        <w:pStyle w:val="Heading3"/>
      </w:pPr>
      <w:r w:rsidRPr="00A660AE">
        <w:t xml:space="preserve">What is the overall purpose of the provision? </w:t>
      </w:r>
    </w:p>
    <w:p w14:paraId="75502E5A" w14:textId="277C9EDD" w:rsidR="00285CD3" w:rsidRDefault="000E09DA" w:rsidP="00CC36C5">
      <w:pPr>
        <w:pStyle w:val="BodyText"/>
      </w:pPr>
      <w:r w:rsidRPr="00A660AE">
        <w:t xml:space="preserve">Does </w:t>
      </w:r>
      <w:r w:rsidR="00285CD3">
        <w:t>the purpose of the provision</w:t>
      </w:r>
      <w:r w:rsidR="00285CD3" w:rsidRPr="00A660AE">
        <w:t xml:space="preserve"> </w:t>
      </w:r>
      <w:r w:rsidRPr="00A660AE">
        <w:t xml:space="preserve">relate to protecting a value or managing a risk where the appropriate heading is already provided in the structure, even though </w:t>
      </w:r>
      <w:r w:rsidR="00F158F3">
        <w:t>the provision</w:t>
      </w:r>
      <w:r w:rsidR="00F158F3" w:rsidRPr="00A660AE">
        <w:t xml:space="preserve"> </w:t>
      </w:r>
      <w:r w:rsidRPr="00A660AE">
        <w:t>may also relate to something else</w:t>
      </w:r>
      <w:r w:rsidR="008424B3">
        <w:t>?</w:t>
      </w:r>
      <w:r w:rsidR="003D497D">
        <w:t xml:space="preserve"> </w:t>
      </w:r>
    </w:p>
    <w:p w14:paraId="51543B2B" w14:textId="6180A8F6" w:rsidR="00851753" w:rsidRPr="00A660AE" w:rsidRDefault="000E09DA" w:rsidP="00CC36C5">
      <w:pPr>
        <w:pStyle w:val="BodyText"/>
      </w:pPr>
      <w:r w:rsidRPr="00C31375">
        <w:t>For example</w:t>
      </w:r>
      <w:r w:rsidR="008424B3">
        <w:t>,</w:t>
      </w:r>
      <w:r w:rsidRPr="00C31375">
        <w:t xml:space="preserve"> signage on heritage buildings:</w:t>
      </w:r>
      <w:r w:rsidR="003D497D">
        <w:t xml:space="preserve"> </w:t>
      </w:r>
      <w:r w:rsidRPr="00C31375">
        <w:t xml:space="preserve">is the purpose </w:t>
      </w:r>
      <w:r w:rsidR="00F158F3">
        <w:t>of the provision mainly</w:t>
      </w:r>
      <w:r w:rsidRPr="00C31375">
        <w:t xml:space="preserve"> to preserve heritage values? If </w:t>
      </w:r>
      <w:r w:rsidR="00F158F3">
        <w:t>yes,</w:t>
      </w:r>
      <w:r w:rsidR="00F158F3" w:rsidRPr="00C31375">
        <w:t xml:space="preserve"> </w:t>
      </w:r>
      <w:r w:rsidRPr="00C31375">
        <w:t xml:space="preserve">then </w:t>
      </w:r>
      <w:r w:rsidRPr="00C31375">
        <w:rPr>
          <w:i/>
          <w:iCs/>
        </w:rPr>
        <w:t xml:space="preserve">Historical heritage </w:t>
      </w:r>
      <w:r w:rsidR="00F158F3">
        <w:t>will be</w:t>
      </w:r>
      <w:r w:rsidR="00F158F3" w:rsidRPr="00C31375">
        <w:t xml:space="preserve"> </w:t>
      </w:r>
      <w:r w:rsidRPr="00C31375">
        <w:t>the best location.</w:t>
      </w:r>
      <w:r w:rsidR="003D497D">
        <w:t xml:space="preserve"> </w:t>
      </w:r>
      <w:r w:rsidRPr="00BA3FB1">
        <w:t xml:space="preserve">But if </w:t>
      </w:r>
      <w:r w:rsidR="00F158F3">
        <w:t>this provision</w:t>
      </w:r>
      <w:r w:rsidR="00F158F3" w:rsidRPr="00BA3FB1">
        <w:t xml:space="preserve"> </w:t>
      </w:r>
      <w:r w:rsidRPr="00BA3FB1">
        <w:t xml:space="preserve">is more about wider effects or an overall strategic approach, </w:t>
      </w:r>
      <w:r w:rsidR="00F158F3">
        <w:t>it</w:t>
      </w:r>
      <w:r w:rsidRPr="00BA3FB1">
        <w:t xml:space="preserve"> should be placed in the </w:t>
      </w:r>
      <w:r w:rsidRPr="00BA3FB1">
        <w:rPr>
          <w:i/>
          <w:iCs/>
        </w:rPr>
        <w:t xml:space="preserve">Signs </w:t>
      </w:r>
      <w:r w:rsidRPr="00BA3FB1">
        <w:rPr>
          <w:iCs/>
        </w:rPr>
        <w:t>chapter</w:t>
      </w:r>
      <w:r w:rsidRPr="00BA3FB1">
        <w:t>.</w:t>
      </w:r>
      <w:r w:rsidR="003D497D">
        <w:t xml:space="preserve"> </w:t>
      </w:r>
      <w:r w:rsidRPr="009B7A38">
        <w:t xml:space="preserve">Include a cross-reference between the chapters so the provisions can be </w:t>
      </w:r>
      <w:r w:rsidR="00F158F3">
        <w:t>found</w:t>
      </w:r>
      <w:r w:rsidR="00F158F3" w:rsidRPr="009B7A38">
        <w:t xml:space="preserve"> </w:t>
      </w:r>
      <w:r w:rsidRPr="009B7A38">
        <w:t>from either location.</w:t>
      </w:r>
    </w:p>
    <w:p w14:paraId="6F0CC569" w14:textId="1FDEDD41" w:rsidR="00285CD3" w:rsidRDefault="000E09DA" w:rsidP="008B31F3">
      <w:pPr>
        <w:pStyle w:val="Heading3"/>
      </w:pPr>
      <w:r w:rsidRPr="00C31375">
        <w:t>What are the effects being managed?</w:t>
      </w:r>
      <w:r w:rsidR="003D497D">
        <w:t xml:space="preserve"> </w:t>
      </w:r>
    </w:p>
    <w:p w14:paraId="7313B779" w14:textId="2EC5392A" w:rsidR="000E09DA" w:rsidRPr="00043989" w:rsidRDefault="000E09DA" w:rsidP="00CC36C5">
      <w:pPr>
        <w:pStyle w:val="BodyText"/>
      </w:pPr>
      <w:r w:rsidRPr="00C31375">
        <w:t xml:space="preserve">Does the provision relate to </w:t>
      </w:r>
      <w:r w:rsidR="00F24FBB">
        <w:t>specific</w:t>
      </w:r>
      <w:r w:rsidR="00F158F3" w:rsidRPr="00C31375">
        <w:t xml:space="preserve"> </w:t>
      </w:r>
      <w:r w:rsidR="00737C1C" w:rsidRPr="00C31375">
        <w:t>places</w:t>
      </w:r>
      <w:r w:rsidR="00DC563B">
        <w:t xml:space="preserve"> of value</w:t>
      </w:r>
      <w:r w:rsidR="00737C1C" w:rsidRPr="00C31375">
        <w:t>?</w:t>
      </w:r>
      <w:r w:rsidR="003D497D">
        <w:t xml:space="preserve"> </w:t>
      </w:r>
      <w:r w:rsidRPr="00C31375">
        <w:t>For example</w:t>
      </w:r>
      <w:r w:rsidR="00F158F3">
        <w:t>, an</w:t>
      </w:r>
      <w:r w:rsidRPr="00C31375">
        <w:t xml:space="preserve"> ‘avoid’ policy </w:t>
      </w:r>
      <w:r w:rsidR="00F158F3">
        <w:t xml:space="preserve">relating to </w:t>
      </w:r>
      <w:r w:rsidR="00F158F3" w:rsidRPr="00C31375">
        <w:t xml:space="preserve">earthworks in </w:t>
      </w:r>
      <w:r w:rsidR="00F158F3">
        <w:t>o</w:t>
      </w:r>
      <w:r w:rsidR="00F158F3" w:rsidRPr="00C31375">
        <w:t xml:space="preserve">utstanding </w:t>
      </w:r>
      <w:r w:rsidR="00F158F3">
        <w:t>n</w:t>
      </w:r>
      <w:r w:rsidR="00F158F3" w:rsidRPr="00C31375">
        <w:t xml:space="preserve">atural </w:t>
      </w:r>
      <w:r w:rsidR="00F158F3">
        <w:t>l</w:t>
      </w:r>
      <w:r w:rsidR="00F158F3" w:rsidRPr="00C31375">
        <w:t>andscapes</w:t>
      </w:r>
      <w:r w:rsidR="00F158F3">
        <w:t xml:space="preserve"> </w:t>
      </w:r>
      <w:r w:rsidRPr="00C31375">
        <w:t>would most lik</w:t>
      </w:r>
      <w:r w:rsidRPr="00BA3FB1">
        <w:t xml:space="preserve">ely belong in the </w:t>
      </w:r>
      <w:r w:rsidRPr="00BA3FB1">
        <w:rPr>
          <w:i/>
        </w:rPr>
        <w:t>Natural features and landscapes</w:t>
      </w:r>
      <w:r w:rsidRPr="00BA3FB1">
        <w:t xml:space="preserve"> chapter.</w:t>
      </w:r>
      <w:r w:rsidR="003D497D">
        <w:t xml:space="preserve"> </w:t>
      </w:r>
      <w:r w:rsidR="00F158F3">
        <w:t>Alternatively</w:t>
      </w:r>
      <w:r w:rsidRPr="00BA3FB1">
        <w:t>, if the policy</w:t>
      </w:r>
      <w:r w:rsidR="003D497D">
        <w:t xml:space="preserve"> </w:t>
      </w:r>
      <w:r w:rsidR="00F158F3">
        <w:t>was</w:t>
      </w:r>
      <w:r w:rsidR="00F158F3" w:rsidRPr="00BA3FB1">
        <w:t xml:space="preserve"> </w:t>
      </w:r>
      <w:r w:rsidRPr="00BA3FB1">
        <w:t xml:space="preserve">more </w:t>
      </w:r>
      <w:r w:rsidR="00F158F3">
        <w:t xml:space="preserve">concerned with </w:t>
      </w:r>
      <w:r w:rsidRPr="00BA3FB1">
        <w:t xml:space="preserve">managing </w:t>
      </w:r>
      <w:r w:rsidR="00F158F3">
        <w:t xml:space="preserve">the </w:t>
      </w:r>
      <w:r w:rsidRPr="00BA3FB1">
        <w:t>general adverse effects of earthworks wherever they occur</w:t>
      </w:r>
      <w:r w:rsidR="00F158F3">
        <w:t>red</w:t>
      </w:r>
      <w:r w:rsidRPr="00BA3FB1">
        <w:t xml:space="preserve">, the </w:t>
      </w:r>
      <w:r w:rsidRPr="009B7A38">
        <w:rPr>
          <w:i/>
        </w:rPr>
        <w:t>Earthworks</w:t>
      </w:r>
      <w:r w:rsidRPr="009B7A38">
        <w:t xml:space="preserve"> chapter would be more appropriate.</w:t>
      </w:r>
      <w:r w:rsidR="003D497D">
        <w:t xml:space="preserve"> </w:t>
      </w:r>
      <w:r w:rsidRPr="00043989">
        <w:t>Again, use cross-referencing to the ‘subsidiary’ chapter.</w:t>
      </w:r>
    </w:p>
    <w:p w14:paraId="60B3CA33" w14:textId="21EC49D5" w:rsidR="00311370" w:rsidRDefault="00677D54" w:rsidP="001E6876">
      <w:pPr>
        <w:pStyle w:val="BodyText"/>
        <w:rPr>
          <w:rFonts w:cs="Calibri"/>
        </w:rPr>
      </w:pPr>
      <w:r>
        <w:rPr>
          <w:rFonts w:cs="Calibri"/>
        </w:rPr>
        <w:t xml:space="preserve">Direction 38 of </w:t>
      </w:r>
      <w:r w:rsidR="002E2D4B" w:rsidRPr="002E2D4B">
        <w:rPr>
          <w:i/>
        </w:rPr>
        <w:t xml:space="preserve">7. District-wide Matters Standard </w:t>
      </w:r>
      <w:r w:rsidR="00383528">
        <w:rPr>
          <w:rFonts w:cs="Calibri"/>
        </w:rPr>
        <w:t>allows councils to include additional chapters to address other matters on a district</w:t>
      </w:r>
      <w:r w:rsidR="00E500BC">
        <w:rPr>
          <w:rFonts w:cs="Calibri"/>
        </w:rPr>
        <w:t>-wide basis. For example, a c</w:t>
      </w:r>
      <w:r w:rsidR="00383528">
        <w:rPr>
          <w:rFonts w:cs="Calibri"/>
        </w:rPr>
        <w:t xml:space="preserve">hapter </w:t>
      </w:r>
      <w:r w:rsidR="00E500BC">
        <w:rPr>
          <w:rFonts w:cs="Calibri"/>
        </w:rPr>
        <w:t xml:space="preserve">could be included to manage </w:t>
      </w:r>
      <w:r w:rsidR="00383528" w:rsidRPr="00383528">
        <w:rPr>
          <w:rFonts w:cs="Calibri"/>
        </w:rPr>
        <w:t>papakāinga</w:t>
      </w:r>
      <w:r w:rsidR="003D497D">
        <w:rPr>
          <w:rFonts w:cs="Calibri"/>
        </w:rPr>
        <w:t xml:space="preserve"> </w:t>
      </w:r>
      <w:r w:rsidR="00E500BC">
        <w:rPr>
          <w:rFonts w:cs="Calibri"/>
        </w:rPr>
        <w:t>and contain specific provisions relating to it</w:t>
      </w:r>
      <w:r w:rsidR="00FD2B47">
        <w:rPr>
          <w:rFonts w:cs="Calibri"/>
        </w:rPr>
        <w:t xml:space="preserve"> that apply district wide</w:t>
      </w:r>
      <w:r w:rsidR="00E500BC">
        <w:rPr>
          <w:rFonts w:cs="Calibri"/>
        </w:rPr>
        <w:t xml:space="preserve">. </w:t>
      </w:r>
    </w:p>
    <w:p w14:paraId="291DD537" w14:textId="7F476DC2" w:rsidR="00677D54" w:rsidRDefault="00311370" w:rsidP="001E6876">
      <w:pPr>
        <w:pStyle w:val="BodyText"/>
      </w:pPr>
      <w:r>
        <w:t xml:space="preserve">Another example </w:t>
      </w:r>
      <w:r w:rsidR="00F158F3">
        <w:t>is</w:t>
      </w:r>
      <w:r>
        <w:t xml:space="preserve"> the location of financial contributions</w:t>
      </w:r>
      <w:r w:rsidR="00737C1C">
        <w:t>,</w:t>
      </w:r>
      <w:r>
        <w:t xml:space="preserve"> as there is </w:t>
      </w:r>
      <w:r w:rsidR="00F158F3">
        <w:t>no</w:t>
      </w:r>
      <w:r>
        <w:t xml:space="preserve"> specific location</w:t>
      </w:r>
      <w:r w:rsidRPr="00311370">
        <w:t xml:space="preserve"> for </w:t>
      </w:r>
      <w:r>
        <w:t>these</w:t>
      </w:r>
      <w:r w:rsidRPr="00311370">
        <w:t xml:space="preserve"> in the </w:t>
      </w:r>
      <w:r w:rsidR="005A5FA4">
        <w:t>district plan structure</w:t>
      </w:r>
      <w:r>
        <w:t xml:space="preserve">. </w:t>
      </w:r>
      <w:r w:rsidR="00F24FBB">
        <w:t xml:space="preserve">You could place these </w:t>
      </w:r>
      <w:r w:rsidRPr="00311370">
        <w:t>in the subdivision chapter</w:t>
      </w:r>
      <w:r w:rsidR="00F16890">
        <w:t>,</w:t>
      </w:r>
      <w:r w:rsidR="005A5FA4">
        <w:t xml:space="preserve"> for example,</w:t>
      </w:r>
      <w:r w:rsidRPr="00311370">
        <w:t xml:space="preserve"> if that</w:t>
      </w:r>
      <w:r w:rsidR="005A5FA4">
        <w:t xml:space="preserve"> is what they solely relate to. Alternatively,</w:t>
      </w:r>
      <w:r>
        <w:t xml:space="preserve"> they could be</w:t>
      </w:r>
      <w:r w:rsidR="005A5FA4">
        <w:t xml:space="preserve"> included as</w:t>
      </w:r>
      <w:r>
        <w:t xml:space="preserve"> a new district-wide </w:t>
      </w:r>
      <w:r w:rsidR="005A5FA4">
        <w:t>‘</w:t>
      </w:r>
      <w:r>
        <w:t xml:space="preserve">financial </w:t>
      </w:r>
      <w:r>
        <w:lastRenderedPageBreak/>
        <w:t>contributions</w:t>
      </w:r>
      <w:r w:rsidR="005A5FA4">
        <w:t>’</w:t>
      </w:r>
      <w:r>
        <w:t xml:space="preserve"> chapter</w:t>
      </w:r>
      <w:r w:rsidRPr="00311370">
        <w:t xml:space="preserve">. </w:t>
      </w:r>
      <w:r w:rsidR="00383528">
        <w:t xml:space="preserve">Additional chapters must be included alphabetically under the </w:t>
      </w:r>
      <w:r w:rsidR="00383528" w:rsidRPr="00383528">
        <w:rPr>
          <w:i/>
        </w:rPr>
        <w:t>General district-wide matters</w:t>
      </w:r>
      <w:r w:rsidR="00383528">
        <w:t xml:space="preserve"> heading. </w:t>
      </w:r>
    </w:p>
    <w:p w14:paraId="599BC595" w14:textId="64C529B6" w:rsidR="002C71EF" w:rsidRPr="00BE5E96" w:rsidRDefault="002C71EF" w:rsidP="008B31F3">
      <w:pPr>
        <w:pStyle w:val="Heading3"/>
      </w:pPr>
      <w:r>
        <w:t>Strategic direction</w:t>
      </w:r>
    </w:p>
    <w:p w14:paraId="23EA7503" w14:textId="3B956910" w:rsidR="002C71EF" w:rsidRPr="00AF34B4" w:rsidRDefault="002C71EF" w:rsidP="008B31F3">
      <w:pPr>
        <w:pStyle w:val="BodyText"/>
      </w:pPr>
      <w:r w:rsidRPr="00AF34B4">
        <w:t xml:space="preserve">The </w:t>
      </w:r>
      <w:r w:rsidR="00B01DCC">
        <w:rPr>
          <w:i/>
        </w:rPr>
        <w:t>S</w:t>
      </w:r>
      <w:r w:rsidRPr="00B27909">
        <w:rPr>
          <w:i/>
        </w:rPr>
        <w:t>trategic direction</w:t>
      </w:r>
      <w:r w:rsidRPr="00AF34B4">
        <w:t xml:space="preserve"> heading provides a location for the high-level direction </w:t>
      </w:r>
      <w:r w:rsidR="00F158F3">
        <w:t xml:space="preserve">that </w:t>
      </w:r>
      <w:r w:rsidRPr="00AF34B4">
        <w:t>district councils are working towards for their city</w:t>
      </w:r>
      <w:r w:rsidR="00F158F3">
        <w:t xml:space="preserve"> and/or </w:t>
      </w:r>
      <w:r w:rsidRPr="00AF34B4">
        <w:t>district. This is an area of emerging best practice in second</w:t>
      </w:r>
      <w:r w:rsidR="00285CD3">
        <w:t>-</w:t>
      </w:r>
      <w:r w:rsidRPr="00AF34B4">
        <w:t>generation plans.</w:t>
      </w:r>
      <w:r w:rsidR="00E07F01">
        <w:t xml:space="preserve"> </w:t>
      </w:r>
      <w:r w:rsidRPr="00AF34B4">
        <w:t>Strategic direction is often supported with objectives and policies that tend to relate to the whole city</w:t>
      </w:r>
      <w:r w:rsidR="00F158F3">
        <w:t xml:space="preserve"> and/or </w:t>
      </w:r>
      <w:r w:rsidRPr="00AF34B4">
        <w:t>district</w:t>
      </w:r>
      <w:r w:rsidR="00D62C5E">
        <w:t xml:space="preserve"> and m</w:t>
      </w:r>
      <w:r w:rsidR="0005608F">
        <w:t>ay include cross</w:t>
      </w:r>
      <w:r w:rsidR="00081620">
        <w:t>-</w:t>
      </w:r>
      <w:r w:rsidR="0005608F">
        <w:t>cutting issues.</w:t>
      </w:r>
      <w:r w:rsidR="00D62C5E">
        <w:t xml:space="preserve"> </w:t>
      </w:r>
    </w:p>
    <w:p w14:paraId="7497C6CF" w14:textId="3016C6A3" w:rsidR="002C71EF" w:rsidRPr="00AF34B4" w:rsidRDefault="002C71EF" w:rsidP="008B31F3">
      <w:pPr>
        <w:pStyle w:val="BodyText"/>
        <w:rPr>
          <w:rFonts w:asciiTheme="minorHAnsi" w:hAnsiTheme="minorHAnsi" w:cstheme="minorHAnsi"/>
          <w:szCs w:val="22"/>
        </w:rPr>
      </w:pPr>
      <w:r w:rsidRPr="00AF34B4">
        <w:rPr>
          <w:rFonts w:asciiTheme="minorHAnsi" w:hAnsiTheme="minorHAnsi" w:cstheme="minorHAnsi"/>
          <w:szCs w:val="22"/>
        </w:rPr>
        <w:t>Some examples of strategic issues identified in such chapters include</w:t>
      </w:r>
      <w:r w:rsidR="00321085">
        <w:rPr>
          <w:rFonts w:asciiTheme="minorHAnsi" w:hAnsiTheme="minorHAnsi" w:cstheme="minorHAnsi"/>
          <w:szCs w:val="22"/>
        </w:rPr>
        <w:t>:</w:t>
      </w:r>
    </w:p>
    <w:p w14:paraId="527EA734" w14:textId="5ACA8875" w:rsidR="002C71EF" w:rsidRPr="0054646D" w:rsidRDefault="002C71EF" w:rsidP="006B0DFC">
      <w:pPr>
        <w:pStyle w:val="Bullet"/>
        <w:rPr>
          <w:shd w:val="clear" w:color="auto" w:fill="FFFFFF"/>
        </w:rPr>
      </w:pPr>
      <w:r w:rsidRPr="0054646D">
        <w:rPr>
          <w:shd w:val="clear" w:color="auto" w:fill="FFFFFF"/>
        </w:rPr>
        <w:t xml:space="preserve">recognising </w:t>
      </w:r>
      <w:r w:rsidR="00F158F3">
        <w:rPr>
          <w:shd w:val="clear" w:color="auto" w:fill="FFFFFF"/>
        </w:rPr>
        <w:t>special characteristics of a city or district</w:t>
      </w:r>
      <w:r w:rsidR="00F158F3" w:rsidRPr="0054646D">
        <w:rPr>
          <w:shd w:val="clear" w:color="auto" w:fill="FFFFFF"/>
        </w:rPr>
        <w:t xml:space="preserve"> </w:t>
      </w:r>
    </w:p>
    <w:p w14:paraId="5FE14DEE" w14:textId="77777777" w:rsidR="002C71EF" w:rsidRPr="0054646D" w:rsidRDefault="002C71EF" w:rsidP="006B0DFC">
      <w:pPr>
        <w:pStyle w:val="Bullet"/>
        <w:rPr>
          <w:shd w:val="clear" w:color="auto" w:fill="FFFFFF"/>
        </w:rPr>
      </w:pPr>
      <w:r w:rsidRPr="0054646D">
        <w:rPr>
          <w:shd w:val="clear" w:color="auto" w:fill="FFFFFF"/>
        </w:rPr>
        <w:t>recognising the impacts of climate change and climate change mitigations adopted in the plan</w:t>
      </w:r>
    </w:p>
    <w:p w14:paraId="61778DB5" w14:textId="60B3AC1F" w:rsidR="002C71EF" w:rsidRPr="0054646D" w:rsidRDefault="00F158F3" w:rsidP="006B0DFC">
      <w:pPr>
        <w:pStyle w:val="Bullet"/>
        <w:rPr>
          <w:shd w:val="clear" w:color="auto" w:fill="FFFFFF"/>
        </w:rPr>
      </w:pPr>
      <w:r>
        <w:rPr>
          <w:shd w:val="clear" w:color="auto" w:fill="FFFFFF"/>
        </w:rPr>
        <w:t xml:space="preserve">significant investment in </w:t>
      </w:r>
      <w:r w:rsidR="002C71EF" w:rsidRPr="0054646D">
        <w:rPr>
          <w:shd w:val="clear" w:color="auto" w:fill="FFFFFF"/>
        </w:rPr>
        <w:t xml:space="preserve">transport that will </w:t>
      </w:r>
      <w:r>
        <w:rPr>
          <w:shd w:val="clear" w:color="auto" w:fill="FFFFFF"/>
        </w:rPr>
        <w:t xml:space="preserve">in turn </w:t>
      </w:r>
      <w:r w:rsidR="002C71EF" w:rsidRPr="0054646D">
        <w:rPr>
          <w:shd w:val="clear" w:color="auto" w:fill="FFFFFF"/>
        </w:rPr>
        <w:t>influence land</w:t>
      </w:r>
      <w:r w:rsidR="00081620">
        <w:rPr>
          <w:shd w:val="clear" w:color="auto" w:fill="FFFFFF"/>
        </w:rPr>
        <w:t>-</w:t>
      </w:r>
      <w:r w:rsidR="002C71EF" w:rsidRPr="0054646D">
        <w:rPr>
          <w:shd w:val="clear" w:color="auto" w:fill="FFFFFF"/>
        </w:rPr>
        <w:t>use change over the life of the plan</w:t>
      </w:r>
    </w:p>
    <w:p w14:paraId="42844853" w14:textId="67DF079D" w:rsidR="002C71EF" w:rsidRPr="0054646D" w:rsidRDefault="002C71EF" w:rsidP="006B0DFC">
      <w:pPr>
        <w:pStyle w:val="Bullet"/>
        <w:rPr>
          <w:shd w:val="clear" w:color="auto" w:fill="FFFFFF"/>
        </w:rPr>
      </w:pPr>
      <w:r w:rsidRPr="0054646D">
        <w:rPr>
          <w:shd w:val="clear" w:color="auto" w:fill="FFFFFF"/>
        </w:rPr>
        <w:t>strategic resource management issues specific to the city</w:t>
      </w:r>
      <w:r w:rsidR="00F158F3">
        <w:rPr>
          <w:shd w:val="clear" w:color="auto" w:fill="FFFFFF"/>
        </w:rPr>
        <w:t xml:space="preserve"> and/or </w:t>
      </w:r>
      <w:r w:rsidRPr="0054646D">
        <w:rPr>
          <w:shd w:val="clear" w:color="auto" w:fill="FFFFFF"/>
        </w:rPr>
        <w:t>district (eg</w:t>
      </w:r>
      <w:r w:rsidR="00CC7D20">
        <w:rPr>
          <w:shd w:val="clear" w:color="auto" w:fill="FFFFFF"/>
        </w:rPr>
        <w:t>,</w:t>
      </w:r>
      <w:r w:rsidRPr="0054646D">
        <w:rPr>
          <w:shd w:val="clear" w:color="auto" w:fill="FFFFFF"/>
        </w:rPr>
        <w:t xml:space="preserve"> tourism and energy)</w:t>
      </w:r>
      <w:r w:rsidR="00081620">
        <w:rPr>
          <w:shd w:val="clear" w:color="auto" w:fill="FFFFFF"/>
        </w:rPr>
        <w:t>.</w:t>
      </w:r>
    </w:p>
    <w:p w14:paraId="52C76B4A" w14:textId="5A72D103" w:rsidR="00D62C5E" w:rsidRDefault="002C71EF" w:rsidP="008B31F3">
      <w:pPr>
        <w:pStyle w:val="BodyText"/>
        <w:spacing w:before="240"/>
        <w:rPr>
          <w:shd w:val="clear" w:color="auto" w:fill="FFFFFF"/>
        </w:rPr>
      </w:pPr>
      <w:r w:rsidRPr="00BE5E96">
        <w:rPr>
          <w:bCs/>
          <w:shd w:val="clear" w:color="auto" w:fill="FFFFFF"/>
        </w:rPr>
        <w:t xml:space="preserve">The </w:t>
      </w:r>
      <w:r w:rsidR="00B01DCC">
        <w:rPr>
          <w:bCs/>
          <w:i/>
          <w:shd w:val="clear" w:color="auto" w:fill="FFFFFF"/>
        </w:rPr>
        <w:t>S</w:t>
      </w:r>
      <w:r w:rsidRPr="00BE5E96">
        <w:rPr>
          <w:bCs/>
          <w:i/>
          <w:shd w:val="clear" w:color="auto" w:fill="FFFFFF"/>
        </w:rPr>
        <w:t xml:space="preserve">trategic direction </w:t>
      </w:r>
      <w:r w:rsidRPr="00BE5E96">
        <w:rPr>
          <w:bCs/>
          <w:shd w:val="clear" w:color="auto" w:fill="FFFFFF"/>
        </w:rPr>
        <w:t xml:space="preserve">heading requires an </w:t>
      </w:r>
      <w:r w:rsidR="00B01DCC" w:rsidRPr="00B27909">
        <w:rPr>
          <w:bCs/>
          <w:i/>
          <w:shd w:val="clear" w:color="auto" w:fill="FFFFFF"/>
        </w:rPr>
        <w:t>U</w:t>
      </w:r>
      <w:r w:rsidRPr="00B27909">
        <w:rPr>
          <w:bCs/>
          <w:i/>
          <w:shd w:val="clear" w:color="auto" w:fill="FFFFFF"/>
        </w:rPr>
        <w:t>rban form and development</w:t>
      </w:r>
      <w:r w:rsidRPr="00BE5E96">
        <w:rPr>
          <w:bCs/>
          <w:shd w:val="clear" w:color="auto" w:fill="FFFFFF"/>
        </w:rPr>
        <w:t xml:space="preserve"> chapter. </w:t>
      </w:r>
      <w:r w:rsidR="00CE666A">
        <w:rPr>
          <w:shd w:val="clear" w:color="auto" w:fill="FFFFFF"/>
        </w:rPr>
        <w:t xml:space="preserve">This </w:t>
      </w:r>
      <w:r w:rsidR="0005608F">
        <w:rPr>
          <w:shd w:val="clear" w:color="auto" w:fill="FFFFFF"/>
        </w:rPr>
        <w:t xml:space="preserve">is </w:t>
      </w:r>
      <w:r w:rsidR="00D62C5E" w:rsidRPr="0005608F">
        <w:rPr>
          <w:shd w:val="clear" w:color="auto" w:fill="FFFFFF"/>
        </w:rPr>
        <w:t>mandatory because w</w:t>
      </w:r>
      <w:r w:rsidR="0005608F">
        <w:rPr>
          <w:shd w:val="clear" w:color="auto" w:fill="FFFFFF"/>
        </w:rPr>
        <w:t xml:space="preserve">e expect this is where </w:t>
      </w:r>
      <w:r w:rsidR="00F21688">
        <w:rPr>
          <w:shd w:val="clear" w:color="auto" w:fill="FFFFFF"/>
        </w:rPr>
        <w:t>councils</w:t>
      </w:r>
      <w:r w:rsidR="0005608F">
        <w:rPr>
          <w:shd w:val="clear" w:color="auto" w:fill="FFFFFF"/>
        </w:rPr>
        <w:t xml:space="preserve"> </w:t>
      </w:r>
      <w:r w:rsidR="00D62C5E" w:rsidRPr="0005608F">
        <w:rPr>
          <w:shd w:val="clear" w:color="auto" w:fill="FFFFFF"/>
        </w:rPr>
        <w:t>will put content relati</w:t>
      </w:r>
      <w:r w:rsidR="0005608F">
        <w:rPr>
          <w:shd w:val="clear" w:color="auto" w:fill="FFFFFF"/>
        </w:rPr>
        <w:t xml:space="preserve">ng to </w:t>
      </w:r>
      <w:r w:rsidR="00737C1C">
        <w:rPr>
          <w:shd w:val="clear" w:color="auto" w:fill="FFFFFF"/>
        </w:rPr>
        <w:t xml:space="preserve">the </w:t>
      </w:r>
      <w:r w:rsidR="00CE666A">
        <w:rPr>
          <w:shd w:val="clear" w:color="auto" w:fill="FFFFFF"/>
        </w:rPr>
        <w:t>National Policy Statement on Urban Development (NPS-UD)</w:t>
      </w:r>
      <w:r w:rsidR="0005608F">
        <w:rPr>
          <w:shd w:val="clear" w:color="auto" w:fill="FFFFFF"/>
        </w:rPr>
        <w:t>.</w:t>
      </w:r>
      <w:r w:rsidR="00E07F01">
        <w:rPr>
          <w:shd w:val="clear" w:color="auto" w:fill="FFFFFF"/>
        </w:rPr>
        <w:t xml:space="preserve"> </w:t>
      </w:r>
    </w:p>
    <w:p w14:paraId="579A42C3" w14:textId="69E013D6" w:rsidR="00CE666A" w:rsidRDefault="00CE666A" w:rsidP="00CE666A">
      <w:pPr>
        <w:pStyle w:val="BodyText"/>
        <w:rPr>
          <w:szCs w:val="22"/>
          <w:lang w:val="en-NZ"/>
        </w:rPr>
      </w:pPr>
      <w:r>
        <w:t xml:space="preserve">The NPS-UD requires councils to plan well for growth and ensure a well-functioning urban environment for all people, communities and future generations. </w:t>
      </w:r>
    </w:p>
    <w:p w14:paraId="54002135" w14:textId="77777777" w:rsidR="00CE666A" w:rsidRDefault="00CE666A" w:rsidP="00CE666A">
      <w:pPr>
        <w:pStyle w:val="BodyText"/>
      </w:pPr>
      <w:r>
        <w:t xml:space="preserve">This includes: </w:t>
      </w:r>
    </w:p>
    <w:p w14:paraId="2406DD73" w14:textId="77777777" w:rsidR="00CE666A" w:rsidRDefault="00CE666A" w:rsidP="00A6326E">
      <w:pPr>
        <w:pStyle w:val="BodyText"/>
        <w:numPr>
          <w:ilvl w:val="0"/>
          <w:numId w:val="9"/>
        </w:numPr>
        <w:ind w:left="426" w:hanging="426"/>
      </w:pPr>
      <w:r>
        <w:t xml:space="preserve">ensuring urban development occurs in a way that takes into account the principles of the Treaty of Waitangi (te Tiriti o Waitangi) </w:t>
      </w:r>
    </w:p>
    <w:p w14:paraId="366A4D89" w14:textId="77777777" w:rsidR="00CE666A" w:rsidRDefault="00CE666A" w:rsidP="00A6326E">
      <w:pPr>
        <w:pStyle w:val="BodyText"/>
        <w:numPr>
          <w:ilvl w:val="0"/>
          <w:numId w:val="9"/>
        </w:numPr>
        <w:ind w:left="426" w:hanging="426"/>
      </w:pPr>
      <w:r>
        <w:t>ensuring that plans make room for growth both ‘up’ and ‘out’, and that rules are not unnecessarily constraining growth</w:t>
      </w:r>
    </w:p>
    <w:p w14:paraId="272D428F" w14:textId="77777777" w:rsidR="00CE666A" w:rsidRDefault="00CE666A" w:rsidP="00A6326E">
      <w:pPr>
        <w:pStyle w:val="BodyText"/>
        <w:numPr>
          <w:ilvl w:val="0"/>
          <w:numId w:val="9"/>
        </w:numPr>
        <w:ind w:left="426" w:hanging="426"/>
      </w:pPr>
      <w:r>
        <w:t>developing, monitoring and maintaining an evidence base about demand, supply and prices for housing and land to inform planning decisions</w:t>
      </w:r>
    </w:p>
    <w:p w14:paraId="0E5F2DDC" w14:textId="77777777" w:rsidR="00CE666A" w:rsidRDefault="00CE666A" w:rsidP="00A6326E">
      <w:pPr>
        <w:pStyle w:val="BodyText"/>
        <w:numPr>
          <w:ilvl w:val="0"/>
          <w:numId w:val="9"/>
        </w:numPr>
        <w:spacing w:line="360" w:lineRule="auto"/>
        <w:ind w:left="426" w:hanging="426"/>
      </w:pPr>
      <w:r>
        <w:t>aligning and coordinating planning across urban areas.</w:t>
      </w:r>
    </w:p>
    <w:p w14:paraId="023248AF" w14:textId="71274D56" w:rsidR="00CE666A" w:rsidRPr="00CE666A" w:rsidRDefault="00CE666A" w:rsidP="00CE666A">
      <w:pPr>
        <w:pStyle w:val="BodyText"/>
      </w:pPr>
      <w:r>
        <w:t xml:space="preserve">The objectives and high-level policies of the NPS-UD 2020 apply to all councils that have all or part of an urban environment within their district or region. However, some policies apply only to tier 1 or tier 2 councils. </w:t>
      </w:r>
    </w:p>
    <w:p w14:paraId="7FD0BDCC" w14:textId="18B9F9EC" w:rsidR="002C71EF" w:rsidRPr="00BE5E96" w:rsidRDefault="003F1ED8" w:rsidP="006B0DFC">
      <w:pPr>
        <w:pStyle w:val="BodyText"/>
      </w:pPr>
      <w:r>
        <w:rPr>
          <w:rStyle w:val="Emphasis"/>
          <w:rFonts w:cs="Calibri"/>
          <w:i w:val="0"/>
          <w:szCs w:val="22"/>
          <w:shd w:val="clear" w:color="auto" w:fill="FFFFFF"/>
        </w:rPr>
        <w:t>D</w:t>
      </w:r>
      <w:r w:rsidR="002C71EF" w:rsidRPr="00BE5E96">
        <w:rPr>
          <w:rStyle w:val="Emphasis"/>
          <w:rFonts w:cs="Calibri"/>
          <w:i w:val="0"/>
          <w:szCs w:val="22"/>
          <w:shd w:val="clear" w:color="auto" w:fill="FFFFFF"/>
        </w:rPr>
        <w:t>irection 1.d provides a location for</w:t>
      </w:r>
      <w:r>
        <w:rPr>
          <w:rStyle w:val="Emphasis"/>
          <w:rFonts w:cs="Calibri"/>
          <w:i w:val="0"/>
          <w:szCs w:val="22"/>
          <w:shd w:val="clear" w:color="auto" w:fill="FFFFFF"/>
        </w:rPr>
        <w:t xml:space="preserve"> information about</w:t>
      </w:r>
      <w:r w:rsidR="002C71EF" w:rsidRPr="00BE5E96">
        <w:rPr>
          <w:rStyle w:val="Emphasis"/>
          <w:rFonts w:cs="Calibri"/>
          <w:szCs w:val="22"/>
          <w:shd w:val="clear" w:color="auto" w:fill="FFFFFF"/>
        </w:rPr>
        <w:t xml:space="preserve"> </w:t>
      </w:r>
      <w:r w:rsidR="002C71EF" w:rsidRPr="00BE5E96">
        <w:t xml:space="preserve">how resource management issues of significance to iwi authorities are addressed in </w:t>
      </w:r>
      <w:r w:rsidR="005610EA">
        <w:t>your</w:t>
      </w:r>
      <w:r w:rsidR="002C71EF" w:rsidRPr="00BE5E96">
        <w:t xml:space="preserve"> plan. </w:t>
      </w:r>
      <w:r w:rsidR="005610EA">
        <w:t>You should consider t</w:t>
      </w:r>
      <w:r w:rsidR="002C71EF" w:rsidRPr="00BE5E96">
        <w:t>h</w:t>
      </w:r>
      <w:r w:rsidR="00482F7C">
        <w:t>is</w:t>
      </w:r>
      <w:r w:rsidR="002C71EF" w:rsidRPr="00BE5E96">
        <w:t xml:space="preserve"> content in relation to the content </w:t>
      </w:r>
      <w:r>
        <w:t>included</w:t>
      </w:r>
      <w:r w:rsidRPr="00BE5E96">
        <w:t xml:space="preserve"> </w:t>
      </w:r>
      <w:r w:rsidR="002C71EF" w:rsidRPr="00BE5E96">
        <w:t xml:space="preserve">in </w:t>
      </w:r>
      <w:r w:rsidR="00584EC8">
        <w:rPr>
          <w:i/>
        </w:rPr>
        <w:t>7. Introduction and general p</w:t>
      </w:r>
      <w:r w:rsidR="002C71EF" w:rsidRPr="00BE5E96">
        <w:rPr>
          <w:i/>
        </w:rPr>
        <w:t xml:space="preserve">rovisions </w:t>
      </w:r>
      <w:r w:rsidRPr="00D401D4">
        <w:t xml:space="preserve">directions </w:t>
      </w:r>
      <w:r w:rsidR="002C71EF" w:rsidRPr="00BE5E96">
        <w:t xml:space="preserve">5.b and c </w:t>
      </w:r>
      <w:r w:rsidR="002C71EF" w:rsidRPr="00584EC8">
        <w:t>(Māori</w:t>
      </w:r>
      <w:r w:rsidR="00081620" w:rsidRPr="00584EC8">
        <w:t>-</w:t>
      </w:r>
      <w:r w:rsidR="002C71EF" w:rsidRPr="00584EC8">
        <w:t xml:space="preserve">related </w:t>
      </w:r>
      <w:r w:rsidR="00584EC8" w:rsidRPr="00584EC8">
        <w:rPr>
          <w:rFonts w:asciiTheme="minorHAnsi" w:hAnsiTheme="minorHAnsi" w:cstheme="minorHAnsi"/>
        </w:rPr>
        <w:t xml:space="preserve">RMA </w:t>
      </w:r>
      <w:r w:rsidR="002C71EF" w:rsidRPr="00584EC8">
        <w:t xml:space="preserve">provisions and Treaty of Waitangi settlement legislation) and information included under the </w:t>
      </w:r>
      <w:r w:rsidR="00482F7C" w:rsidRPr="00584EC8">
        <w:rPr>
          <w:i/>
        </w:rPr>
        <w:t>T</w:t>
      </w:r>
      <w:r w:rsidR="002C71EF" w:rsidRPr="00584EC8">
        <w:rPr>
          <w:i/>
        </w:rPr>
        <w:t>angata whenua/mana whenua</w:t>
      </w:r>
      <w:r w:rsidR="002C71EF" w:rsidRPr="00584EC8">
        <w:t xml:space="preserve"> heading.</w:t>
      </w:r>
      <w:r w:rsidR="002C71EF" w:rsidRPr="00BE5E96">
        <w:t xml:space="preserve"> Content should </w:t>
      </w:r>
      <w:r w:rsidR="00482F7C">
        <w:t xml:space="preserve">also </w:t>
      </w:r>
      <w:r w:rsidR="002C71EF" w:rsidRPr="00BE5E96">
        <w:t xml:space="preserve">focus on the issues that tangata whenua/mana whenua identify as significant in </w:t>
      </w:r>
      <w:r w:rsidR="00E17072" w:rsidRPr="00BE5E96">
        <w:t xml:space="preserve">the </w:t>
      </w:r>
      <w:r w:rsidR="00E17072">
        <w:t>district</w:t>
      </w:r>
      <w:r w:rsidR="002C71EF" w:rsidRPr="00BE5E96">
        <w:t xml:space="preserve">. </w:t>
      </w:r>
      <w:r w:rsidR="005610EA">
        <w:t>You can cross-reference c</w:t>
      </w:r>
      <w:r w:rsidR="002C71EF" w:rsidRPr="00BE5E96">
        <w:t>ontent from</w:t>
      </w:r>
      <w:r w:rsidR="00482F7C">
        <w:t xml:space="preserve"> other</w:t>
      </w:r>
      <w:r w:rsidR="002C71EF" w:rsidRPr="00BE5E96">
        <w:t xml:space="preserve"> heading</w:t>
      </w:r>
      <w:r w:rsidR="00482F7C">
        <w:t>s</w:t>
      </w:r>
      <w:r w:rsidR="002C71EF" w:rsidRPr="00BE5E96">
        <w:t xml:space="preserve"> if necessary, to avoid repetition. </w:t>
      </w:r>
    </w:p>
    <w:p w14:paraId="6BD4FF66" w14:textId="6EA73236" w:rsidR="002C71EF" w:rsidRPr="00434BB3" w:rsidRDefault="002C71EF" w:rsidP="008B31F3">
      <w:pPr>
        <w:pStyle w:val="Heading3"/>
      </w:pPr>
      <w:r w:rsidRPr="00434BB3">
        <w:lastRenderedPageBreak/>
        <w:t>Energy, infrastructure and transport</w:t>
      </w:r>
    </w:p>
    <w:p w14:paraId="65F43942" w14:textId="2519A358" w:rsidR="004F3D6D" w:rsidRDefault="005610EA" w:rsidP="00771B3D">
      <w:pPr>
        <w:pStyle w:val="BodyText"/>
      </w:pPr>
      <w:r>
        <w:rPr>
          <w:rStyle w:val="BodyTextChar"/>
        </w:rPr>
        <w:t>You</w:t>
      </w:r>
      <w:r w:rsidR="00645A69" w:rsidRPr="006B0DFC">
        <w:rPr>
          <w:rStyle w:val="BodyTextChar"/>
        </w:rPr>
        <w:t xml:space="preserve"> </w:t>
      </w:r>
      <w:r w:rsidR="00081620">
        <w:rPr>
          <w:rStyle w:val="BodyTextChar"/>
        </w:rPr>
        <w:t>can</w:t>
      </w:r>
      <w:r w:rsidR="00645A69" w:rsidRPr="006B0DFC">
        <w:rPr>
          <w:rStyle w:val="BodyTextChar"/>
        </w:rPr>
        <w:t xml:space="preserve"> decide what the relevant chapters should be under this heading.</w:t>
      </w:r>
      <w:r w:rsidR="00E07F01">
        <w:rPr>
          <w:rStyle w:val="BodyTextChar"/>
        </w:rPr>
        <w:t xml:space="preserve"> </w:t>
      </w:r>
      <w:r w:rsidR="00645A69" w:rsidRPr="006B0DFC">
        <w:rPr>
          <w:rStyle w:val="BodyTextChar"/>
        </w:rPr>
        <w:t xml:space="preserve">One example would be </w:t>
      </w:r>
      <w:r w:rsidR="005672DA" w:rsidRPr="006B0DFC">
        <w:rPr>
          <w:rStyle w:val="BodyTextChar"/>
        </w:rPr>
        <w:t xml:space="preserve">having </w:t>
      </w:r>
      <w:r w:rsidR="00645A69" w:rsidRPr="006B0DFC">
        <w:rPr>
          <w:rStyle w:val="BodyTextChar"/>
        </w:rPr>
        <w:t>on</w:t>
      </w:r>
      <w:r w:rsidR="005672DA" w:rsidRPr="006B0DFC">
        <w:rPr>
          <w:rStyle w:val="BodyTextChar"/>
        </w:rPr>
        <w:t>e</w:t>
      </w:r>
      <w:r w:rsidR="00645A69" w:rsidRPr="006B0DFC">
        <w:rPr>
          <w:rStyle w:val="BodyTextChar"/>
        </w:rPr>
        <w:t xml:space="preserve"> chapter for each topic</w:t>
      </w:r>
      <w:r>
        <w:rPr>
          <w:rStyle w:val="BodyTextChar"/>
        </w:rPr>
        <w:t>,</w:t>
      </w:r>
      <w:r w:rsidR="005672DA" w:rsidRPr="006B0DFC">
        <w:rPr>
          <w:rStyle w:val="BodyTextChar"/>
        </w:rPr>
        <w:t xml:space="preserve"> </w:t>
      </w:r>
      <w:r>
        <w:rPr>
          <w:rStyle w:val="BodyTextChar"/>
        </w:rPr>
        <w:t>that is</w:t>
      </w:r>
      <w:r w:rsidR="005672DA" w:rsidRPr="006B0DFC">
        <w:rPr>
          <w:rStyle w:val="BodyTextChar"/>
        </w:rPr>
        <w:t xml:space="preserve">, an </w:t>
      </w:r>
      <w:r w:rsidR="00645A69" w:rsidRPr="006B0DFC">
        <w:rPr>
          <w:rStyle w:val="BodyTextChar"/>
        </w:rPr>
        <w:t>energy</w:t>
      </w:r>
      <w:r w:rsidR="005672DA" w:rsidRPr="006B0DFC">
        <w:rPr>
          <w:rStyle w:val="BodyTextChar"/>
        </w:rPr>
        <w:t xml:space="preserve"> chapter</w:t>
      </w:r>
      <w:r w:rsidR="00645A69" w:rsidRPr="006B0DFC">
        <w:rPr>
          <w:rStyle w:val="BodyTextChar"/>
        </w:rPr>
        <w:t xml:space="preserve">, </w:t>
      </w:r>
      <w:r w:rsidR="005672DA" w:rsidRPr="006B0DFC">
        <w:rPr>
          <w:rStyle w:val="BodyTextChar"/>
        </w:rPr>
        <w:t xml:space="preserve">an </w:t>
      </w:r>
      <w:r w:rsidR="00645A69" w:rsidRPr="006B0DFC">
        <w:rPr>
          <w:rStyle w:val="BodyTextChar"/>
        </w:rPr>
        <w:t xml:space="preserve">infrastructure </w:t>
      </w:r>
      <w:r w:rsidR="005672DA" w:rsidRPr="006B0DFC">
        <w:rPr>
          <w:rStyle w:val="BodyTextChar"/>
        </w:rPr>
        <w:t xml:space="preserve">chapter </w:t>
      </w:r>
      <w:r w:rsidR="00645A69" w:rsidRPr="006B0DFC">
        <w:rPr>
          <w:rStyle w:val="BodyTextChar"/>
        </w:rPr>
        <w:t xml:space="preserve">and </w:t>
      </w:r>
      <w:r w:rsidR="005672DA" w:rsidRPr="006B0DFC">
        <w:rPr>
          <w:rStyle w:val="BodyTextChar"/>
        </w:rPr>
        <w:t xml:space="preserve">a </w:t>
      </w:r>
      <w:r w:rsidR="00645A69" w:rsidRPr="006B0DFC">
        <w:rPr>
          <w:rStyle w:val="BodyTextChar"/>
        </w:rPr>
        <w:t>transport</w:t>
      </w:r>
      <w:r w:rsidR="005672DA" w:rsidRPr="006B0DFC">
        <w:rPr>
          <w:rStyle w:val="BodyTextChar"/>
        </w:rPr>
        <w:t xml:space="preserve"> chapter</w:t>
      </w:r>
      <w:r w:rsidR="00645A69" w:rsidRPr="006B0DFC">
        <w:rPr>
          <w:rStyle w:val="BodyTextChar"/>
        </w:rPr>
        <w:t>.</w:t>
      </w:r>
      <w:r w:rsidR="00730B78">
        <w:rPr>
          <w:rStyle w:val="BodyTextChar"/>
        </w:rPr>
        <w:t xml:space="preserve"> </w:t>
      </w:r>
      <w:r w:rsidR="00797BC1">
        <w:rPr>
          <w:rStyle w:val="BodyTextChar"/>
        </w:rPr>
        <w:t>Alternatively,</w:t>
      </w:r>
      <w:r w:rsidR="004F3D6D" w:rsidRPr="006B0DFC">
        <w:rPr>
          <w:rStyle w:val="BodyTextChar"/>
        </w:rPr>
        <w:t xml:space="preserve"> </w:t>
      </w:r>
      <w:r>
        <w:rPr>
          <w:rStyle w:val="BodyTextChar"/>
        </w:rPr>
        <w:t xml:space="preserve">you could combine </w:t>
      </w:r>
      <w:r w:rsidR="004F3D6D" w:rsidRPr="006B0DFC">
        <w:rPr>
          <w:rStyle w:val="BodyTextChar"/>
        </w:rPr>
        <w:t>these issues in one chapter, with several sections</w:t>
      </w:r>
      <w:r w:rsidR="004F3D6D">
        <w:t xml:space="preserve">. </w:t>
      </w:r>
    </w:p>
    <w:p w14:paraId="0158B918" w14:textId="363FB0E4" w:rsidR="00645A69" w:rsidRPr="005672DA" w:rsidRDefault="00645A69" w:rsidP="006B0DFC">
      <w:pPr>
        <w:pStyle w:val="BodyText"/>
      </w:pPr>
      <w:r w:rsidRPr="005672DA">
        <w:t xml:space="preserve">When </w:t>
      </w:r>
      <w:r w:rsidR="005610EA">
        <w:t>you</w:t>
      </w:r>
      <w:r w:rsidRPr="005672DA">
        <w:t xml:space="preserve"> choose </w:t>
      </w:r>
      <w:r w:rsidR="005610EA">
        <w:t>your</w:t>
      </w:r>
      <w:r w:rsidRPr="005672DA">
        <w:t xml:space="preserve"> chapter names </w:t>
      </w:r>
      <w:r w:rsidR="005610EA">
        <w:t>you</w:t>
      </w:r>
      <w:r w:rsidRPr="005672DA">
        <w:t xml:space="preserve"> will also need to choose a </w:t>
      </w:r>
      <w:r w:rsidR="00482F7C">
        <w:t>unique identifier</w:t>
      </w:r>
      <w:r w:rsidR="00FF4188" w:rsidRPr="005672DA">
        <w:t xml:space="preserve"> for that chapter that meets the requirement of </w:t>
      </w:r>
      <w:r w:rsidR="00FF4188" w:rsidRPr="005672DA">
        <w:rPr>
          <w:i/>
        </w:rPr>
        <w:t xml:space="preserve">10. Format </w:t>
      </w:r>
      <w:r w:rsidR="00FF4188" w:rsidRPr="00771B3D">
        <w:rPr>
          <w:i/>
        </w:rPr>
        <w:t>Standard</w:t>
      </w:r>
      <w:r w:rsidR="00482F7C">
        <w:rPr>
          <w:i/>
        </w:rPr>
        <w:t xml:space="preserve"> </w:t>
      </w:r>
      <w:r w:rsidR="00482F7C">
        <w:t>(see</w:t>
      </w:r>
      <w:r w:rsidR="004F3D6D">
        <w:t xml:space="preserve"> </w:t>
      </w:r>
      <w:hyperlink r:id="rId19" w:history="1">
        <w:r w:rsidR="004F3D6D" w:rsidRPr="008B31F3">
          <w:rPr>
            <w:rStyle w:val="Hyperlink"/>
            <w:i/>
            <w:color w:val="0F7B7D"/>
            <w:u w:val="none"/>
          </w:rPr>
          <w:t xml:space="preserve">National Planning Standard </w:t>
        </w:r>
        <w:r w:rsidR="00482F7C" w:rsidRPr="008B31F3">
          <w:rPr>
            <w:rStyle w:val="Hyperlink"/>
            <w:i/>
            <w:color w:val="0F7B7D"/>
            <w:u w:val="none"/>
          </w:rPr>
          <w:t>Guidance</w:t>
        </w:r>
        <w:r w:rsidR="004F3D6D" w:rsidRPr="008B31F3">
          <w:rPr>
            <w:rStyle w:val="Hyperlink"/>
            <w:i/>
            <w:color w:val="0F7B7D"/>
            <w:u w:val="none"/>
          </w:rPr>
          <w:t xml:space="preserve"> 10.</w:t>
        </w:r>
        <w:r w:rsidR="00482F7C" w:rsidRPr="008B31F3">
          <w:rPr>
            <w:rStyle w:val="Hyperlink"/>
            <w:i/>
            <w:color w:val="0F7B7D"/>
            <w:u w:val="none"/>
          </w:rPr>
          <w:t xml:space="preserve"> Format</w:t>
        </w:r>
      </w:hyperlink>
      <w:r w:rsidR="00482F7C" w:rsidRPr="008B31F3">
        <w:rPr>
          <w:color w:val="0F7B7D"/>
        </w:rPr>
        <w:t xml:space="preserve"> </w:t>
      </w:r>
      <w:r w:rsidR="00482F7C">
        <w:t>for further information on chapter identification)</w:t>
      </w:r>
      <w:r w:rsidR="00FF4188" w:rsidRPr="005672DA">
        <w:t>.</w:t>
      </w:r>
      <w:r w:rsidR="00E07F01">
        <w:t xml:space="preserve"> </w:t>
      </w:r>
    </w:p>
    <w:p w14:paraId="13FE8419" w14:textId="1B44F128" w:rsidR="00645A69" w:rsidRDefault="005610EA" w:rsidP="006B0DFC">
      <w:pPr>
        <w:pStyle w:val="BodyText"/>
      </w:pPr>
      <w:r>
        <w:t>You should locate m</w:t>
      </w:r>
      <w:r w:rsidR="000E09DA" w:rsidRPr="00F70112">
        <w:t xml:space="preserve">ost </w:t>
      </w:r>
      <w:r w:rsidR="00645A69" w:rsidRPr="00F70112">
        <w:t>provisions related to energy, infrastructure and transport under this heading unless they are addressed in a specific</w:t>
      </w:r>
      <w:r w:rsidR="00081620" w:rsidRPr="00F70112">
        <w:t>,</w:t>
      </w:r>
      <w:r w:rsidR="00645A69" w:rsidRPr="00F70112">
        <w:t xml:space="preserve"> s</w:t>
      </w:r>
      <w:r w:rsidR="008F2BC5" w:rsidRPr="00F70112">
        <w:t xml:space="preserve">pecial purpose zone </w:t>
      </w:r>
      <w:r w:rsidR="00645A69" w:rsidRPr="00F70112">
        <w:t>(such as a port or mining zone).</w:t>
      </w:r>
      <w:r w:rsidR="005672DA" w:rsidRPr="00F70112">
        <w:t xml:space="preserve"> </w:t>
      </w:r>
      <w:r w:rsidR="00645A69" w:rsidRPr="00F70112">
        <w:t xml:space="preserve">This means these chapters may include provisions to do with issues such as earthworks when </w:t>
      </w:r>
      <w:r>
        <w:t xml:space="preserve">they </w:t>
      </w:r>
      <w:r w:rsidR="00645A69" w:rsidRPr="00F70112">
        <w:t>are related to infrastructure</w:t>
      </w:r>
      <w:r>
        <w:t xml:space="preserve">. This is your choice. </w:t>
      </w:r>
      <w:r w:rsidR="00645A69" w:rsidRPr="00F70112">
        <w:t>Any provisions that relate to another topic within these chapters must be cross-referenced to the relevant other chapter (earthworks in this example) for ease of use and navigation.</w:t>
      </w:r>
    </w:p>
    <w:p w14:paraId="356E184B" w14:textId="62E6542C" w:rsidR="002C71EF" w:rsidRDefault="002C71EF" w:rsidP="008B31F3">
      <w:pPr>
        <w:pStyle w:val="Heading3"/>
      </w:pPr>
      <w:r w:rsidRPr="0069266C">
        <w:t>Hazards and risks</w:t>
      </w:r>
    </w:p>
    <w:p w14:paraId="4D487CF6" w14:textId="2E0FD10D" w:rsidR="008F2BC5" w:rsidRDefault="00FF4188" w:rsidP="006B0DFC">
      <w:pPr>
        <w:pStyle w:val="BodyText"/>
      </w:pPr>
      <w:r>
        <w:t>A</w:t>
      </w:r>
      <w:r w:rsidR="008F2BC5">
        <w:t>ny m</w:t>
      </w:r>
      <w:r w:rsidR="008F2BC5" w:rsidRPr="00B72A0D">
        <w:t xml:space="preserve">ethods used to identify risk and </w:t>
      </w:r>
      <w:r w:rsidR="0069266C">
        <w:t xml:space="preserve">the </w:t>
      </w:r>
      <w:r w:rsidR="008F2BC5" w:rsidRPr="00B72A0D">
        <w:t xml:space="preserve">effects of natural hazards </w:t>
      </w:r>
      <w:r>
        <w:t xml:space="preserve">within the </w:t>
      </w:r>
      <w:r w:rsidRPr="005672DA">
        <w:rPr>
          <w:i/>
        </w:rPr>
        <w:t xml:space="preserve">Natural hazards </w:t>
      </w:r>
      <w:r w:rsidR="005672DA">
        <w:rPr>
          <w:i/>
        </w:rPr>
        <w:t>c</w:t>
      </w:r>
      <w:r>
        <w:t>hapter</w:t>
      </w:r>
      <w:r w:rsidRPr="00B72A0D">
        <w:t xml:space="preserve"> </w:t>
      </w:r>
      <w:r w:rsidR="008F2BC5" w:rsidRPr="00B72A0D">
        <w:t xml:space="preserve">should </w:t>
      </w:r>
      <w:r w:rsidR="0069266C">
        <w:t>also consider</w:t>
      </w:r>
      <w:r w:rsidR="008F2BC5">
        <w:t xml:space="preserve"> the</w:t>
      </w:r>
      <w:r w:rsidR="008F2BC5" w:rsidRPr="00B72A0D">
        <w:t xml:space="preserve"> effects of climate change.</w:t>
      </w:r>
      <w:r w:rsidR="00E07F01">
        <w:t xml:space="preserve"> </w:t>
      </w:r>
      <w:r w:rsidR="005610EA">
        <w:t>You</w:t>
      </w:r>
      <w:r w:rsidR="00D62C5E">
        <w:t xml:space="preserve"> may wish to </w:t>
      </w:r>
      <w:r w:rsidR="00B62411">
        <w:t>address</w:t>
      </w:r>
      <w:r w:rsidR="00D62C5E">
        <w:t xml:space="preserve"> a range of hazards in </w:t>
      </w:r>
      <w:r w:rsidR="005610EA">
        <w:t xml:space="preserve">your plan </w:t>
      </w:r>
      <w:r w:rsidR="00D62C5E">
        <w:t>and could use sections to do this</w:t>
      </w:r>
      <w:r w:rsidR="00B62411">
        <w:t>.</w:t>
      </w:r>
    </w:p>
    <w:p w14:paraId="35AF51B8" w14:textId="24ACAC6E" w:rsidR="001672A1" w:rsidRDefault="005610EA" w:rsidP="006B0DFC">
      <w:pPr>
        <w:pStyle w:val="BodyText"/>
      </w:pPr>
      <w:r>
        <w:t>You must place p</w:t>
      </w:r>
      <w:r w:rsidR="001672A1">
        <w:t xml:space="preserve">rovisions relating to </w:t>
      </w:r>
      <w:r w:rsidR="00482F7C">
        <w:t>c</w:t>
      </w:r>
      <w:r w:rsidR="008F2BC5">
        <w:t xml:space="preserve">oastal </w:t>
      </w:r>
      <w:r w:rsidR="00482F7C">
        <w:t>h</w:t>
      </w:r>
      <w:r w:rsidR="008F2BC5">
        <w:t>azards</w:t>
      </w:r>
      <w:r w:rsidR="001672A1">
        <w:t xml:space="preserve"> </w:t>
      </w:r>
      <w:r w:rsidR="008F2BC5">
        <w:t xml:space="preserve">in </w:t>
      </w:r>
      <w:r w:rsidR="001672A1">
        <w:t xml:space="preserve">the </w:t>
      </w:r>
      <w:r w:rsidR="008F2BC5" w:rsidRPr="005672DA">
        <w:rPr>
          <w:i/>
        </w:rPr>
        <w:t>Coastal</w:t>
      </w:r>
      <w:r w:rsidR="00482F7C">
        <w:rPr>
          <w:i/>
        </w:rPr>
        <w:t xml:space="preserve"> environment</w:t>
      </w:r>
      <w:r w:rsidR="001672A1">
        <w:t xml:space="preserve"> </w:t>
      </w:r>
      <w:r w:rsidR="005672DA">
        <w:t>c</w:t>
      </w:r>
      <w:r w:rsidR="001672A1">
        <w:t xml:space="preserve">hapter under the </w:t>
      </w:r>
      <w:r w:rsidR="001672A1" w:rsidRPr="005672DA">
        <w:rPr>
          <w:i/>
        </w:rPr>
        <w:t xml:space="preserve">General </w:t>
      </w:r>
      <w:r w:rsidR="007F4AC8">
        <w:rPr>
          <w:i/>
        </w:rPr>
        <w:t>d</w:t>
      </w:r>
      <w:r w:rsidR="001672A1" w:rsidRPr="005672DA">
        <w:rPr>
          <w:i/>
        </w:rPr>
        <w:t>istrict-wide matters</w:t>
      </w:r>
      <w:r w:rsidR="001672A1">
        <w:t xml:space="preserve"> heading.</w:t>
      </w:r>
      <w:r w:rsidR="00E07F01">
        <w:t xml:space="preserve"> </w:t>
      </w:r>
      <w:r w:rsidR="001672A1">
        <w:t>Cross-</w:t>
      </w:r>
      <w:r w:rsidR="005672DA">
        <w:t>references</w:t>
      </w:r>
      <w:r w:rsidR="001672A1">
        <w:t xml:space="preserve"> to these provisions in the </w:t>
      </w:r>
      <w:r w:rsidR="001672A1" w:rsidRPr="005672DA">
        <w:rPr>
          <w:i/>
        </w:rPr>
        <w:t>Coastal</w:t>
      </w:r>
      <w:r w:rsidR="00482F7C">
        <w:rPr>
          <w:i/>
        </w:rPr>
        <w:t xml:space="preserve"> environment</w:t>
      </w:r>
      <w:r w:rsidR="001672A1" w:rsidRPr="005672DA">
        <w:rPr>
          <w:i/>
        </w:rPr>
        <w:t xml:space="preserve"> </w:t>
      </w:r>
      <w:r w:rsidR="00482F7C">
        <w:t>c</w:t>
      </w:r>
      <w:r w:rsidR="001672A1">
        <w:t>hapter should be inc</w:t>
      </w:r>
      <w:r w:rsidR="005672DA">
        <w:t xml:space="preserve">luded under the </w:t>
      </w:r>
      <w:r w:rsidR="005672DA" w:rsidRPr="005672DA">
        <w:rPr>
          <w:i/>
        </w:rPr>
        <w:t xml:space="preserve">Natural </w:t>
      </w:r>
      <w:r w:rsidR="007F4AC8">
        <w:rPr>
          <w:i/>
        </w:rPr>
        <w:t>h</w:t>
      </w:r>
      <w:r w:rsidR="005672DA" w:rsidRPr="005672DA">
        <w:rPr>
          <w:i/>
        </w:rPr>
        <w:t>azards</w:t>
      </w:r>
      <w:r w:rsidR="001672A1">
        <w:t xml:space="preserve"> chapter for ease of use and navigation.</w:t>
      </w:r>
    </w:p>
    <w:p w14:paraId="03E4CCBF" w14:textId="75586793" w:rsidR="008F2BC5" w:rsidRDefault="008F2BC5" w:rsidP="006B0DFC">
      <w:pPr>
        <w:pStyle w:val="BodyText"/>
      </w:pPr>
      <w:r>
        <w:t>Hazardous substances</w:t>
      </w:r>
      <w:r w:rsidR="00FF4188">
        <w:t xml:space="preserve"> has</w:t>
      </w:r>
      <w:r>
        <w:t xml:space="preserve"> not </w:t>
      </w:r>
      <w:r w:rsidR="00FF4188">
        <w:t xml:space="preserve">been included in the </w:t>
      </w:r>
      <w:r w:rsidR="00FF4188" w:rsidRPr="00FF4188">
        <w:rPr>
          <w:i/>
        </w:rPr>
        <w:t xml:space="preserve">4. District Plan </w:t>
      </w:r>
      <w:r w:rsidR="0069266C">
        <w:rPr>
          <w:i/>
        </w:rPr>
        <w:t>S</w:t>
      </w:r>
      <w:r w:rsidRPr="00FF4188">
        <w:rPr>
          <w:i/>
        </w:rPr>
        <w:t>tructure</w:t>
      </w:r>
      <w:r w:rsidRPr="008B31F3">
        <w:rPr>
          <w:i/>
        </w:rPr>
        <w:t xml:space="preserve"> </w:t>
      </w:r>
      <w:r w:rsidR="00B01967" w:rsidRPr="008B31F3">
        <w:rPr>
          <w:i/>
        </w:rPr>
        <w:t>S</w:t>
      </w:r>
      <w:r w:rsidR="00FF4188" w:rsidRPr="008B31F3">
        <w:rPr>
          <w:i/>
        </w:rPr>
        <w:t>tandard</w:t>
      </w:r>
      <w:r w:rsidR="00FF4188">
        <w:t xml:space="preserve"> as th</w:t>
      </w:r>
      <w:r w:rsidR="0069266C">
        <w:t>is</w:t>
      </w:r>
      <w:r w:rsidR="00FF4188">
        <w:t xml:space="preserve"> chapter should only be included when </w:t>
      </w:r>
      <w:r w:rsidR="005610EA">
        <w:t>you are</w:t>
      </w:r>
      <w:r w:rsidR="00FF4188">
        <w:t xml:space="preserve"> addressing a </w:t>
      </w:r>
      <w:r>
        <w:t>gap in leg</w:t>
      </w:r>
      <w:r w:rsidR="00FF4188">
        <w:t xml:space="preserve">islation or regulation. </w:t>
      </w:r>
    </w:p>
    <w:p w14:paraId="6B76B534" w14:textId="27524514" w:rsidR="008F2BC5" w:rsidRPr="00FF4188" w:rsidRDefault="00FF4188" w:rsidP="006B0DFC">
      <w:pPr>
        <w:pStyle w:val="BodyText"/>
      </w:pPr>
      <w:r w:rsidRPr="00FF4188">
        <w:t xml:space="preserve">Any provisions within the </w:t>
      </w:r>
      <w:r w:rsidR="00A73706">
        <w:rPr>
          <w:i/>
        </w:rPr>
        <w:t>C</w:t>
      </w:r>
      <w:r w:rsidR="00A73706" w:rsidRPr="00B27909">
        <w:rPr>
          <w:i/>
        </w:rPr>
        <w:t>ontaminated</w:t>
      </w:r>
      <w:r w:rsidR="008F2BC5" w:rsidRPr="00B27909">
        <w:rPr>
          <w:i/>
        </w:rPr>
        <w:t xml:space="preserve"> land</w:t>
      </w:r>
      <w:r w:rsidR="008F2BC5" w:rsidRPr="00FF4188">
        <w:t xml:space="preserve"> </w:t>
      </w:r>
      <w:r w:rsidRPr="00FF4188">
        <w:t xml:space="preserve">chapter </w:t>
      </w:r>
      <w:r w:rsidR="008F2BC5" w:rsidRPr="00FF4188">
        <w:t>should only address</w:t>
      </w:r>
      <w:r w:rsidRPr="00FF4188">
        <w:t xml:space="preserve"> issues not covered by the Resource Management (National Environmental Standard for Assessing and Managing Contaminants in Soil to Protect Human Health) Regulations 2011</w:t>
      </w:r>
      <w:r>
        <w:t>.</w:t>
      </w:r>
    </w:p>
    <w:p w14:paraId="04AA83E2" w14:textId="175A3D18" w:rsidR="002C71EF" w:rsidRDefault="002C71EF" w:rsidP="008B31F3">
      <w:pPr>
        <w:pStyle w:val="Heading3"/>
      </w:pPr>
      <w:r>
        <w:t>Historical and cultural values</w:t>
      </w:r>
    </w:p>
    <w:p w14:paraId="02A64E3F" w14:textId="5D0B5A05" w:rsidR="002C71EF" w:rsidRDefault="00CD07A5" w:rsidP="006B0DFC">
      <w:pPr>
        <w:pStyle w:val="BodyText"/>
      </w:pPr>
      <w:r>
        <w:t xml:space="preserve">In the </w:t>
      </w:r>
      <w:r w:rsidR="0069266C">
        <w:t xml:space="preserve">planning </w:t>
      </w:r>
      <w:r>
        <w:t>standards</w:t>
      </w:r>
      <w:r w:rsidR="00081620">
        <w:t>,</w:t>
      </w:r>
      <w:r>
        <w:t xml:space="preserve"> h</w:t>
      </w:r>
      <w:r w:rsidR="002C71EF">
        <w:t xml:space="preserve">istoric heritage has the same meaning as in the </w:t>
      </w:r>
      <w:r w:rsidR="00B27909">
        <w:t xml:space="preserve">RMA </w:t>
      </w:r>
      <w:r>
        <w:t>Section 2:</w:t>
      </w:r>
    </w:p>
    <w:p w14:paraId="4DD1AF8C" w14:textId="09A26784" w:rsidR="00851753" w:rsidRPr="00A73706" w:rsidRDefault="002C71EF" w:rsidP="00A6326E">
      <w:pPr>
        <w:pStyle w:val="BodyText"/>
        <w:numPr>
          <w:ilvl w:val="0"/>
          <w:numId w:val="7"/>
        </w:numPr>
        <w:ind w:left="426" w:hanging="426"/>
        <w:rPr>
          <w:rFonts w:cs="Calibri"/>
        </w:rPr>
      </w:pPr>
      <w:r w:rsidRPr="00A73706">
        <w:rPr>
          <w:rStyle w:val="BodyTextChar"/>
          <w:rFonts w:cs="Calibri"/>
          <w:sz w:val="20"/>
          <w:szCs w:val="20"/>
        </w:rPr>
        <w:t>means those natural and physical resources that contribute to an understanding and appreciation of New Zealand’s history and cultures, deriving from any of the following qualities</w:t>
      </w:r>
      <w:r w:rsidRPr="00A73706">
        <w:rPr>
          <w:rFonts w:cs="Calibri"/>
        </w:rPr>
        <w:t xml:space="preserve">: </w:t>
      </w:r>
    </w:p>
    <w:p w14:paraId="73B1BA27" w14:textId="2AA5AF1E" w:rsidR="00851753" w:rsidRPr="00A73706" w:rsidRDefault="002C71EF" w:rsidP="00A6326E">
      <w:pPr>
        <w:pStyle w:val="BodyText"/>
        <w:numPr>
          <w:ilvl w:val="1"/>
          <w:numId w:val="7"/>
        </w:numPr>
        <w:ind w:left="567" w:hanging="141"/>
        <w:rPr>
          <w:rFonts w:cs="Calibri"/>
          <w:sz w:val="20"/>
          <w:szCs w:val="20"/>
        </w:rPr>
      </w:pPr>
      <w:r w:rsidRPr="00A73706">
        <w:rPr>
          <w:rFonts w:cs="Calibri"/>
          <w:sz w:val="20"/>
          <w:szCs w:val="20"/>
        </w:rPr>
        <w:t xml:space="preserve">archaeological: </w:t>
      </w:r>
    </w:p>
    <w:p w14:paraId="5EED929B" w14:textId="61821255" w:rsidR="00851753" w:rsidRPr="00A73706" w:rsidRDefault="002C71EF" w:rsidP="00A6326E">
      <w:pPr>
        <w:pStyle w:val="BodyText"/>
        <w:numPr>
          <w:ilvl w:val="1"/>
          <w:numId w:val="7"/>
        </w:numPr>
        <w:ind w:left="567" w:hanging="141"/>
        <w:rPr>
          <w:rFonts w:cs="Calibri"/>
          <w:sz w:val="20"/>
          <w:szCs w:val="20"/>
        </w:rPr>
      </w:pPr>
      <w:r w:rsidRPr="00A73706">
        <w:rPr>
          <w:rFonts w:cs="Calibri"/>
          <w:sz w:val="20"/>
          <w:szCs w:val="20"/>
        </w:rPr>
        <w:t xml:space="preserve">architectural: </w:t>
      </w:r>
    </w:p>
    <w:p w14:paraId="0F703301" w14:textId="46B726C5" w:rsidR="00851753" w:rsidRPr="00A73706" w:rsidRDefault="002C71EF" w:rsidP="00A6326E">
      <w:pPr>
        <w:pStyle w:val="BodyText"/>
        <w:numPr>
          <w:ilvl w:val="1"/>
          <w:numId w:val="7"/>
        </w:numPr>
        <w:ind w:left="709" w:hanging="283"/>
        <w:rPr>
          <w:rFonts w:cs="Calibri"/>
          <w:sz w:val="20"/>
          <w:szCs w:val="20"/>
        </w:rPr>
      </w:pPr>
      <w:r w:rsidRPr="00A73706">
        <w:rPr>
          <w:rFonts w:cs="Calibri"/>
          <w:sz w:val="20"/>
          <w:szCs w:val="20"/>
        </w:rPr>
        <w:t xml:space="preserve">cultural: </w:t>
      </w:r>
    </w:p>
    <w:p w14:paraId="2BE30B43" w14:textId="0D76E153" w:rsidR="00851753" w:rsidRPr="00A73706" w:rsidRDefault="002C71EF" w:rsidP="00A6326E">
      <w:pPr>
        <w:pStyle w:val="BodyText"/>
        <w:numPr>
          <w:ilvl w:val="1"/>
          <w:numId w:val="7"/>
        </w:numPr>
        <w:ind w:left="567" w:hanging="141"/>
        <w:rPr>
          <w:rFonts w:cs="Calibri"/>
          <w:sz w:val="20"/>
          <w:szCs w:val="20"/>
        </w:rPr>
      </w:pPr>
      <w:r w:rsidRPr="00A73706">
        <w:rPr>
          <w:rFonts w:cs="Calibri"/>
          <w:sz w:val="20"/>
          <w:szCs w:val="20"/>
        </w:rPr>
        <w:t xml:space="preserve">historic: </w:t>
      </w:r>
    </w:p>
    <w:p w14:paraId="7C4ED028" w14:textId="657EC00D" w:rsidR="00851753" w:rsidRPr="00A73706" w:rsidRDefault="002C71EF" w:rsidP="00A6326E">
      <w:pPr>
        <w:pStyle w:val="BodyText"/>
        <w:numPr>
          <w:ilvl w:val="1"/>
          <w:numId w:val="7"/>
        </w:numPr>
        <w:ind w:left="567" w:hanging="141"/>
        <w:rPr>
          <w:rFonts w:cs="Calibri"/>
          <w:sz w:val="20"/>
          <w:szCs w:val="20"/>
        </w:rPr>
      </w:pPr>
      <w:r w:rsidRPr="00A73706">
        <w:rPr>
          <w:rFonts w:cs="Calibri"/>
          <w:sz w:val="20"/>
          <w:szCs w:val="20"/>
        </w:rPr>
        <w:t xml:space="preserve">scientific: </w:t>
      </w:r>
    </w:p>
    <w:p w14:paraId="0CD1235C" w14:textId="2B844322" w:rsidR="00851753" w:rsidRPr="00A73706" w:rsidRDefault="002C71EF" w:rsidP="00A6326E">
      <w:pPr>
        <w:pStyle w:val="BodyText"/>
        <w:numPr>
          <w:ilvl w:val="1"/>
          <w:numId w:val="7"/>
        </w:numPr>
        <w:ind w:left="709" w:hanging="283"/>
        <w:rPr>
          <w:rFonts w:cs="Calibri"/>
          <w:sz w:val="20"/>
          <w:szCs w:val="20"/>
        </w:rPr>
      </w:pPr>
      <w:r w:rsidRPr="00A73706">
        <w:rPr>
          <w:rFonts w:cs="Calibri"/>
          <w:sz w:val="20"/>
          <w:szCs w:val="20"/>
        </w:rPr>
        <w:t xml:space="preserve">technological; and </w:t>
      </w:r>
    </w:p>
    <w:p w14:paraId="414BD8C2" w14:textId="1AC9381E" w:rsidR="00851753" w:rsidRPr="00A73706" w:rsidRDefault="002C71EF" w:rsidP="00A6326E">
      <w:pPr>
        <w:pStyle w:val="BodyText"/>
        <w:numPr>
          <w:ilvl w:val="0"/>
          <w:numId w:val="7"/>
        </w:numPr>
        <w:ind w:left="426" w:hanging="426"/>
        <w:rPr>
          <w:rFonts w:cs="Calibri"/>
          <w:sz w:val="20"/>
          <w:szCs w:val="20"/>
        </w:rPr>
      </w:pPr>
      <w:r w:rsidRPr="00A73706">
        <w:rPr>
          <w:rFonts w:cs="Calibri"/>
          <w:sz w:val="20"/>
          <w:szCs w:val="20"/>
        </w:rPr>
        <w:t xml:space="preserve">includes— </w:t>
      </w:r>
    </w:p>
    <w:p w14:paraId="2FBF9167" w14:textId="60E3DF74" w:rsidR="00851753" w:rsidRPr="00A73706" w:rsidRDefault="002C71EF" w:rsidP="00A6326E">
      <w:pPr>
        <w:pStyle w:val="BodyText"/>
        <w:numPr>
          <w:ilvl w:val="1"/>
          <w:numId w:val="7"/>
        </w:numPr>
        <w:ind w:left="709" w:hanging="283"/>
        <w:rPr>
          <w:rFonts w:cs="Calibri"/>
          <w:sz w:val="20"/>
          <w:szCs w:val="20"/>
        </w:rPr>
      </w:pPr>
      <w:r w:rsidRPr="00A73706">
        <w:rPr>
          <w:rFonts w:cs="Calibri"/>
          <w:sz w:val="20"/>
          <w:szCs w:val="20"/>
        </w:rPr>
        <w:t xml:space="preserve">historic sites, structures, places, and areas; and </w:t>
      </w:r>
    </w:p>
    <w:p w14:paraId="4A747AB1" w14:textId="7AFB6C0E" w:rsidR="00851753" w:rsidRPr="00A73706" w:rsidRDefault="002C71EF" w:rsidP="00A6326E">
      <w:pPr>
        <w:pStyle w:val="BodyText"/>
        <w:numPr>
          <w:ilvl w:val="1"/>
          <w:numId w:val="7"/>
        </w:numPr>
        <w:ind w:left="709" w:hanging="283"/>
        <w:rPr>
          <w:rFonts w:cs="Calibri"/>
        </w:rPr>
      </w:pPr>
      <w:r w:rsidRPr="00A73706">
        <w:rPr>
          <w:rFonts w:cs="Calibri"/>
        </w:rPr>
        <w:lastRenderedPageBreak/>
        <w:t xml:space="preserve">archaeological sites; and </w:t>
      </w:r>
    </w:p>
    <w:p w14:paraId="6FA3D27E" w14:textId="6B0BBE95" w:rsidR="00851753" w:rsidRPr="00A73706" w:rsidRDefault="002C71EF" w:rsidP="00A6326E">
      <w:pPr>
        <w:pStyle w:val="BodyText"/>
        <w:numPr>
          <w:ilvl w:val="1"/>
          <w:numId w:val="7"/>
        </w:numPr>
        <w:ind w:left="709" w:hanging="283"/>
        <w:rPr>
          <w:rFonts w:cs="Calibri"/>
        </w:rPr>
      </w:pPr>
      <w:r w:rsidRPr="00A73706">
        <w:rPr>
          <w:rFonts w:cs="Calibri"/>
        </w:rPr>
        <w:t xml:space="preserve">sites of significance to Māori, including wāhi tapu; and </w:t>
      </w:r>
    </w:p>
    <w:p w14:paraId="6346D478" w14:textId="2FB5F251" w:rsidR="002C71EF" w:rsidRPr="00A73706" w:rsidRDefault="002C71EF" w:rsidP="00A6326E">
      <w:pPr>
        <w:pStyle w:val="BodyText"/>
        <w:numPr>
          <w:ilvl w:val="1"/>
          <w:numId w:val="7"/>
        </w:numPr>
        <w:ind w:left="709" w:hanging="283"/>
        <w:rPr>
          <w:rFonts w:cs="Calibri"/>
        </w:rPr>
      </w:pPr>
      <w:r w:rsidRPr="00A73706">
        <w:rPr>
          <w:rFonts w:cs="Calibri"/>
        </w:rPr>
        <w:t>surroundings associated with the natural and physical resources</w:t>
      </w:r>
      <w:r w:rsidR="0098030B" w:rsidRPr="00A73706">
        <w:rPr>
          <w:rFonts w:cs="Calibri"/>
        </w:rPr>
        <w:t>.</w:t>
      </w:r>
    </w:p>
    <w:p w14:paraId="117BEF2A" w14:textId="348DF6F3" w:rsidR="00CD07A5" w:rsidRPr="006B0DFC" w:rsidRDefault="002C71EF" w:rsidP="008B31F3">
      <w:pPr>
        <w:pStyle w:val="BodyText"/>
        <w:spacing w:before="240"/>
      </w:pPr>
      <w:r w:rsidRPr="00434BB3">
        <w:t xml:space="preserve">All provisions relating to sites and areas of significance to Māori should be located in the </w:t>
      </w:r>
      <w:r w:rsidR="00482F7C" w:rsidRPr="00081620">
        <w:rPr>
          <w:i/>
        </w:rPr>
        <w:t>S</w:t>
      </w:r>
      <w:r w:rsidRPr="00081620">
        <w:rPr>
          <w:i/>
        </w:rPr>
        <w:t>ites of significance</w:t>
      </w:r>
      <w:r w:rsidRPr="006B0DFC">
        <w:rPr>
          <w:i/>
        </w:rPr>
        <w:t xml:space="preserve"> to Māori </w:t>
      </w:r>
      <w:r w:rsidRPr="00434BB3">
        <w:t>chapter. Sites and areas of significance to Māori are distinguishable from historic</w:t>
      </w:r>
      <w:r w:rsidR="00585973" w:rsidRPr="00434BB3">
        <w:t>al</w:t>
      </w:r>
      <w:r w:rsidRPr="00434BB3">
        <w:t xml:space="preserve"> heritage as they require a particular process of identification and may require ongoing management, rather than protection. </w:t>
      </w:r>
      <w:r w:rsidR="005610EA">
        <w:t>You should only include s</w:t>
      </w:r>
      <w:r w:rsidR="00F16890">
        <w:t>ite details with the</w:t>
      </w:r>
      <w:r w:rsidR="00F16890" w:rsidRPr="00E07F01">
        <w:t xml:space="preserve"> </w:t>
      </w:r>
      <w:r w:rsidRPr="00E07F01">
        <w:t xml:space="preserve">agreement </w:t>
      </w:r>
      <w:r w:rsidR="00F16890">
        <w:t>of</w:t>
      </w:r>
      <w:r w:rsidR="00F16890" w:rsidRPr="00E07F01">
        <w:t xml:space="preserve"> </w:t>
      </w:r>
      <w:r w:rsidRPr="00E07F01">
        <w:t>Māori.</w:t>
      </w:r>
      <w:r w:rsidR="00E07F01">
        <w:t xml:space="preserve"> </w:t>
      </w:r>
      <w:r w:rsidR="005610EA">
        <w:t>You should also place e</w:t>
      </w:r>
      <w:r w:rsidR="00CD07A5" w:rsidRPr="00E07F01">
        <w:t>arthworks provisions relat</w:t>
      </w:r>
      <w:r w:rsidR="00F16890">
        <w:t>ing</w:t>
      </w:r>
      <w:r w:rsidR="00CD07A5" w:rsidRPr="00E07F01">
        <w:t xml:space="preserve"> to sites of significance to Maori</w:t>
      </w:r>
      <w:r w:rsidR="00F16890">
        <w:t>,</w:t>
      </w:r>
      <w:r w:rsidR="00CD07A5" w:rsidRPr="00E07F01">
        <w:t xml:space="preserve"> and</w:t>
      </w:r>
      <w:r w:rsidR="001C6F53" w:rsidRPr="00E07F01">
        <w:t>/</w:t>
      </w:r>
      <w:r w:rsidR="00CD07A5" w:rsidRPr="00E07F01">
        <w:t>or arch</w:t>
      </w:r>
      <w:r w:rsidR="00081620">
        <w:t>a</w:t>
      </w:r>
      <w:r w:rsidR="005610EA">
        <w:t>eological sites</w:t>
      </w:r>
      <w:r w:rsidR="00CD07A5" w:rsidRPr="00E07F01">
        <w:t xml:space="preserve"> </w:t>
      </w:r>
      <w:r w:rsidR="005610EA">
        <w:t xml:space="preserve">in </w:t>
      </w:r>
      <w:r w:rsidR="00CD07A5" w:rsidRPr="00E07F01">
        <w:t xml:space="preserve">this </w:t>
      </w:r>
      <w:r w:rsidR="005610EA">
        <w:t xml:space="preserve">chapter. This is because </w:t>
      </w:r>
      <w:r w:rsidR="00CD07A5" w:rsidRPr="00E07F01">
        <w:t>the adverse effects being controlled relate more directly to the effects on the sites than they do to the normal adverse effects of earthworks generally.</w:t>
      </w:r>
      <w:r w:rsidR="00E07F01">
        <w:t xml:space="preserve"> </w:t>
      </w:r>
      <w:r w:rsidR="00CD07A5" w:rsidRPr="00E07F01">
        <w:t xml:space="preserve">Cross-referencing of these provisions to the </w:t>
      </w:r>
      <w:r w:rsidR="00CD07A5" w:rsidRPr="00081620">
        <w:rPr>
          <w:i/>
        </w:rPr>
        <w:t>Earthworks</w:t>
      </w:r>
      <w:r w:rsidR="00CD07A5" w:rsidRPr="006B0DFC">
        <w:t xml:space="preserve"> </w:t>
      </w:r>
      <w:r w:rsidR="00F16890">
        <w:t xml:space="preserve">chapter </w:t>
      </w:r>
      <w:r w:rsidR="00CD07A5" w:rsidRPr="00434BB3">
        <w:t xml:space="preserve">should </w:t>
      </w:r>
      <w:r w:rsidR="005610EA">
        <w:t xml:space="preserve">be </w:t>
      </w:r>
      <w:r w:rsidR="00CB0D52">
        <w:t>provided</w:t>
      </w:r>
      <w:r w:rsidR="00CD07A5" w:rsidRPr="00434BB3">
        <w:t>.</w:t>
      </w:r>
    </w:p>
    <w:p w14:paraId="7F4BC982" w14:textId="68DEC99B" w:rsidR="00D401D4" w:rsidRPr="00D401D4" w:rsidRDefault="00D401D4" w:rsidP="006B0DFC">
      <w:pPr>
        <w:pStyle w:val="BodyText"/>
      </w:pPr>
      <w:r>
        <w:t xml:space="preserve">The definition of site in </w:t>
      </w:r>
      <w:r w:rsidR="00081620">
        <w:t xml:space="preserve">the </w:t>
      </w:r>
      <w:r>
        <w:rPr>
          <w:i/>
        </w:rPr>
        <w:t>14. Definitions</w:t>
      </w:r>
      <w:r w:rsidRPr="00737C1C">
        <w:rPr>
          <w:i/>
        </w:rPr>
        <w:t xml:space="preserve"> </w:t>
      </w:r>
      <w:r w:rsidR="00B01967" w:rsidRPr="00CC36C5">
        <w:rPr>
          <w:i/>
        </w:rPr>
        <w:t>S</w:t>
      </w:r>
      <w:r w:rsidRPr="00CC36C5">
        <w:rPr>
          <w:i/>
        </w:rPr>
        <w:t>tandard</w:t>
      </w:r>
      <w:r w:rsidRPr="00E82F7E">
        <w:t xml:space="preserve"> </w:t>
      </w:r>
      <w:r>
        <w:t>does</w:t>
      </w:r>
      <w:r w:rsidR="00081620">
        <w:t>n’t</w:t>
      </w:r>
      <w:r>
        <w:t xml:space="preserve"> apply to the definition of sites of significance to Māori</w:t>
      </w:r>
      <w:r w:rsidR="00F16890">
        <w:t xml:space="preserve">, which </w:t>
      </w:r>
      <w:r>
        <w:t>are defined in the RMA. This recognises that sites and areas of significance to Māori vary in size and may cover large areas.</w:t>
      </w:r>
    </w:p>
    <w:p w14:paraId="009439CE" w14:textId="13132521" w:rsidR="00BE5E96" w:rsidRDefault="002C71EF" w:rsidP="006B0DFC">
      <w:pPr>
        <w:pStyle w:val="BodyText"/>
        <w:rPr>
          <w:rFonts w:asciiTheme="minorHAnsi" w:hAnsiTheme="minorHAnsi" w:cstheme="minorHAnsi"/>
          <w:szCs w:val="22"/>
          <w:lang w:val="en-NZ"/>
        </w:rPr>
      </w:pPr>
      <w:r>
        <w:rPr>
          <w:rFonts w:asciiTheme="minorHAnsi" w:hAnsiTheme="minorHAnsi" w:cstheme="minorHAnsi"/>
          <w:szCs w:val="22"/>
        </w:rPr>
        <w:t>An explanation of the term ‘cultural la</w:t>
      </w:r>
      <w:r w:rsidR="00730B78">
        <w:rPr>
          <w:rFonts w:asciiTheme="minorHAnsi" w:hAnsiTheme="minorHAnsi" w:cstheme="minorHAnsi"/>
          <w:szCs w:val="22"/>
        </w:rPr>
        <w:t>ndscapes’ used in direction 17a</w:t>
      </w:r>
      <w:r>
        <w:rPr>
          <w:rFonts w:asciiTheme="minorHAnsi" w:hAnsiTheme="minorHAnsi" w:cstheme="minorHAnsi"/>
          <w:szCs w:val="22"/>
        </w:rPr>
        <w:t xml:space="preserve"> can be found o</w:t>
      </w:r>
      <w:r w:rsidR="00CD07A5">
        <w:rPr>
          <w:rFonts w:asciiTheme="minorHAnsi" w:hAnsiTheme="minorHAnsi" w:cstheme="minorHAnsi"/>
          <w:szCs w:val="22"/>
        </w:rPr>
        <w:t xml:space="preserve">n the </w:t>
      </w:r>
      <w:hyperlink r:id="rId20" w:history="1">
        <w:r w:rsidR="00CD07A5" w:rsidRPr="008B31F3">
          <w:rPr>
            <w:rStyle w:val="Hyperlink"/>
            <w:rFonts w:asciiTheme="minorHAnsi" w:hAnsiTheme="minorHAnsi" w:cstheme="minorHAnsi"/>
            <w:color w:val="0F7B7D"/>
            <w:szCs w:val="22"/>
            <w:u w:val="none"/>
          </w:rPr>
          <w:t>quality planning website</w:t>
        </w:r>
      </w:hyperlink>
      <w:r w:rsidR="00746AF1">
        <w:rPr>
          <w:rFonts w:asciiTheme="minorHAnsi" w:hAnsiTheme="minorHAnsi" w:cstheme="minorHAnsi"/>
          <w:szCs w:val="22"/>
          <w:lang w:val="en-NZ"/>
        </w:rPr>
        <w:t>.</w:t>
      </w:r>
      <w:r w:rsidR="00730B78">
        <w:rPr>
          <w:rFonts w:asciiTheme="minorHAnsi" w:hAnsiTheme="minorHAnsi" w:cstheme="minorHAnsi"/>
          <w:szCs w:val="22"/>
        </w:rPr>
        <w:t xml:space="preserve"> </w:t>
      </w:r>
      <w:r w:rsidR="00746AF1">
        <w:rPr>
          <w:rFonts w:asciiTheme="minorHAnsi" w:hAnsiTheme="minorHAnsi" w:cstheme="minorHAnsi"/>
          <w:szCs w:val="22"/>
          <w:lang w:val="en-NZ"/>
        </w:rPr>
        <w:t>T</w:t>
      </w:r>
      <w:r>
        <w:rPr>
          <w:rFonts w:asciiTheme="minorHAnsi" w:hAnsiTheme="minorHAnsi" w:cstheme="minorHAnsi"/>
          <w:szCs w:val="22"/>
          <w:lang w:val="en-NZ"/>
        </w:rPr>
        <w:t>he term ‘regulat</w:t>
      </w:r>
      <w:r w:rsidR="00CC7D20">
        <w:rPr>
          <w:rFonts w:asciiTheme="minorHAnsi" w:hAnsiTheme="minorHAnsi" w:cstheme="minorHAnsi"/>
          <w:szCs w:val="22"/>
          <w:lang w:val="en-NZ"/>
        </w:rPr>
        <w:t>ory processes’ in direction 17</w:t>
      </w:r>
      <w:r>
        <w:rPr>
          <w:rFonts w:asciiTheme="minorHAnsi" w:hAnsiTheme="minorHAnsi" w:cstheme="minorHAnsi"/>
          <w:szCs w:val="22"/>
          <w:lang w:val="en-NZ"/>
        </w:rPr>
        <w:t xml:space="preserve">e refers to any processes set out in legislation, such </w:t>
      </w:r>
      <w:r w:rsidRPr="000B5765">
        <w:rPr>
          <w:rFonts w:asciiTheme="minorHAnsi" w:hAnsiTheme="minorHAnsi" w:cstheme="minorHAnsi"/>
          <w:szCs w:val="22"/>
          <w:lang w:val="en-NZ"/>
        </w:rPr>
        <w:t>as</w:t>
      </w:r>
      <w:r w:rsidR="00BE5E96">
        <w:rPr>
          <w:rFonts w:asciiTheme="minorHAnsi" w:hAnsiTheme="minorHAnsi" w:cstheme="minorHAnsi"/>
          <w:szCs w:val="22"/>
          <w:lang w:val="en-NZ"/>
        </w:rPr>
        <w:t xml:space="preserve"> </w:t>
      </w:r>
      <w:r w:rsidR="00CB0D52">
        <w:rPr>
          <w:rFonts w:asciiTheme="minorHAnsi" w:hAnsiTheme="minorHAnsi" w:cstheme="minorHAnsi"/>
          <w:szCs w:val="22"/>
          <w:lang w:val="en-NZ"/>
        </w:rPr>
        <w:t xml:space="preserve">in the RMA or in </w:t>
      </w:r>
      <w:r w:rsidRPr="000B5765">
        <w:rPr>
          <w:rFonts w:asciiTheme="minorHAnsi" w:hAnsiTheme="minorHAnsi" w:cstheme="minorHAnsi"/>
          <w:szCs w:val="22"/>
        </w:rPr>
        <w:t>any existing or pending Treaty of Waitangi settlement legislation or related statutory documents</w:t>
      </w:r>
      <w:r>
        <w:rPr>
          <w:rFonts w:asciiTheme="minorHAnsi" w:hAnsiTheme="minorHAnsi" w:cstheme="minorHAnsi"/>
          <w:szCs w:val="22"/>
          <w:lang w:val="en-NZ"/>
        </w:rPr>
        <w:t xml:space="preserve">. </w:t>
      </w:r>
    </w:p>
    <w:p w14:paraId="726E5B0A" w14:textId="149EF993" w:rsidR="00BE5E96" w:rsidRPr="00325599" w:rsidRDefault="00325599" w:rsidP="006B0DFC">
      <w:pPr>
        <w:pStyle w:val="BodyText"/>
        <w:rPr>
          <w:rFonts w:asciiTheme="minorHAnsi" w:hAnsiTheme="minorHAnsi"/>
          <w:szCs w:val="22"/>
        </w:rPr>
      </w:pPr>
      <w:r w:rsidRPr="00325599">
        <w:rPr>
          <w:rFonts w:asciiTheme="minorHAnsi" w:hAnsiTheme="minorHAnsi" w:cstheme="minorHAnsi"/>
          <w:szCs w:val="22"/>
          <w:lang w:val="en-NZ"/>
        </w:rPr>
        <w:t>Where provisions address cultural values and general district</w:t>
      </w:r>
      <w:r w:rsidR="00585973">
        <w:rPr>
          <w:rFonts w:asciiTheme="minorHAnsi" w:hAnsiTheme="minorHAnsi" w:cstheme="minorHAnsi"/>
          <w:szCs w:val="22"/>
          <w:lang w:val="en-NZ"/>
        </w:rPr>
        <w:t>-</w:t>
      </w:r>
      <w:r w:rsidRPr="00325599">
        <w:rPr>
          <w:rFonts w:asciiTheme="minorHAnsi" w:hAnsiTheme="minorHAnsi" w:cstheme="minorHAnsi"/>
          <w:szCs w:val="22"/>
          <w:lang w:val="en-NZ"/>
        </w:rPr>
        <w:t>wide matters</w:t>
      </w:r>
      <w:r w:rsidR="00675FB9">
        <w:rPr>
          <w:rFonts w:asciiTheme="minorHAnsi" w:hAnsiTheme="minorHAnsi" w:cstheme="minorHAnsi"/>
          <w:szCs w:val="22"/>
          <w:lang w:val="en-NZ"/>
        </w:rPr>
        <w:t xml:space="preserve"> (</w:t>
      </w:r>
      <w:r w:rsidR="00081620">
        <w:rPr>
          <w:rFonts w:asciiTheme="minorHAnsi" w:hAnsiTheme="minorHAnsi" w:cstheme="minorHAnsi"/>
          <w:szCs w:val="22"/>
          <w:lang w:val="en-NZ"/>
        </w:rPr>
        <w:t>eg,</w:t>
      </w:r>
      <w:r w:rsidR="00675FB9">
        <w:rPr>
          <w:rFonts w:asciiTheme="minorHAnsi" w:hAnsiTheme="minorHAnsi" w:cstheme="minorHAnsi"/>
          <w:szCs w:val="22"/>
          <w:lang w:val="en-NZ"/>
        </w:rPr>
        <w:t xml:space="preserve"> signs on a heritage building</w:t>
      </w:r>
      <w:r w:rsidR="00F1222E">
        <w:rPr>
          <w:rFonts w:asciiTheme="minorHAnsi" w:hAnsiTheme="minorHAnsi" w:cstheme="minorHAnsi"/>
          <w:szCs w:val="22"/>
          <w:lang w:val="en-NZ"/>
        </w:rPr>
        <w:t xml:space="preserve"> or culturally significant biodiversity</w:t>
      </w:r>
      <w:r w:rsidR="00675FB9">
        <w:rPr>
          <w:rFonts w:asciiTheme="minorHAnsi" w:hAnsiTheme="minorHAnsi" w:cstheme="minorHAnsi"/>
          <w:szCs w:val="22"/>
          <w:lang w:val="en-NZ"/>
        </w:rPr>
        <w:t>)</w:t>
      </w:r>
      <w:r w:rsidRPr="00325599">
        <w:rPr>
          <w:rFonts w:asciiTheme="minorHAnsi" w:hAnsiTheme="minorHAnsi" w:cstheme="minorHAnsi"/>
          <w:szCs w:val="22"/>
          <w:lang w:val="en-NZ"/>
        </w:rPr>
        <w:t xml:space="preserve">, </w:t>
      </w:r>
      <w:r w:rsidRPr="00325599">
        <w:rPr>
          <w:rFonts w:asciiTheme="minorHAnsi" w:hAnsiTheme="minorHAnsi"/>
          <w:szCs w:val="22"/>
        </w:rPr>
        <w:t xml:space="preserve">we consider it appropriate for </w:t>
      </w:r>
      <w:r w:rsidR="00F21688">
        <w:rPr>
          <w:rFonts w:asciiTheme="minorHAnsi" w:hAnsiTheme="minorHAnsi"/>
          <w:szCs w:val="22"/>
        </w:rPr>
        <w:t>councils</w:t>
      </w:r>
      <w:r w:rsidRPr="00325599">
        <w:rPr>
          <w:rFonts w:asciiTheme="minorHAnsi" w:hAnsiTheme="minorHAnsi"/>
          <w:szCs w:val="22"/>
        </w:rPr>
        <w:t xml:space="preserve"> to </w:t>
      </w:r>
      <w:r w:rsidR="00F16890">
        <w:rPr>
          <w:rFonts w:asciiTheme="minorHAnsi" w:hAnsiTheme="minorHAnsi"/>
          <w:szCs w:val="22"/>
        </w:rPr>
        <w:t>decide</w:t>
      </w:r>
      <w:r w:rsidR="00F16890" w:rsidRPr="00325599">
        <w:rPr>
          <w:rFonts w:asciiTheme="minorHAnsi" w:hAnsiTheme="minorHAnsi"/>
          <w:szCs w:val="22"/>
        </w:rPr>
        <w:t xml:space="preserve"> </w:t>
      </w:r>
      <w:r w:rsidRPr="00325599">
        <w:rPr>
          <w:rFonts w:asciiTheme="minorHAnsi" w:hAnsiTheme="minorHAnsi"/>
          <w:szCs w:val="22"/>
        </w:rPr>
        <w:t xml:space="preserve">the best location for these provisions, depending on the </w:t>
      </w:r>
      <w:r w:rsidR="00F16890">
        <w:rPr>
          <w:rFonts w:asciiTheme="minorHAnsi" w:hAnsiTheme="minorHAnsi"/>
          <w:szCs w:val="22"/>
        </w:rPr>
        <w:t>main</w:t>
      </w:r>
      <w:r w:rsidR="00F16890" w:rsidRPr="00325599">
        <w:rPr>
          <w:rFonts w:asciiTheme="minorHAnsi" w:hAnsiTheme="minorHAnsi"/>
          <w:szCs w:val="22"/>
        </w:rPr>
        <w:t xml:space="preserve"> </w:t>
      </w:r>
      <w:r w:rsidRPr="00325599">
        <w:rPr>
          <w:rFonts w:asciiTheme="minorHAnsi" w:hAnsiTheme="minorHAnsi"/>
          <w:szCs w:val="22"/>
        </w:rPr>
        <w:t>outcomes sought from them</w:t>
      </w:r>
      <w:r w:rsidR="00746AF1">
        <w:rPr>
          <w:rFonts w:asciiTheme="minorHAnsi" w:hAnsiTheme="minorHAnsi"/>
          <w:szCs w:val="22"/>
        </w:rPr>
        <w:t>. In this instance</w:t>
      </w:r>
      <w:r w:rsidR="00F16890">
        <w:rPr>
          <w:rFonts w:asciiTheme="minorHAnsi" w:hAnsiTheme="minorHAnsi"/>
          <w:szCs w:val="22"/>
        </w:rPr>
        <w:t>,</w:t>
      </w:r>
      <w:r w:rsidR="00746AF1">
        <w:rPr>
          <w:rFonts w:asciiTheme="minorHAnsi" w:hAnsiTheme="minorHAnsi"/>
          <w:szCs w:val="22"/>
        </w:rPr>
        <w:t xml:space="preserve"> cross-referencing should be provided</w:t>
      </w:r>
      <w:r w:rsidRPr="00325599">
        <w:rPr>
          <w:rFonts w:asciiTheme="minorHAnsi" w:hAnsiTheme="minorHAnsi"/>
          <w:szCs w:val="22"/>
        </w:rPr>
        <w:t>.</w:t>
      </w:r>
    </w:p>
    <w:p w14:paraId="395412FD" w14:textId="6111BD33" w:rsidR="002C71EF" w:rsidRDefault="002C71EF" w:rsidP="008B31F3">
      <w:pPr>
        <w:pStyle w:val="Heading3"/>
      </w:pPr>
      <w:r w:rsidRPr="002C71EF">
        <w:t>Natural environmental values</w:t>
      </w:r>
    </w:p>
    <w:p w14:paraId="75ED0940" w14:textId="71E44BC2" w:rsidR="00675FB9" w:rsidRPr="00434BB3" w:rsidDel="00675FB9" w:rsidRDefault="001C6F53" w:rsidP="00434BB3">
      <w:pPr>
        <w:pStyle w:val="BodyText"/>
      </w:pPr>
      <w:r w:rsidRPr="00434BB3">
        <w:t xml:space="preserve">This heading </w:t>
      </w:r>
      <w:r w:rsidR="00675FB9" w:rsidRPr="00434BB3">
        <w:t xml:space="preserve">includes chapters for </w:t>
      </w:r>
      <w:r w:rsidR="00675FB9" w:rsidRPr="00746AF1">
        <w:rPr>
          <w:i/>
        </w:rPr>
        <w:t>Ecosystems and indigenous biodiversity</w:t>
      </w:r>
      <w:r w:rsidR="00675FB9" w:rsidRPr="00434BB3">
        <w:t xml:space="preserve">, </w:t>
      </w:r>
      <w:r w:rsidR="00675FB9" w:rsidRPr="00746AF1">
        <w:rPr>
          <w:i/>
        </w:rPr>
        <w:t>Natural character</w:t>
      </w:r>
      <w:r w:rsidR="00675FB9" w:rsidRPr="00434BB3">
        <w:t xml:space="preserve">, </w:t>
      </w:r>
      <w:r w:rsidR="00675FB9" w:rsidRPr="00746AF1">
        <w:rPr>
          <w:i/>
        </w:rPr>
        <w:t>Natural features and landscapes</w:t>
      </w:r>
      <w:r w:rsidR="00081620">
        <w:t>,</w:t>
      </w:r>
      <w:r w:rsidR="00675FB9" w:rsidRPr="00434BB3">
        <w:t xml:space="preserve"> and </w:t>
      </w:r>
      <w:r w:rsidR="00675FB9" w:rsidRPr="00746AF1">
        <w:rPr>
          <w:i/>
        </w:rPr>
        <w:t>Public access</w:t>
      </w:r>
      <w:r w:rsidR="00675FB9" w:rsidRPr="00434BB3">
        <w:t>.</w:t>
      </w:r>
    </w:p>
    <w:p w14:paraId="6288694F" w14:textId="31D932BA" w:rsidR="00A660AE" w:rsidRDefault="001672A1" w:rsidP="00723A83">
      <w:pPr>
        <w:pStyle w:val="BodyText"/>
      </w:pPr>
      <w:r w:rsidRPr="00434BB3">
        <w:t xml:space="preserve">A chapter on public access is included under the </w:t>
      </w:r>
      <w:r w:rsidRPr="00081620">
        <w:rPr>
          <w:i/>
        </w:rPr>
        <w:t>Natural environmental values</w:t>
      </w:r>
      <w:r w:rsidRPr="006B0DFC">
        <w:t xml:space="preserve"> </w:t>
      </w:r>
      <w:r w:rsidRPr="00434BB3">
        <w:t>heading as issues associated with public access are a</w:t>
      </w:r>
      <w:r w:rsidR="00F16890">
        <w:t>n</w:t>
      </w:r>
      <w:r w:rsidRPr="00434BB3">
        <w:t xml:space="preserve"> RMA </w:t>
      </w:r>
      <w:r w:rsidR="00CD07A5" w:rsidRPr="00434BB3">
        <w:t xml:space="preserve">Part 2 </w:t>
      </w:r>
      <w:r w:rsidRPr="00434BB3">
        <w:t>matter.</w:t>
      </w:r>
      <w:r w:rsidR="00E07F01">
        <w:t xml:space="preserve"> </w:t>
      </w:r>
      <w:r w:rsidRPr="00434BB3">
        <w:t xml:space="preserve">This </w:t>
      </w:r>
      <w:r w:rsidR="00CD07A5" w:rsidRPr="00434BB3">
        <w:t>chapter is</w:t>
      </w:r>
      <w:r w:rsidRPr="00E07F01">
        <w:t xml:space="preserve"> the </w:t>
      </w:r>
      <w:r w:rsidR="00F16890">
        <w:t>right</w:t>
      </w:r>
      <w:r w:rsidR="00F16890" w:rsidRPr="00E07F01">
        <w:t xml:space="preserve"> </w:t>
      </w:r>
      <w:r w:rsidRPr="00E07F01">
        <w:t>location for esplanade provisions</w:t>
      </w:r>
      <w:r w:rsidR="00F16890">
        <w:t>,</w:t>
      </w:r>
      <w:r w:rsidR="00FD2B47">
        <w:t xml:space="preserve"> if these are provided </w:t>
      </w:r>
      <w:r w:rsidR="00195A36">
        <w:t>for public access reasons</w:t>
      </w:r>
      <w:r w:rsidR="00F16890">
        <w:t>,</w:t>
      </w:r>
      <w:r w:rsidR="00E66B49">
        <w:t xml:space="preserve"> </w:t>
      </w:r>
      <w:r w:rsidRPr="00E07F01">
        <w:t xml:space="preserve">and other provisions </w:t>
      </w:r>
      <w:r w:rsidR="00CD07A5" w:rsidRPr="00E07F01">
        <w:t>that</w:t>
      </w:r>
      <w:r w:rsidRPr="00E07F01">
        <w:t xml:space="preserve"> maintain and enhance public access to</w:t>
      </w:r>
      <w:r w:rsidR="00F16890">
        <w:t>,</w:t>
      </w:r>
      <w:r w:rsidRPr="00E07F01">
        <w:t xml:space="preserve"> and along</w:t>
      </w:r>
      <w:r w:rsidR="00F16890">
        <w:t>,</w:t>
      </w:r>
      <w:r w:rsidRPr="00E07F01">
        <w:t xml:space="preserve"> the coastal marine area, lakes and rivers.</w:t>
      </w:r>
      <w:r w:rsidR="00A660AE">
        <w:t xml:space="preserve"> </w:t>
      </w:r>
    </w:p>
    <w:p w14:paraId="785716D3" w14:textId="7C99DAC5" w:rsidR="00A660AE" w:rsidRPr="00E07F01" w:rsidRDefault="00723A83" w:rsidP="00723A83">
      <w:pPr>
        <w:pStyle w:val="BodyText"/>
      </w:pPr>
      <w:r>
        <w:t>The natural character chapter is intended to contain provisions that protect the natural character of wetlands, lakes</w:t>
      </w:r>
      <w:r w:rsidR="00A660AE">
        <w:t xml:space="preserve"> and rivers</w:t>
      </w:r>
      <w:r w:rsidR="00F16890">
        <w:t xml:space="preserve"> and/or </w:t>
      </w:r>
      <w:r w:rsidR="00A660AE">
        <w:t>margins.</w:t>
      </w:r>
      <w:r w:rsidR="00F16890">
        <w:t xml:space="preserve"> </w:t>
      </w:r>
      <w:r w:rsidR="00A660AE">
        <w:t>Where interconnected provisions exist between the natural character and public access chapters, cross-references to relevant provisions</w:t>
      </w:r>
      <w:r w:rsidR="00D358AA">
        <w:t xml:space="preserve"> </w:t>
      </w:r>
      <w:r w:rsidR="00A660AE">
        <w:t>could be included</w:t>
      </w:r>
      <w:r w:rsidR="00216277">
        <w:t xml:space="preserve"> to clarify relationships between such provisions for plan</w:t>
      </w:r>
      <w:r w:rsidR="00F16890">
        <w:t xml:space="preserve"> </w:t>
      </w:r>
      <w:r w:rsidR="00216277">
        <w:t>users.</w:t>
      </w:r>
      <w:r w:rsidR="00A660AE">
        <w:t xml:space="preserve"> </w:t>
      </w:r>
    </w:p>
    <w:p w14:paraId="132AB237" w14:textId="68964E0A" w:rsidR="002C71EF" w:rsidRDefault="002C71EF" w:rsidP="008B31F3">
      <w:pPr>
        <w:pStyle w:val="Heading3"/>
      </w:pPr>
      <w:r w:rsidRPr="002C71EF">
        <w:t>Subdivision</w:t>
      </w:r>
    </w:p>
    <w:p w14:paraId="393E6208" w14:textId="5909B8A2" w:rsidR="00225955" w:rsidRDefault="00F16890" w:rsidP="006B0DFC">
      <w:pPr>
        <w:pStyle w:val="BodyText"/>
      </w:pPr>
      <w:r>
        <w:t>The directions f</w:t>
      </w:r>
      <w:r w:rsidR="00746AF1">
        <w:t xml:space="preserve">or this heading </w:t>
      </w:r>
      <w:r>
        <w:t>mainly</w:t>
      </w:r>
      <w:r w:rsidR="00A07645" w:rsidRPr="006D0A77">
        <w:t xml:space="preserve"> require all </w:t>
      </w:r>
      <w:r w:rsidR="008B6E74">
        <w:t xml:space="preserve">district-wide provisions specific to </w:t>
      </w:r>
      <w:r w:rsidR="00A07645" w:rsidRPr="006D0A77">
        <w:t xml:space="preserve">subdivision to be located under the </w:t>
      </w:r>
      <w:r w:rsidR="00A07645" w:rsidRPr="00225955">
        <w:rPr>
          <w:i/>
        </w:rPr>
        <w:t>Subdivision</w:t>
      </w:r>
      <w:r w:rsidR="00A07645" w:rsidRPr="006D0A77">
        <w:t xml:space="preserve"> heading</w:t>
      </w:r>
      <w:r w:rsidR="00225955">
        <w:t>.</w:t>
      </w:r>
      <w:r w:rsidR="00E07F01">
        <w:t xml:space="preserve"> </w:t>
      </w:r>
      <w:r w:rsidR="00F70112">
        <w:t>This approach has been taken because current plans typically include all subdivision provisions in one location</w:t>
      </w:r>
      <w:r w:rsidR="00225955" w:rsidRPr="006D0A77">
        <w:t xml:space="preserve">. Therefore, </w:t>
      </w:r>
      <w:r>
        <w:t xml:space="preserve">we consider </w:t>
      </w:r>
      <w:r w:rsidR="00225955" w:rsidRPr="006D0A77">
        <w:t>consolidating provisions with cross-referencing a better approach than separating and, in some cases, duplicating provisions.</w:t>
      </w:r>
    </w:p>
    <w:p w14:paraId="04E83DDE" w14:textId="5459F8F9" w:rsidR="009A0E94" w:rsidRDefault="004E3EE6" w:rsidP="00E07F01">
      <w:pPr>
        <w:pStyle w:val="BodyText"/>
        <w:rPr>
          <w:rFonts w:asciiTheme="minorHAnsi" w:hAnsiTheme="minorHAnsi"/>
          <w:szCs w:val="22"/>
        </w:rPr>
      </w:pPr>
      <w:r>
        <w:t>There will be instances when subdivision</w:t>
      </w:r>
      <w:r w:rsidR="008B6E74">
        <w:t xml:space="preserve"> provisions may be supported by higher</w:t>
      </w:r>
      <w:r w:rsidR="00C917CA">
        <w:t>-</w:t>
      </w:r>
      <w:r w:rsidR="008B6E74">
        <w:t>level objectives and policies in other district-wide chapters</w:t>
      </w:r>
      <w:r w:rsidR="00225955">
        <w:t>.</w:t>
      </w:r>
      <w:r w:rsidR="00E07F01">
        <w:t xml:space="preserve"> </w:t>
      </w:r>
      <w:r w:rsidR="00225955">
        <w:t>For example</w:t>
      </w:r>
      <w:r w:rsidR="00C917CA">
        <w:t>,</w:t>
      </w:r>
      <w:r w:rsidR="00225955">
        <w:t xml:space="preserve"> direction 21 requires provisions that</w:t>
      </w:r>
      <w:r w:rsidR="00225955">
        <w:rPr>
          <w:i/>
          <w:iCs/>
          <w:color w:val="1F497D"/>
        </w:rPr>
        <w:t xml:space="preserve"> </w:t>
      </w:r>
      <w:r w:rsidR="00225955" w:rsidRPr="00225955">
        <w:t>protect and manage outstanding natural features and landscapes</w:t>
      </w:r>
      <w:r w:rsidR="00FE6030">
        <w:t xml:space="preserve"> – </w:t>
      </w:r>
      <w:r w:rsidR="00225955" w:rsidRPr="00225955">
        <w:t xml:space="preserve">including from inappropriate subdivision, </w:t>
      </w:r>
      <w:r w:rsidR="00225955" w:rsidRPr="00225955">
        <w:lastRenderedPageBreak/>
        <w:t>use and development</w:t>
      </w:r>
      <w:r w:rsidR="00FE6030">
        <w:t xml:space="preserve"> – </w:t>
      </w:r>
      <w:r w:rsidR="00225955">
        <w:t xml:space="preserve">to be included in the </w:t>
      </w:r>
      <w:r w:rsidR="00225955" w:rsidRPr="00225955">
        <w:rPr>
          <w:i/>
        </w:rPr>
        <w:t xml:space="preserve">Natural landscapes and features </w:t>
      </w:r>
      <w:r w:rsidR="00225955">
        <w:t>chapter.</w:t>
      </w:r>
      <w:r w:rsidR="00E07F01">
        <w:t xml:space="preserve"> </w:t>
      </w:r>
      <w:r w:rsidR="00F872DC" w:rsidRPr="00225955">
        <w:t xml:space="preserve">This means </w:t>
      </w:r>
      <w:r w:rsidR="00225955">
        <w:t xml:space="preserve">some objectives and policies may be </w:t>
      </w:r>
      <w:r>
        <w:t xml:space="preserve">in other chapters </w:t>
      </w:r>
      <w:r w:rsidR="00225955">
        <w:t xml:space="preserve">with related rules in the </w:t>
      </w:r>
      <w:r w:rsidR="00225955" w:rsidRPr="00225955">
        <w:rPr>
          <w:i/>
        </w:rPr>
        <w:t>Subdivision</w:t>
      </w:r>
      <w:r w:rsidR="00225955">
        <w:t xml:space="preserve"> chapter</w:t>
      </w:r>
      <w:r>
        <w:t>/s</w:t>
      </w:r>
      <w:r w:rsidR="00F872DC" w:rsidRPr="00225955">
        <w:t>.</w:t>
      </w:r>
      <w:r w:rsidR="00E07F01">
        <w:t xml:space="preserve"> </w:t>
      </w:r>
      <w:r w:rsidR="00746AF1">
        <w:rPr>
          <w:rFonts w:asciiTheme="minorHAnsi" w:hAnsiTheme="minorHAnsi"/>
          <w:szCs w:val="22"/>
        </w:rPr>
        <w:t>In this instance</w:t>
      </w:r>
      <w:r w:rsidR="00FE6030">
        <w:rPr>
          <w:rFonts w:asciiTheme="minorHAnsi" w:hAnsiTheme="minorHAnsi"/>
          <w:szCs w:val="22"/>
        </w:rPr>
        <w:t>,</w:t>
      </w:r>
      <w:r w:rsidR="00746AF1">
        <w:rPr>
          <w:rFonts w:asciiTheme="minorHAnsi" w:hAnsiTheme="minorHAnsi"/>
          <w:szCs w:val="22"/>
        </w:rPr>
        <w:t xml:space="preserve"> cross-referencing should be provided</w:t>
      </w:r>
      <w:r w:rsidR="00746AF1" w:rsidRPr="00325599">
        <w:rPr>
          <w:rFonts w:asciiTheme="minorHAnsi" w:hAnsiTheme="minorHAnsi"/>
          <w:szCs w:val="22"/>
        </w:rPr>
        <w:t>.</w:t>
      </w:r>
    </w:p>
    <w:p w14:paraId="0CC6A753" w14:textId="28470191" w:rsidR="00A07645" w:rsidRPr="00434BB3" w:rsidRDefault="00CB0D52" w:rsidP="00E07F01">
      <w:pPr>
        <w:pStyle w:val="BodyText"/>
      </w:pPr>
      <w:r>
        <w:t>You</w:t>
      </w:r>
      <w:r w:rsidR="00A07645" w:rsidRPr="00434BB3">
        <w:t xml:space="preserve"> have discretion on how to group provisions under the </w:t>
      </w:r>
      <w:r w:rsidR="00A07645" w:rsidRPr="00C917CA">
        <w:rPr>
          <w:i/>
        </w:rPr>
        <w:t>Subdivision</w:t>
      </w:r>
      <w:r w:rsidR="00A07645" w:rsidRPr="00434BB3">
        <w:t xml:space="preserve"> heading. </w:t>
      </w:r>
      <w:r>
        <w:t>You</w:t>
      </w:r>
      <w:r w:rsidR="00A07645" w:rsidRPr="00434BB3">
        <w:t xml:space="preserve"> can either</w:t>
      </w:r>
      <w:r w:rsidR="00FE6030">
        <w:t xml:space="preserve"> group all</w:t>
      </w:r>
      <w:r w:rsidR="00A07645" w:rsidRPr="00434BB3">
        <w:t>:</w:t>
      </w:r>
    </w:p>
    <w:p w14:paraId="3C0DD0BA" w14:textId="1AB15149" w:rsidR="00A07645" w:rsidRPr="00434BB3" w:rsidRDefault="00A07645" w:rsidP="006B0DFC">
      <w:pPr>
        <w:pStyle w:val="Bullet"/>
      </w:pPr>
      <w:r w:rsidRPr="00434BB3">
        <w:t>provisions in one subdivision chapter, or</w:t>
      </w:r>
    </w:p>
    <w:p w14:paraId="790D4489" w14:textId="44560248" w:rsidR="00A07645" w:rsidRPr="00E07F01" w:rsidRDefault="00A07645" w:rsidP="006B0DFC">
      <w:pPr>
        <w:pStyle w:val="Bullet"/>
      </w:pPr>
      <w:r w:rsidRPr="00434BB3">
        <w:t>over-arching subdivision provisions</w:t>
      </w:r>
      <w:r w:rsidR="00CB0D52">
        <w:t>,</w:t>
      </w:r>
      <w:r w:rsidRPr="00434BB3">
        <w:t xml:space="preserve"> and apply more specific subdivision</w:t>
      </w:r>
      <w:r w:rsidR="00C917CA">
        <w:t>-</w:t>
      </w:r>
      <w:r w:rsidRPr="00434BB3">
        <w:t>related chapters. For example, a separate chapter on boundary adjustments.</w:t>
      </w:r>
    </w:p>
    <w:p w14:paraId="27ADAFFF" w14:textId="77777777" w:rsidR="001672A1" w:rsidRPr="003D34E1" w:rsidRDefault="001672A1" w:rsidP="008B31F3">
      <w:pPr>
        <w:pStyle w:val="Heading3"/>
      </w:pPr>
      <w:r w:rsidRPr="003D34E1">
        <w:t>General district-wide matters</w:t>
      </w:r>
    </w:p>
    <w:p w14:paraId="4D459012" w14:textId="77777777" w:rsidR="001672A1" w:rsidRPr="00A73706" w:rsidRDefault="001672A1" w:rsidP="00CB0D52">
      <w:pPr>
        <w:pStyle w:val="Heading4"/>
        <w:rPr>
          <w:rStyle w:val="Strong"/>
          <w:b/>
        </w:rPr>
      </w:pPr>
      <w:r w:rsidRPr="00CB0D52">
        <w:rPr>
          <w:rStyle w:val="Strong"/>
          <w:b/>
          <w:bCs/>
        </w:rPr>
        <w:t>Activities on the surface of waterways</w:t>
      </w:r>
    </w:p>
    <w:p w14:paraId="00B4D27E" w14:textId="03B71ABF" w:rsidR="001672A1" w:rsidRPr="001672A1" w:rsidRDefault="001672A1" w:rsidP="006B0DFC">
      <w:pPr>
        <w:pStyle w:val="BodyText"/>
        <w:rPr>
          <w:rStyle w:val="Strong"/>
          <w:rFonts w:eastAsiaTheme="majorEastAsia"/>
          <w:szCs w:val="22"/>
        </w:rPr>
      </w:pPr>
      <w:r w:rsidRPr="001672A1">
        <w:t xml:space="preserve">The </w:t>
      </w:r>
      <w:r w:rsidRPr="001672A1">
        <w:rPr>
          <w:i/>
        </w:rPr>
        <w:t>Activities on the surface of waterways</w:t>
      </w:r>
      <w:r w:rsidRPr="001672A1">
        <w:t xml:space="preserve"> chapter includes provisions that address council functions under section 31(1)(e) of the RMA. This can include provisions that manage amenity effects from activities on the surface of water bodies and from activities generated by new structures on, or adjacent to, these water bodies (such as noise and visual amenity effects).</w:t>
      </w:r>
    </w:p>
    <w:p w14:paraId="33FBD7FB" w14:textId="77777777" w:rsidR="001672A1" w:rsidRPr="00A73706" w:rsidRDefault="001672A1" w:rsidP="00CB0D52">
      <w:pPr>
        <w:pStyle w:val="Heading4"/>
        <w:rPr>
          <w:rStyle w:val="Strong"/>
          <w:b/>
        </w:rPr>
      </w:pPr>
      <w:r w:rsidRPr="00CB0D52">
        <w:rPr>
          <w:rStyle w:val="Strong"/>
          <w:b/>
          <w:bCs/>
        </w:rPr>
        <w:t>Coastal environment</w:t>
      </w:r>
    </w:p>
    <w:p w14:paraId="5F999877" w14:textId="1FB18FA4" w:rsidR="001672A1" w:rsidRPr="001672A1" w:rsidRDefault="001672A1" w:rsidP="006B0DFC">
      <w:pPr>
        <w:pStyle w:val="BodyText"/>
      </w:pPr>
      <w:r w:rsidRPr="001672A1">
        <w:t xml:space="preserve">The </w:t>
      </w:r>
      <w:r w:rsidRPr="001672A1">
        <w:rPr>
          <w:i/>
        </w:rPr>
        <w:t>Coastal environment</w:t>
      </w:r>
      <w:r w:rsidRPr="001672A1">
        <w:t xml:space="preserve"> chapter is located under the </w:t>
      </w:r>
      <w:r w:rsidRPr="001672A1">
        <w:rPr>
          <w:i/>
        </w:rPr>
        <w:t>General district-wide matters</w:t>
      </w:r>
      <w:r w:rsidRPr="001672A1">
        <w:t xml:space="preserve"> heading because issues in this chapter can cover a wider range than just natural environmental values (where this chapter was previously located).</w:t>
      </w:r>
    </w:p>
    <w:p w14:paraId="227B023C" w14:textId="1F37FE25" w:rsidR="001672A1" w:rsidRPr="001672A1" w:rsidRDefault="001672A1" w:rsidP="006B0DFC">
      <w:pPr>
        <w:pStyle w:val="BodyText"/>
      </w:pPr>
      <w:r w:rsidRPr="001672A1">
        <w:t xml:space="preserve">All provisions relating specifically to the coastal environment, and any relating to coastal hazards, </w:t>
      </w:r>
      <w:r w:rsidR="0032060B">
        <w:t>must</w:t>
      </w:r>
      <w:r w:rsidRPr="001672A1">
        <w:t xml:space="preserve"> be located in the </w:t>
      </w:r>
      <w:r w:rsidRPr="001672A1">
        <w:rPr>
          <w:i/>
        </w:rPr>
        <w:t>Coastal environment</w:t>
      </w:r>
      <w:r w:rsidRPr="001672A1">
        <w:t xml:space="preserve"> chapter. Coastal hazard provisions are specifically required to be included in this chapter to ensure </w:t>
      </w:r>
      <w:r w:rsidR="00F21688">
        <w:t>councils</w:t>
      </w:r>
      <w:r w:rsidRPr="001672A1">
        <w:t xml:space="preserve"> are consistent with the </w:t>
      </w:r>
      <w:r w:rsidR="0032060B" w:rsidRPr="0032060B">
        <w:t>New Zealand Coastal Policy Statement 2010</w:t>
      </w:r>
      <w:r w:rsidR="00C917CA">
        <w:t>,</w:t>
      </w:r>
      <w:r w:rsidR="0032060B" w:rsidRPr="0032060B">
        <w:t xml:space="preserve"> </w:t>
      </w:r>
      <w:r w:rsidRPr="001672A1">
        <w:t>and to achieve integration in the area of coastal hazards.</w:t>
      </w:r>
    </w:p>
    <w:p w14:paraId="0CC4D033" w14:textId="58B1A59F" w:rsidR="00E42C0E" w:rsidRDefault="00F34BC6" w:rsidP="006B0DFC">
      <w:pPr>
        <w:pStyle w:val="BodyText"/>
      </w:pPr>
      <w:r>
        <w:t>P</w:t>
      </w:r>
      <w:r w:rsidR="00585973" w:rsidRPr="00B27909">
        <w:t xml:space="preserve">rovisions </w:t>
      </w:r>
      <w:r w:rsidR="00FE6030">
        <w:t>relating</w:t>
      </w:r>
      <w:r w:rsidR="00585973" w:rsidRPr="00B27909">
        <w:t xml:space="preserve"> to the </w:t>
      </w:r>
      <w:r w:rsidR="00585973">
        <w:t>c</w:t>
      </w:r>
      <w:r w:rsidR="00585973" w:rsidRPr="00B27909">
        <w:t xml:space="preserve">oastal </w:t>
      </w:r>
      <w:r w:rsidR="00585973">
        <w:t>e</w:t>
      </w:r>
      <w:r w:rsidR="00585973" w:rsidRPr="00B27909">
        <w:t xml:space="preserve">nvironment </w:t>
      </w:r>
      <w:r w:rsidR="00E42C0E">
        <w:t xml:space="preserve">but </w:t>
      </w:r>
      <w:r w:rsidR="00FE6030">
        <w:t>that mainly</w:t>
      </w:r>
      <w:r w:rsidR="00E42C0E">
        <w:t xml:space="preserve"> </w:t>
      </w:r>
      <w:r w:rsidR="00FE6030">
        <w:t>relate</w:t>
      </w:r>
      <w:r w:rsidR="00FE6030" w:rsidRPr="00B27909">
        <w:t xml:space="preserve"> </w:t>
      </w:r>
      <w:r w:rsidR="00E42C0E" w:rsidRPr="00B27909">
        <w:t xml:space="preserve">to matters </w:t>
      </w:r>
      <w:r w:rsidR="00FE6030">
        <w:t xml:space="preserve">with </w:t>
      </w:r>
      <w:r w:rsidR="00E42C0E" w:rsidRPr="00B27909">
        <w:t>a</w:t>
      </w:r>
      <w:r w:rsidR="00E42C0E">
        <w:t>nother</w:t>
      </w:r>
      <w:r w:rsidR="00E42C0E" w:rsidRPr="00B27909">
        <w:t xml:space="preserve"> ‘home’ in the structure (</w:t>
      </w:r>
      <w:r w:rsidR="00CC7D20">
        <w:t>eg,</w:t>
      </w:r>
      <w:r w:rsidR="00E42C0E">
        <w:t xml:space="preserve"> </w:t>
      </w:r>
      <w:r w:rsidR="00E42C0E" w:rsidRPr="00B27909">
        <w:t>hazardous substance</w:t>
      </w:r>
      <w:r w:rsidR="00FE6030">
        <w:t>s</w:t>
      </w:r>
      <w:r w:rsidR="00E42C0E" w:rsidRPr="00B27909">
        <w:t xml:space="preserve">, biodiversity, subdivision, earthworks, noise and light, energy, infrastructure and transport) must be located in the relevant </w:t>
      </w:r>
      <w:r w:rsidR="00E42C0E">
        <w:t xml:space="preserve">topic </w:t>
      </w:r>
      <w:r w:rsidR="00E42C0E" w:rsidRPr="00B27909">
        <w:t>chapter</w:t>
      </w:r>
      <w:r w:rsidR="00E42C0E">
        <w:t xml:space="preserve"> and </w:t>
      </w:r>
      <w:r w:rsidR="00E42C0E" w:rsidRPr="00B27909">
        <w:t>cross</w:t>
      </w:r>
      <w:r w:rsidR="00C917CA">
        <w:t>-</w:t>
      </w:r>
      <w:r w:rsidR="00E42C0E" w:rsidRPr="00B27909">
        <w:t xml:space="preserve">referenced in the </w:t>
      </w:r>
      <w:r w:rsidR="00E42C0E" w:rsidRPr="00B27909">
        <w:rPr>
          <w:i/>
        </w:rPr>
        <w:t>Coastal environment</w:t>
      </w:r>
      <w:r w:rsidR="00E42C0E" w:rsidRPr="00B27909">
        <w:t xml:space="preserve"> chapter</w:t>
      </w:r>
      <w:r w:rsidR="00E42C0E">
        <w:t>.</w:t>
      </w:r>
    </w:p>
    <w:p w14:paraId="0C0DC571" w14:textId="77777777" w:rsidR="001672A1" w:rsidRPr="00C86F0E" w:rsidRDefault="001672A1" w:rsidP="00A73706">
      <w:pPr>
        <w:pStyle w:val="Heading4"/>
        <w:rPr>
          <w:rStyle w:val="Strong"/>
          <w:rFonts w:ascii="Calibri" w:hAnsi="Calibri" w:cs="Times New Roman"/>
          <w:b/>
          <w:bCs/>
          <w:color w:val="auto"/>
          <w:sz w:val="22"/>
          <w:lang w:eastAsia="en-NZ"/>
        </w:rPr>
      </w:pPr>
      <w:r w:rsidRPr="00C86F0E">
        <w:rPr>
          <w:rStyle w:val="Strong"/>
          <w:b/>
        </w:rPr>
        <w:t>Earthworks</w:t>
      </w:r>
    </w:p>
    <w:p w14:paraId="75FE018D" w14:textId="4AFE49BE" w:rsidR="001672A1" w:rsidRPr="00402EF0" w:rsidRDefault="00FE6030" w:rsidP="00434BB3">
      <w:pPr>
        <w:pStyle w:val="BodyText"/>
      </w:pPr>
      <w:r>
        <w:t>The directions f</w:t>
      </w:r>
      <w:r w:rsidR="00746AF1">
        <w:t xml:space="preserve">or the </w:t>
      </w:r>
      <w:r w:rsidR="007F4AC8" w:rsidRPr="007F4AC8">
        <w:rPr>
          <w:i/>
        </w:rPr>
        <w:t>E</w:t>
      </w:r>
      <w:r w:rsidR="00746AF1" w:rsidRPr="007F4AC8">
        <w:rPr>
          <w:i/>
        </w:rPr>
        <w:t xml:space="preserve">arthworks </w:t>
      </w:r>
      <w:r w:rsidR="00746AF1">
        <w:t xml:space="preserve">chapter </w:t>
      </w:r>
      <w:r>
        <w:t>mainly</w:t>
      </w:r>
      <w:r w:rsidR="001672A1" w:rsidRPr="00402EF0">
        <w:t xml:space="preserve"> require all earthworks provisions to be located </w:t>
      </w:r>
      <w:r>
        <w:t xml:space="preserve">in that </w:t>
      </w:r>
      <w:r w:rsidR="007F4AC8">
        <w:t>chapter</w:t>
      </w:r>
      <w:r w:rsidR="001672A1" w:rsidRPr="00402EF0">
        <w:t>. This is because earthworks is an activity with effects that are common and occur or apply across a district. Therefore</w:t>
      </w:r>
      <w:r w:rsidR="0032060B" w:rsidRPr="00402EF0">
        <w:t>,</w:t>
      </w:r>
      <w:r w:rsidR="001672A1" w:rsidRPr="00402EF0">
        <w:t xml:space="preserve"> </w:t>
      </w:r>
      <w:r>
        <w:t xml:space="preserve">we consider </w:t>
      </w:r>
      <w:r w:rsidR="001672A1" w:rsidRPr="00402EF0">
        <w:t xml:space="preserve">consolidating provisions with cross-referencing a better approach than separating and duplicating provisions. </w:t>
      </w:r>
    </w:p>
    <w:p w14:paraId="62C2D801" w14:textId="185FC8E1" w:rsidR="00585973" w:rsidRDefault="00E82F7E" w:rsidP="00FA2674">
      <w:pPr>
        <w:pStyle w:val="BodyText"/>
        <w:rPr>
          <w:b/>
        </w:rPr>
      </w:pPr>
      <w:r>
        <w:t>Two examples of</w:t>
      </w:r>
      <w:r w:rsidR="00B76D09">
        <w:t xml:space="preserve"> where</w:t>
      </w:r>
      <w:r>
        <w:t xml:space="preserve"> </w:t>
      </w:r>
      <w:r w:rsidR="001672A1" w:rsidRPr="001672A1">
        <w:t>exception</w:t>
      </w:r>
      <w:r w:rsidR="006D751E">
        <w:t>s</w:t>
      </w:r>
      <w:r w:rsidR="001672A1" w:rsidRPr="001672A1">
        <w:t xml:space="preserve"> to </w:t>
      </w:r>
      <w:r w:rsidR="00692E8A">
        <w:t xml:space="preserve">this approach </w:t>
      </w:r>
      <w:r w:rsidR="00B76D09">
        <w:t xml:space="preserve">could apply </w:t>
      </w:r>
      <w:r w:rsidR="00692E8A">
        <w:t xml:space="preserve">are for </w:t>
      </w:r>
      <w:r w:rsidR="001672A1" w:rsidRPr="001672A1">
        <w:t>provisions relating to energy, infrastructure or transport</w:t>
      </w:r>
      <w:r w:rsidR="00C917CA">
        <w:t>,</w:t>
      </w:r>
      <w:r w:rsidR="006D751E">
        <w:t xml:space="preserve"> and to sites of significance to </w:t>
      </w:r>
      <w:r w:rsidR="00FE6030">
        <w:t>Māori</w:t>
      </w:r>
      <w:r w:rsidR="00FE6030" w:rsidDel="00FE6030">
        <w:t xml:space="preserve"> </w:t>
      </w:r>
      <w:r w:rsidR="006D751E">
        <w:t>and arch</w:t>
      </w:r>
      <w:r w:rsidR="00C917CA">
        <w:t>a</w:t>
      </w:r>
      <w:r w:rsidR="006D751E">
        <w:t>eological sites</w:t>
      </w:r>
      <w:r w:rsidR="001672A1" w:rsidRPr="001672A1">
        <w:t xml:space="preserve">. </w:t>
      </w:r>
    </w:p>
    <w:p w14:paraId="6932D535" w14:textId="03F16AED" w:rsidR="00585973" w:rsidRPr="00E07F01" w:rsidRDefault="006D751E" w:rsidP="00FA2674">
      <w:pPr>
        <w:pStyle w:val="Bullet"/>
      </w:pPr>
      <w:r w:rsidRPr="00E07F01">
        <w:t xml:space="preserve">For the </w:t>
      </w:r>
      <w:r w:rsidR="00C917CA">
        <w:rPr>
          <w:i/>
        </w:rPr>
        <w:t>E</w:t>
      </w:r>
      <w:r w:rsidRPr="00402EF0">
        <w:rPr>
          <w:i/>
        </w:rPr>
        <w:t>nergy,</w:t>
      </w:r>
      <w:r w:rsidR="003D497D">
        <w:rPr>
          <w:i/>
        </w:rPr>
        <w:t xml:space="preserve"> </w:t>
      </w:r>
      <w:r w:rsidRPr="00402EF0">
        <w:rPr>
          <w:i/>
        </w:rPr>
        <w:t>infrastructure and transport</w:t>
      </w:r>
      <w:r w:rsidRPr="00E07F01">
        <w:t xml:space="preserve"> chapter(s)</w:t>
      </w:r>
      <w:r w:rsidR="00C917CA">
        <w:t>,</w:t>
      </w:r>
      <w:r w:rsidRPr="00E07F01">
        <w:t xml:space="preserve"> </w:t>
      </w:r>
      <w:r w:rsidR="001672A1" w:rsidRPr="00E07F01">
        <w:t xml:space="preserve">the intention </w:t>
      </w:r>
      <w:r w:rsidR="005341D3">
        <w:t xml:space="preserve">of the planning standards structure </w:t>
      </w:r>
      <w:r w:rsidR="00585973" w:rsidRPr="00E07F01">
        <w:t>is</w:t>
      </w:r>
      <w:r w:rsidR="001672A1" w:rsidRPr="00E07F01">
        <w:t xml:space="preserve"> to </w:t>
      </w:r>
      <w:r w:rsidR="005341D3">
        <w:t xml:space="preserve">locate </w:t>
      </w:r>
      <w:r w:rsidR="001672A1" w:rsidRPr="00E07F01">
        <w:t>infrastructure-related provisions in one place</w:t>
      </w:r>
      <w:r w:rsidR="005341D3">
        <w:t xml:space="preserve"> in a plan</w:t>
      </w:r>
      <w:r w:rsidR="00B27909" w:rsidRPr="00E07F01">
        <w:t>. This is</w:t>
      </w:r>
      <w:r w:rsidR="001672A1" w:rsidRPr="00E07F01">
        <w:t xml:space="preserve"> </w:t>
      </w:r>
      <w:r w:rsidR="005341D3">
        <w:t>to provide clarity regarding the location of infrastructure provisions</w:t>
      </w:r>
      <w:r w:rsidR="00D43655">
        <w:t xml:space="preserve"> for councils, plan users and infrastructure providers. Centralising these provisions makes it easier </w:t>
      </w:r>
      <w:r w:rsidR="001672A1" w:rsidRPr="00E07F01">
        <w:t>for landowners</w:t>
      </w:r>
      <w:r w:rsidR="00D43655">
        <w:t xml:space="preserve"> </w:t>
      </w:r>
      <w:r w:rsidR="004F11F8">
        <w:t>who</w:t>
      </w:r>
      <w:r w:rsidR="00D43655">
        <w:t xml:space="preserve"> live adjacent to infrastructure corridors to understand their responsibilities around earthworks on or near their property</w:t>
      </w:r>
      <w:r w:rsidR="004F11F8">
        <w:t>.</w:t>
      </w:r>
      <w:r w:rsidR="00D43655">
        <w:t xml:space="preserve"> </w:t>
      </w:r>
      <w:r w:rsidR="001672A1" w:rsidRPr="00E07F01">
        <w:t>Direction 30 requires cross-referenc</w:t>
      </w:r>
      <w:r w:rsidR="00585973" w:rsidRPr="00E07F01">
        <w:t>ing</w:t>
      </w:r>
      <w:r w:rsidR="001672A1" w:rsidRPr="00E07F01">
        <w:t xml:space="preserve"> in the subdivision chapter</w:t>
      </w:r>
      <w:r w:rsidR="00585973" w:rsidRPr="00E07F01">
        <w:t>s</w:t>
      </w:r>
      <w:r w:rsidR="001672A1" w:rsidRPr="00E07F01">
        <w:t xml:space="preserve"> to the relevant provisions under the </w:t>
      </w:r>
      <w:r w:rsidR="001672A1" w:rsidRPr="00C917CA">
        <w:rPr>
          <w:i/>
        </w:rPr>
        <w:t>Energy, infrastructure</w:t>
      </w:r>
      <w:r w:rsidR="00585973" w:rsidRPr="00C917CA">
        <w:rPr>
          <w:i/>
        </w:rPr>
        <w:t>, and transport</w:t>
      </w:r>
      <w:r w:rsidR="001672A1" w:rsidRPr="00402EF0">
        <w:t xml:space="preserve"> </w:t>
      </w:r>
      <w:r w:rsidR="001672A1" w:rsidRPr="00E07F01">
        <w:t>heading when this occurs</w:t>
      </w:r>
      <w:r w:rsidR="001672A1" w:rsidRPr="00402EF0">
        <w:t>.</w:t>
      </w:r>
      <w:r w:rsidR="00E07F01">
        <w:t xml:space="preserve"> </w:t>
      </w:r>
    </w:p>
    <w:p w14:paraId="4E212D11" w14:textId="5F025F31" w:rsidR="006D751E" w:rsidRPr="00E07F01" w:rsidRDefault="006D751E" w:rsidP="00FA2674">
      <w:pPr>
        <w:pStyle w:val="Bullet"/>
      </w:pPr>
      <w:r w:rsidRPr="00E07F01">
        <w:lastRenderedPageBreak/>
        <w:t>For</w:t>
      </w:r>
      <w:r w:rsidRPr="00402EF0">
        <w:t xml:space="preserve"> </w:t>
      </w:r>
      <w:r w:rsidRPr="00E07F01">
        <w:t xml:space="preserve">sites of significance to </w:t>
      </w:r>
      <w:r w:rsidR="00FE6030">
        <w:t>Māori</w:t>
      </w:r>
      <w:r w:rsidR="00FE6030" w:rsidRPr="00E07F01" w:rsidDel="00FE6030">
        <w:t xml:space="preserve"> </w:t>
      </w:r>
      <w:r w:rsidRPr="00E07F01">
        <w:t>and arch</w:t>
      </w:r>
      <w:r w:rsidR="00C917CA">
        <w:t>a</w:t>
      </w:r>
      <w:r w:rsidRPr="00E07F01">
        <w:t xml:space="preserve">eological sites, earthworks </w:t>
      </w:r>
      <w:r w:rsidR="00900EFC" w:rsidRPr="00E07F01">
        <w:t xml:space="preserve">provisions </w:t>
      </w:r>
      <w:r w:rsidRPr="00E07F01">
        <w:t xml:space="preserve">related to these are not placed in the </w:t>
      </w:r>
      <w:r w:rsidR="00C917CA">
        <w:rPr>
          <w:i/>
        </w:rPr>
        <w:t>E</w:t>
      </w:r>
      <w:r w:rsidRPr="00402EF0">
        <w:rPr>
          <w:i/>
        </w:rPr>
        <w:t>arthworks</w:t>
      </w:r>
      <w:r w:rsidRPr="00E07F01">
        <w:t xml:space="preserve"> chapter</w:t>
      </w:r>
      <w:r w:rsidR="00900EFC" w:rsidRPr="00E07F01">
        <w:t>. This is because</w:t>
      </w:r>
      <w:r w:rsidRPr="00E07F01">
        <w:t xml:space="preserve"> the adverse effects being controlled by </w:t>
      </w:r>
      <w:r w:rsidR="00FE6030">
        <w:t xml:space="preserve">the </w:t>
      </w:r>
      <w:r w:rsidRPr="00E07F01">
        <w:t xml:space="preserve">provisions </w:t>
      </w:r>
      <w:r w:rsidR="00FE6030">
        <w:t xml:space="preserve">relate </w:t>
      </w:r>
      <w:r w:rsidR="00C917CA">
        <w:t xml:space="preserve">more directly </w:t>
      </w:r>
      <w:r w:rsidRPr="00E07F01">
        <w:t>to the effects on the sites than they do to the normal adverse effects of earthworks generally.</w:t>
      </w:r>
      <w:r w:rsidR="00E07F01">
        <w:t xml:space="preserve"> </w:t>
      </w:r>
      <w:r w:rsidRPr="00E07F01">
        <w:t xml:space="preserve">Cross-referencing of these provisions to the </w:t>
      </w:r>
      <w:r w:rsidRPr="00C917CA">
        <w:rPr>
          <w:i/>
        </w:rPr>
        <w:t>Earthworks</w:t>
      </w:r>
      <w:r w:rsidRPr="00402EF0">
        <w:t xml:space="preserve"> </w:t>
      </w:r>
      <w:r w:rsidRPr="00E07F01">
        <w:t xml:space="preserve">chapter should also </w:t>
      </w:r>
      <w:r w:rsidR="00CB0D52">
        <w:t>be provided</w:t>
      </w:r>
      <w:r w:rsidRPr="00E07F01">
        <w:t>.</w:t>
      </w:r>
    </w:p>
    <w:p w14:paraId="67DBDCCC" w14:textId="43A4D38F" w:rsidR="00CB19CC" w:rsidRPr="00C86F0E" w:rsidRDefault="00CB19CC" w:rsidP="00A73706">
      <w:pPr>
        <w:pStyle w:val="Heading4"/>
        <w:rPr>
          <w:rStyle w:val="Strong"/>
          <w:rFonts w:ascii="Calibri" w:hAnsi="Calibri" w:cs="Times New Roman"/>
          <w:b/>
          <w:bCs/>
          <w:color w:val="auto"/>
          <w:sz w:val="22"/>
          <w:szCs w:val="20"/>
          <w:lang w:eastAsia="en-NZ"/>
        </w:rPr>
      </w:pPr>
      <w:r w:rsidRPr="00C86F0E">
        <w:rPr>
          <w:rStyle w:val="Strong"/>
          <w:b/>
        </w:rPr>
        <w:t>Noise</w:t>
      </w:r>
    </w:p>
    <w:p w14:paraId="3CB16F00" w14:textId="1ED5959C" w:rsidR="00CB19CC" w:rsidRPr="00E07F01" w:rsidRDefault="00FE6030" w:rsidP="00434BB3">
      <w:pPr>
        <w:pStyle w:val="BodyText"/>
      </w:pPr>
      <w:r>
        <w:t>The directions f</w:t>
      </w:r>
      <w:r w:rsidR="00746AF1">
        <w:t xml:space="preserve">or the </w:t>
      </w:r>
      <w:r w:rsidR="007F4AC8" w:rsidRPr="007F4AC8">
        <w:rPr>
          <w:i/>
        </w:rPr>
        <w:t>N</w:t>
      </w:r>
      <w:r w:rsidR="00746AF1" w:rsidRPr="007F4AC8">
        <w:rPr>
          <w:i/>
        </w:rPr>
        <w:t xml:space="preserve">oise </w:t>
      </w:r>
      <w:r w:rsidR="00746AF1">
        <w:t xml:space="preserve">chapter </w:t>
      </w:r>
      <w:r>
        <w:t>mainly</w:t>
      </w:r>
      <w:r w:rsidR="00CB19CC" w:rsidRPr="00434BB3">
        <w:t xml:space="preserve"> require all noise provisions to be located </w:t>
      </w:r>
      <w:r>
        <w:t>in</w:t>
      </w:r>
      <w:r w:rsidRPr="00434BB3">
        <w:t xml:space="preserve"> </w:t>
      </w:r>
      <w:r>
        <w:t>this</w:t>
      </w:r>
      <w:r w:rsidR="00CB19CC" w:rsidRPr="00402EF0">
        <w:t xml:space="preserve"> </w:t>
      </w:r>
      <w:r w:rsidR="00CB19CC" w:rsidRPr="00434BB3">
        <w:t xml:space="preserve">chapter. This is because plans typically include noise provisions that apply to noise-related activities as well as some that apply to specific topics or zones. Therefore, </w:t>
      </w:r>
      <w:r>
        <w:t xml:space="preserve">we consider </w:t>
      </w:r>
      <w:r w:rsidR="00CB19CC" w:rsidRPr="00434BB3">
        <w:t xml:space="preserve">consolidating provisions with cross-referencing a better approach than separating and, </w:t>
      </w:r>
      <w:r w:rsidR="00CB19CC" w:rsidRPr="00E07F01">
        <w:t>in some cases, duplicating provisions.</w:t>
      </w:r>
      <w:r w:rsidR="00FC3B71" w:rsidRPr="00E07F01">
        <w:t xml:space="preserve"> </w:t>
      </w:r>
    </w:p>
    <w:p w14:paraId="1487E6E4" w14:textId="42959325" w:rsidR="00CB19CC" w:rsidRPr="00434BB3" w:rsidRDefault="00A07645" w:rsidP="00434BB3">
      <w:pPr>
        <w:pStyle w:val="BodyText"/>
      </w:pPr>
      <w:r w:rsidRPr="00434BB3">
        <w:t xml:space="preserve">An example of the </w:t>
      </w:r>
      <w:r w:rsidR="00CB19CC" w:rsidRPr="00434BB3">
        <w:t xml:space="preserve">exception to </w:t>
      </w:r>
      <w:r w:rsidR="000C47D3">
        <w:t>consolidating</w:t>
      </w:r>
      <w:r w:rsidR="00CB19CC" w:rsidRPr="00434BB3">
        <w:t xml:space="preserve"> noise </w:t>
      </w:r>
      <w:r w:rsidR="000C47D3">
        <w:t xml:space="preserve">provisions </w:t>
      </w:r>
      <w:r w:rsidR="00CB19CC" w:rsidRPr="00434BB3">
        <w:t xml:space="preserve">in the planning standards </w:t>
      </w:r>
      <w:r w:rsidRPr="00434BB3">
        <w:t>is</w:t>
      </w:r>
      <w:r w:rsidR="00CB19CC" w:rsidRPr="00434BB3">
        <w:t xml:space="preserve"> energy, infrastructure or transport provisions</w:t>
      </w:r>
      <w:r w:rsidR="000C47D3">
        <w:t>. This is</w:t>
      </w:r>
      <w:r w:rsidR="00CB19CC" w:rsidRPr="00434BB3">
        <w:t xml:space="preserve"> for the same reasons as noted </w:t>
      </w:r>
      <w:r w:rsidR="000C47D3">
        <w:t xml:space="preserve">above </w:t>
      </w:r>
      <w:r w:rsidR="00CB19CC" w:rsidRPr="00434BB3">
        <w:t xml:space="preserve">in the guidance on the </w:t>
      </w:r>
      <w:r w:rsidR="00CB19CC" w:rsidRPr="00C917CA">
        <w:rPr>
          <w:i/>
        </w:rPr>
        <w:t>Subdivision</w:t>
      </w:r>
      <w:r w:rsidR="00CB19CC" w:rsidRPr="00434BB3">
        <w:t xml:space="preserve"> heading. Direction 35 requires a cross-reference in the </w:t>
      </w:r>
      <w:r w:rsidR="00CB19CC" w:rsidRPr="00C917CA">
        <w:rPr>
          <w:i/>
        </w:rPr>
        <w:t>Noise</w:t>
      </w:r>
      <w:r w:rsidR="00CB19CC" w:rsidRPr="00434BB3">
        <w:t xml:space="preserve"> chapter to the relevant provisions under the </w:t>
      </w:r>
      <w:r w:rsidR="00CB19CC" w:rsidRPr="00C917CA">
        <w:rPr>
          <w:i/>
        </w:rPr>
        <w:t>Energy, infrastructure and transport</w:t>
      </w:r>
      <w:r w:rsidR="00CB19CC" w:rsidRPr="00434BB3">
        <w:t xml:space="preserve"> heading when this occurs for ease of use and navigation.</w:t>
      </w:r>
      <w:r w:rsidR="00E07F01">
        <w:t xml:space="preserve"> </w:t>
      </w:r>
    </w:p>
    <w:p w14:paraId="40D496E7" w14:textId="4D353811" w:rsidR="005573D9" w:rsidRPr="00402EF0" w:rsidRDefault="00557448" w:rsidP="008B31F3">
      <w:pPr>
        <w:pStyle w:val="Heading2"/>
      </w:pPr>
      <w:r w:rsidRPr="00402EF0">
        <w:t xml:space="preserve">9. </w:t>
      </w:r>
      <w:r w:rsidR="00B15F7D" w:rsidRPr="00402EF0">
        <w:t>Designations</w:t>
      </w:r>
    </w:p>
    <w:p w14:paraId="318BA785" w14:textId="2365E547" w:rsidR="0032060B" w:rsidRDefault="0032060B" w:rsidP="00402EF0">
      <w:pPr>
        <w:pStyle w:val="BodyText"/>
      </w:pPr>
      <w:r>
        <w:t xml:space="preserve">Designations are required to be included under one heading in </w:t>
      </w:r>
      <w:r w:rsidRPr="00CD07A5">
        <w:rPr>
          <w:i/>
        </w:rPr>
        <w:t>Part 2 Area-</w:t>
      </w:r>
      <w:r w:rsidR="00CA7AC7">
        <w:rPr>
          <w:i/>
        </w:rPr>
        <w:t>s</w:t>
      </w:r>
      <w:r w:rsidRPr="00CD07A5">
        <w:rPr>
          <w:i/>
        </w:rPr>
        <w:t xml:space="preserve">pecific </w:t>
      </w:r>
      <w:r w:rsidR="00BC4C67">
        <w:rPr>
          <w:i/>
        </w:rPr>
        <w:t>m</w:t>
      </w:r>
      <w:r w:rsidRPr="00CD07A5">
        <w:rPr>
          <w:i/>
        </w:rPr>
        <w:t>atters</w:t>
      </w:r>
      <w:r>
        <w:t xml:space="preserve">. </w:t>
      </w:r>
    </w:p>
    <w:p w14:paraId="3030FD4B" w14:textId="7268E21D" w:rsidR="0032060B" w:rsidRDefault="0032060B" w:rsidP="00402EF0">
      <w:pPr>
        <w:pStyle w:val="BodyText"/>
      </w:pPr>
      <w:r>
        <w:t>Each requiring authority must have its own chapter under this heading.</w:t>
      </w:r>
      <w:r w:rsidR="00E07F01">
        <w:t xml:space="preserve"> </w:t>
      </w:r>
      <w:r w:rsidR="00230B90">
        <w:t xml:space="preserve">Each chapter </w:t>
      </w:r>
      <w:r w:rsidR="00457FFE">
        <w:t xml:space="preserve">must </w:t>
      </w:r>
      <w:r w:rsidR="00230B90">
        <w:t xml:space="preserve">include </w:t>
      </w:r>
      <w:r>
        <w:t>a table for each designation of that requiring authority.</w:t>
      </w:r>
      <w:r w:rsidR="00E07F01">
        <w:t xml:space="preserve"> </w:t>
      </w:r>
      <w:r>
        <w:t xml:space="preserve">The table must meet the </w:t>
      </w:r>
      <w:r w:rsidR="00457FFE">
        <w:t>requirements</w:t>
      </w:r>
      <w:r>
        <w:t xml:space="preserve"> </w:t>
      </w:r>
      <w:r w:rsidR="00CA7AC7">
        <w:t xml:space="preserve">set out in </w:t>
      </w:r>
      <w:r>
        <w:t xml:space="preserve">the </w:t>
      </w:r>
      <w:r w:rsidRPr="00457FFE">
        <w:rPr>
          <w:i/>
        </w:rPr>
        <w:t xml:space="preserve">9. </w:t>
      </w:r>
      <w:r w:rsidR="00457FFE" w:rsidRPr="00457FFE">
        <w:rPr>
          <w:i/>
        </w:rPr>
        <w:t>Designation</w:t>
      </w:r>
      <w:r w:rsidRPr="00737C1C">
        <w:rPr>
          <w:i/>
        </w:rPr>
        <w:t xml:space="preserve"> </w:t>
      </w:r>
      <w:r w:rsidRPr="00CC36C5">
        <w:rPr>
          <w:i/>
        </w:rPr>
        <w:t>Standard</w:t>
      </w:r>
      <w:r>
        <w:t>.</w:t>
      </w:r>
      <w:r w:rsidR="00E07F01">
        <w:t xml:space="preserve"> </w:t>
      </w:r>
    </w:p>
    <w:p w14:paraId="070CA9B4" w14:textId="46BD48A0" w:rsidR="008F2BC5" w:rsidRDefault="0032060B" w:rsidP="00402EF0">
      <w:pPr>
        <w:pStyle w:val="BodyText"/>
      </w:pPr>
      <w:r>
        <w:t xml:space="preserve">This table </w:t>
      </w:r>
      <w:r w:rsidR="00230B90">
        <w:t xml:space="preserve">needs to include </w:t>
      </w:r>
      <w:r>
        <w:t>a row for ‘o</w:t>
      </w:r>
      <w:r w:rsidR="008F2BC5">
        <w:t>ther information’</w:t>
      </w:r>
      <w:r w:rsidR="00230B90">
        <w:t xml:space="preserve"> for </w:t>
      </w:r>
      <w:r>
        <w:t xml:space="preserve">any other information </w:t>
      </w:r>
      <w:r w:rsidR="00CB0D52">
        <w:t>you consider</w:t>
      </w:r>
      <w:r>
        <w:t xml:space="preserve"> appropriate</w:t>
      </w:r>
      <w:r w:rsidR="00230B90">
        <w:t xml:space="preserve">, for example, </w:t>
      </w:r>
      <w:r w:rsidR="00457FFE">
        <w:t>whether</w:t>
      </w:r>
      <w:r>
        <w:t xml:space="preserve"> the designation is a roll</w:t>
      </w:r>
      <w:r w:rsidR="00CA7AC7">
        <w:t>-</w:t>
      </w:r>
      <w:r>
        <w:t xml:space="preserve">over </w:t>
      </w:r>
      <w:r w:rsidR="00457FFE">
        <w:t>designation</w:t>
      </w:r>
      <w:r>
        <w:t xml:space="preserve"> </w:t>
      </w:r>
      <w:r w:rsidR="00457FFE">
        <w:t>or a legacy plan reference.</w:t>
      </w:r>
    </w:p>
    <w:p w14:paraId="5527DE17" w14:textId="35170E95" w:rsidR="00561872" w:rsidRDefault="00BA3FB1" w:rsidP="00402EF0">
      <w:pPr>
        <w:pStyle w:val="BodyText"/>
      </w:pPr>
      <w:r>
        <w:t xml:space="preserve">The </w:t>
      </w:r>
      <w:r w:rsidRPr="00CC36C5">
        <w:rPr>
          <w:i/>
        </w:rPr>
        <w:t>9. Designation Standard</w:t>
      </w:r>
      <w:r>
        <w:t xml:space="preserve"> includes </w:t>
      </w:r>
      <w:r w:rsidR="00A73706">
        <w:rPr>
          <w:i/>
        </w:rPr>
        <w:t>T</w:t>
      </w:r>
      <w:r w:rsidRPr="00CC36C5">
        <w:rPr>
          <w:i/>
        </w:rPr>
        <w:t xml:space="preserve">able 14 </w:t>
      </w:r>
      <w:r w:rsidR="002C4ED4">
        <w:rPr>
          <w:i/>
        </w:rPr>
        <w:t>d</w:t>
      </w:r>
      <w:r w:rsidRPr="00CC36C5">
        <w:rPr>
          <w:i/>
        </w:rPr>
        <w:t>esignations</w:t>
      </w:r>
      <w:r w:rsidR="002C4ED4">
        <w:rPr>
          <w:i/>
        </w:rPr>
        <w:t>,</w:t>
      </w:r>
      <w:r>
        <w:t xml:space="preserve"> which references designation hierarchy</w:t>
      </w:r>
      <w:r>
        <w:rPr>
          <w:i/>
        </w:rPr>
        <w:t xml:space="preserve"> </w:t>
      </w:r>
      <w:r>
        <w:t xml:space="preserve">under section 177 of the RMA. Table 14 requires </w:t>
      </w:r>
      <w:r w:rsidR="00CB0D52">
        <w:t>you</w:t>
      </w:r>
      <w:r>
        <w:t xml:space="preserve"> to insert the term </w:t>
      </w:r>
      <w:r w:rsidRPr="00624B1B">
        <w:rPr>
          <w:i/>
        </w:rPr>
        <w:t>‘</w:t>
      </w:r>
      <w:r w:rsidR="00CB0D52">
        <w:t>p</w:t>
      </w:r>
      <w:r w:rsidRPr="008B31F3">
        <w:t>rimary’</w:t>
      </w:r>
      <w:r w:rsidRPr="00624B1B">
        <w:rPr>
          <w:i/>
        </w:rPr>
        <w:t>,</w:t>
      </w:r>
      <w:r>
        <w:rPr>
          <w:i/>
        </w:rPr>
        <w:t xml:space="preserve"> ‘</w:t>
      </w:r>
      <w:r w:rsidR="00CB0D52">
        <w:t>s</w:t>
      </w:r>
      <w:r w:rsidRPr="008B31F3">
        <w:t>econdary’</w:t>
      </w:r>
      <w:r w:rsidR="002C4ED4">
        <w:rPr>
          <w:i/>
        </w:rPr>
        <w:t xml:space="preserve"> </w:t>
      </w:r>
      <w:r w:rsidRPr="008B31F3">
        <w:t>or</w:t>
      </w:r>
      <w:r w:rsidRPr="00624B1B">
        <w:rPr>
          <w:i/>
        </w:rPr>
        <w:t xml:space="preserve"> </w:t>
      </w:r>
      <w:r>
        <w:rPr>
          <w:i/>
        </w:rPr>
        <w:t>‘</w:t>
      </w:r>
      <w:r w:rsidR="00CB0D52">
        <w:t>v</w:t>
      </w:r>
      <w:r w:rsidRPr="008B31F3">
        <w:t>aries’</w:t>
      </w:r>
      <w:r>
        <w:rPr>
          <w:i/>
        </w:rPr>
        <w:t xml:space="preserve"> </w:t>
      </w:r>
      <w:r w:rsidRPr="00CC36C5">
        <w:t>in each designation table</w:t>
      </w:r>
      <w:r>
        <w:rPr>
          <w:i/>
        </w:rPr>
        <w:t>.</w:t>
      </w:r>
      <w:r w:rsidR="00CB0D52">
        <w:t xml:space="preserve"> While</w:t>
      </w:r>
      <w:r>
        <w:t xml:space="preserve"> section </w:t>
      </w:r>
      <w:r w:rsidRPr="00BA3FB1">
        <w:t>177 of the RM</w:t>
      </w:r>
      <w:r w:rsidR="00CB0D52">
        <w:t>A does not include reference to</w:t>
      </w:r>
      <w:r w:rsidR="00CB0D52" w:rsidRPr="00A6326E">
        <w:rPr>
          <w:i/>
        </w:rPr>
        <w:t xml:space="preserve"> </w:t>
      </w:r>
      <w:r w:rsidR="00CB0D52">
        <w:t>primary</w:t>
      </w:r>
      <w:r w:rsidRPr="00CC36C5">
        <w:rPr>
          <w:i/>
        </w:rPr>
        <w:t>,</w:t>
      </w:r>
      <w:r w:rsidR="00CB0D52">
        <w:rPr>
          <w:i/>
        </w:rPr>
        <w:t xml:space="preserve"> </w:t>
      </w:r>
      <w:r w:rsidR="00CB0D52">
        <w:t>secondary</w:t>
      </w:r>
      <w:r w:rsidRPr="00CC36C5">
        <w:rPr>
          <w:i/>
        </w:rPr>
        <w:t xml:space="preserve"> </w:t>
      </w:r>
      <w:r w:rsidRPr="00A6326E">
        <w:t>or</w:t>
      </w:r>
      <w:r w:rsidRPr="00CC36C5">
        <w:rPr>
          <w:i/>
        </w:rPr>
        <w:t xml:space="preserve"> </w:t>
      </w:r>
      <w:r w:rsidR="00CB0D52" w:rsidRPr="00CB0D52">
        <w:t>v</w:t>
      </w:r>
      <w:r w:rsidR="00CB0D52">
        <w:t>aries</w:t>
      </w:r>
      <w:r w:rsidRPr="00BA3FB1">
        <w:t xml:space="preserve"> designations, </w:t>
      </w:r>
      <w:r w:rsidR="00561872">
        <w:t xml:space="preserve">these </w:t>
      </w:r>
      <w:r w:rsidR="00E52892">
        <w:t xml:space="preserve">terms </w:t>
      </w:r>
      <w:r w:rsidR="00561872">
        <w:t>are intended</w:t>
      </w:r>
      <w:r w:rsidR="00E52892">
        <w:t xml:space="preserve"> to</w:t>
      </w:r>
      <w:r w:rsidR="00561872">
        <w:t xml:space="preserve"> </w:t>
      </w:r>
      <w:r w:rsidR="00E52892">
        <w:t>establish priority where</w:t>
      </w:r>
      <w:r w:rsidR="00E52892" w:rsidRPr="00BA3FB1">
        <w:t xml:space="preserve"> ther</w:t>
      </w:r>
      <w:r w:rsidR="00E52892">
        <w:t>e are overlapping designations</w:t>
      </w:r>
      <w:r w:rsidR="00C11618">
        <w:t>, for example</w:t>
      </w:r>
      <w:r w:rsidR="00E52892">
        <w:t>:</w:t>
      </w:r>
    </w:p>
    <w:p w14:paraId="1092E87B" w14:textId="740906CC" w:rsidR="00FA75D3" w:rsidRDefault="00561872" w:rsidP="008B31F3">
      <w:pPr>
        <w:pStyle w:val="Bullet"/>
      </w:pPr>
      <w:r w:rsidRPr="008B31F3">
        <w:t>Primary</w:t>
      </w:r>
      <w:r>
        <w:t xml:space="preserve"> – </w:t>
      </w:r>
      <w:r w:rsidR="002C4ED4">
        <w:t xml:space="preserve">where </w:t>
      </w:r>
      <w:r>
        <w:t xml:space="preserve">the designation is the primary </w:t>
      </w:r>
      <w:r w:rsidR="002C4ED4">
        <w:t xml:space="preserve">one </w:t>
      </w:r>
      <w:r>
        <w:t>on site and all other designation hold</w:t>
      </w:r>
      <w:r w:rsidR="00FE695F">
        <w:t xml:space="preserve">ers must request permission. This is also relevant for when there is only one designation. </w:t>
      </w:r>
    </w:p>
    <w:p w14:paraId="13D9F164" w14:textId="719FFE25" w:rsidR="00FA75D3" w:rsidRDefault="00FA75D3" w:rsidP="008B31F3">
      <w:pPr>
        <w:pStyle w:val="Bullet"/>
      </w:pPr>
      <w:r w:rsidRPr="008B31F3">
        <w:t>Secondary</w:t>
      </w:r>
      <w:r>
        <w:t xml:space="preserve"> – where the designation is not the primary designation</w:t>
      </w:r>
      <w:r w:rsidR="002C4ED4">
        <w:t xml:space="preserve">, they must </w:t>
      </w:r>
      <w:r>
        <w:t xml:space="preserve">obtain permission from the primary designation holder. </w:t>
      </w:r>
    </w:p>
    <w:p w14:paraId="05575A68" w14:textId="480D643F" w:rsidR="00FA75D3" w:rsidRDefault="00FA75D3" w:rsidP="008B31F3">
      <w:pPr>
        <w:pStyle w:val="Bullet"/>
      </w:pPr>
      <w:r w:rsidRPr="008B31F3">
        <w:t>Varies</w:t>
      </w:r>
      <w:r>
        <w:t xml:space="preserve"> – where the status of the designation is primary in some parts and secondary in others.</w:t>
      </w:r>
    </w:p>
    <w:p w14:paraId="7EBA7F53" w14:textId="7E29652B" w:rsidR="00457FFE" w:rsidRPr="00557448" w:rsidRDefault="00457FFE" w:rsidP="008B31F3">
      <w:pPr>
        <w:pStyle w:val="BodyText"/>
        <w:spacing w:before="240"/>
        <w:rPr>
          <w:i/>
        </w:rPr>
      </w:pPr>
      <w:r w:rsidRPr="00457FFE">
        <w:t>The</w:t>
      </w:r>
      <w:r>
        <w:rPr>
          <w:i/>
        </w:rPr>
        <w:t xml:space="preserve"> </w:t>
      </w:r>
      <w:r w:rsidRPr="00457FFE">
        <w:rPr>
          <w:i/>
        </w:rPr>
        <w:t>9. Designation</w:t>
      </w:r>
      <w:r w:rsidRPr="00B440EE">
        <w:rPr>
          <w:i/>
        </w:rPr>
        <w:t xml:space="preserve"> </w:t>
      </w:r>
      <w:r w:rsidRPr="00CC36C5">
        <w:rPr>
          <w:i/>
        </w:rPr>
        <w:t>Standard</w:t>
      </w:r>
      <w:r>
        <w:rPr>
          <w:i/>
        </w:rPr>
        <w:t xml:space="preserve"> </w:t>
      </w:r>
      <w:r>
        <w:t xml:space="preserve">also includes </w:t>
      </w:r>
      <w:r w:rsidR="00A6326E">
        <w:rPr>
          <w:i/>
        </w:rPr>
        <w:t>T</w:t>
      </w:r>
      <w:r w:rsidRPr="00CD07A5">
        <w:rPr>
          <w:i/>
        </w:rPr>
        <w:t xml:space="preserve">able 15 </w:t>
      </w:r>
      <w:r w:rsidR="002C4ED4">
        <w:rPr>
          <w:i/>
        </w:rPr>
        <w:t>r</w:t>
      </w:r>
      <w:r w:rsidRPr="00CD07A5">
        <w:rPr>
          <w:i/>
        </w:rPr>
        <w:t>equiring authority unique identifiers</w:t>
      </w:r>
      <w:r>
        <w:t>.</w:t>
      </w:r>
      <w:r w:rsidR="00E07F01">
        <w:t xml:space="preserve"> </w:t>
      </w:r>
      <w:r>
        <w:t xml:space="preserve">This table includes </w:t>
      </w:r>
      <w:r w:rsidR="00900EFC">
        <w:t>unique identifiers</w:t>
      </w:r>
      <w:r>
        <w:t xml:space="preserve"> for a number of </w:t>
      </w:r>
      <w:r w:rsidR="00900EFC">
        <w:t>r</w:t>
      </w:r>
      <w:r>
        <w:t xml:space="preserve">equiring </w:t>
      </w:r>
      <w:r w:rsidR="00900EFC">
        <w:t>a</w:t>
      </w:r>
      <w:r>
        <w:t>uthorities</w:t>
      </w:r>
      <w:r w:rsidR="002C4ED4">
        <w:t xml:space="preserve"> </w:t>
      </w:r>
      <w:r>
        <w:t>considered common across the country.</w:t>
      </w:r>
      <w:r w:rsidR="00E07F01">
        <w:t xml:space="preserve"> </w:t>
      </w:r>
      <w:r w:rsidR="00CB0D52">
        <w:t>You</w:t>
      </w:r>
      <w:r w:rsidR="00557448">
        <w:t xml:space="preserve"> must create </w:t>
      </w:r>
      <w:r w:rsidR="00CB0D52">
        <w:t>your</w:t>
      </w:r>
      <w:r w:rsidR="00557448">
        <w:t xml:space="preserve"> own unique identifiers for other </w:t>
      </w:r>
      <w:r w:rsidR="00900EFC">
        <w:t>r</w:t>
      </w:r>
      <w:r w:rsidR="00557448">
        <w:t xml:space="preserve">equiring </w:t>
      </w:r>
      <w:r w:rsidR="00900EFC">
        <w:t>a</w:t>
      </w:r>
      <w:r w:rsidR="00557448">
        <w:t xml:space="preserve">uthorities relevant </w:t>
      </w:r>
      <w:r w:rsidR="002C4ED4">
        <w:t xml:space="preserve">to </w:t>
      </w:r>
      <w:r w:rsidR="00CB0D52">
        <w:t>your</w:t>
      </w:r>
      <w:r w:rsidR="00557448">
        <w:t xml:space="preserve"> district.</w:t>
      </w:r>
      <w:r w:rsidR="00E07F01">
        <w:t xml:space="preserve"> </w:t>
      </w:r>
      <w:r w:rsidR="00557448">
        <w:t xml:space="preserve">The identifiers created must meet the requirements of </w:t>
      </w:r>
      <w:r w:rsidR="00557448" w:rsidRPr="00557448">
        <w:rPr>
          <w:i/>
        </w:rPr>
        <w:t xml:space="preserve">10. Format </w:t>
      </w:r>
      <w:r w:rsidR="00557448" w:rsidRPr="00CC36C5">
        <w:rPr>
          <w:i/>
        </w:rPr>
        <w:t>Standard</w:t>
      </w:r>
      <w:r w:rsidR="00557448" w:rsidRPr="00B01967">
        <w:t>.</w:t>
      </w:r>
    </w:p>
    <w:p w14:paraId="020BFBE3" w14:textId="5CE9E4AA" w:rsidR="008F2BC5" w:rsidRPr="008F2BC5" w:rsidRDefault="008F2BC5" w:rsidP="008B31F3">
      <w:pPr>
        <w:pStyle w:val="Heading2"/>
      </w:pPr>
      <w:r w:rsidRPr="008F2BC5">
        <w:lastRenderedPageBreak/>
        <w:t xml:space="preserve">Appendices and </w:t>
      </w:r>
      <w:r w:rsidR="00434BB3">
        <w:t>m</w:t>
      </w:r>
      <w:r w:rsidRPr="008F2BC5">
        <w:t>aps</w:t>
      </w:r>
    </w:p>
    <w:p w14:paraId="1F98AFCC" w14:textId="1764AF0F" w:rsidR="00557448" w:rsidRDefault="00557448" w:rsidP="00402EF0">
      <w:pPr>
        <w:pStyle w:val="BodyText"/>
      </w:pPr>
      <w:r>
        <w:t xml:space="preserve">Part 4 must </w:t>
      </w:r>
      <w:r w:rsidR="00DF0AFE">
        <w:t>be included</w:t>
      </w:r>
      <w:r>
        <w:t xml:space="preserve"> and </w:t>
      </w:r>
      <w:r w:rsidR="002C4ED4">
        <w:t>named</w:t>
      </w:r>
      <w:r>
        <w:t xml:space="preserve"> “</w:t>
      </w:r>
      <w:r w:rsidR="002C4ED4">
        <w:t>a</w:t>
      </w:r>
      <w:r>
        <w:t>ppendices and maps”, “</w:t>
      </w:r>
      <w:r w:rsidR="002C4ED4">
        <w:t>a</w:t>
      </w:r>
      <w:r>
        <w:t>ppendices” or “</w:t>
      </w:r>
      <w:r w:rsidR="002C4ED4">
        <w:t>m</w:t>
      </w:r>
      <w:r>
        <w:t>aps”</w:t>
      </w:r>
      <w:r w:rsidR="00CA7AC7">
        <w:t>,</w:t>
      </w:r>
      <w:r>
        <w:t xml:space="preserve"> depending on the content.</w:t>
      </w:r>
      <w:r w:rsidR="00730B78">
        <w:t xml:space="preserve"> </w:t>
      </w:r>
      <w:r w:rsidR="00CB0D52">
        <w:t>You may include a</w:t>
      </w:r>
      <w:r w:rsidR="00746AF1">
        <w:t>ppendices in this part o</w:t>
      </w:r>
      <w:r w:rsidR="00435E7F">
        <w:t>r</w:t>
      </w:r>
      <w:r w:rsidR="00746AF1">
        <w:t xml:space="preserve"> with</w:t>
      </w:r>
      <w:r w:rsidR="00435E7F">
        <w:t>in</w:t>
      </w:r>
      <w:r w:rsidR="00746AF1">
        <w:t xml:space="preserve"> the relevant chapter. This is for </w:t>
      </w:r>
      <w:r w:rsidR="00CB0D52">
        <w:t>you</w:t>
      </w:r>
      <w:r w:rsidR="00746AF1">
        <w:t xml:space="preserve"> to decide, but the length of the appendix may be a deciding factor.</w:t>
      </w:r>
    </w:p>
    <w:p w14:paraId="0747763B" w14:textId="5D4782D4" w:rsidR="00557448" w:rsidRDefault="00557448" w:rsidP="00402EF0">
      <w:pPr>
        <w:pStyle w:val="BodyText"/>
      </w:pPr>
      <w:r>
        <w:t>Appendices may include schedules that are not included within the relevant chapter.</w:t>
      </w:r>
      <w:r w:rsidR="00E07F01">
        <w:t xml:space="preserve"> </w:t>
      </w:r>
      <w:r w:rsidRPr="00B27909">
        <w:t xml:space="preserve">The </w:t>
      </w:r>
      <w:r w:rsidR="00900EFC" w:rsidRPr="00B27909">
        <w:rPr>
          <w:i/>
        </w:rPr>
        <w:t>10. F</w:t>
      </w:r>
      <w:r w:rsidRPr="00B27909">
        <w:rPr>
          <w:i/>
        </w:rPr>
        <w:t xml:space="preserve">ormat </w:t>
      </w:r>
      <w:r w:rsidR="00B01967" w:rsidRPr="00CC36C5">
        <w:rPr>
          <w:i/>
        </w:rPr>
        <w:t>S</w:t>
      </w:r>
      <w:r w:rsidRPr="00CC36C5">
        <w:rPr>
          <w:i/>
        </w:rPr>
        <w:t>tandard</w:t>
      </w:r>
      <w:r>
        <w:t xml:space="preserve"> sets out the minimum requirements for all schedules in </w:t>
      </w:r>
      <w:r w:rsidR="00CA7AC7">
        <w:t>d</w:t>
      </w:r>
      <w:r>
        <w:t xml:space="preserve">istrict </w:t>
      </w:r>
      <w:r w:rsidR="00CA7AC7">
        <w:t>p</w:t>
      </w:r>
      <w:r>
        <w:t>lans</w:t>
      </w:r>
      <w:r w:rsidR="00CD07A5">
        <w:t>.</w:t>
      </w:r>
      <w:r w:rsidR="00E07F01">
        <w:t xml:space="preserve"> </w:t>
      </w:r>
      <w:r w:rsidR="00CA7AC7">
        <w:t>For further detail, refer to t</w:t>
      </w:r>
      <w:r w:rsidR="00CD07A5">
        <w:t xml:space="preserve">he </w:t>
      </w:r>
      <w:hyperlink r:id="rId21" w:history="1">
        <w:r w:rsidR="00CD07A5" w:rsidRPr="008B31F3">
          <w:rPr>
            <w:rStyle w:val="Hyperlink"/>
            <w:rFonts w:cstheme="minorHAnsi"/>
            <w:i/>
            <w:color w:val="0F7B7D"/>
            <w:u w:val="none"/>
          </w:rPr>
          <w:t>Guidance for National Planning Standards: 1</w:t>
        </w:r>
        <w:r w:rsidR="00D7373A" w:rsidRPr="008B31F3">
          <w:rPr>
            <w:rStyle w:val="Hyperlink"/>
            <w:rFonts w:cstheme="minorHAnsi"/>
            <w:i/>
            <w:color w:val="0F7B7D"/>
            <w:u w:val="none"/>
          </w:rPr>
          <w:t>0</w:t>
        </w:r>
        <w:r w:rsidR="00CD07A5" w:rsidRPr="008B31F3">
          <w:rPr>
            <w:rStyle w:val="Hyperlink"/>
            <w:rFonts w:cstheme="minorHAnsi"/>
            <w:i/>
            <w:color w:val="0F7B7D"/>
            <w:u w:val="none"/>
          </w:rPr>
          <w:t xml:space="preserve">. </w:t>
        </w:r>
        <w:r w:rsidR="00D7373A" w:rsidRPr="008B31F3">
          <w:rPr>
            <w:rStyle w:val="Hyperlink"/>
            <w:rFonts w:cstheme="minorHAnsi"/>
            <w:i/>
            <w:color w:val="0F7B7D"/>
            <w:u w:val="none"/>
          </w:rPr>
          <w:t>Format</w:t>
        </w:r>
      </w:hyperlink>
      <w:r w:rsidRPr="00CD07A5">
        <w:rPr>
          <w:rFonts w:cstheme="minorHAnsi"/>
        </w:rPr>
        <w:t xml:space="preserve">. </w:t>
      </w:r>
      <w:r w:rsidR="00CB0D52">
        <w:rPr>
          <w:rFonts w:cstheme="minorHAnsi"/>
        </w:rPr>
        <w:t>You</w:t>
      </w:r>
      <w:r w:rsidR="00CD07A5">
        <w:rPr>
          <w:rFonts w:cstheme="minorHAnsi"/>
        </w:rPr>
        <w:t xml:space="preserve"> may add mor</w:t>
      </w:r>
      <w:r w:rsidRPr="0054646D">
        <w:t xml:space="preserve">e detail </w:t>
      </w:r>
      <w:r w:rsidR="00CD07A5">
        <w:t>t</w:t>
      </w:r>
      <w:r w:rsidRPr="0054646D">
        <w:t xml:space="preserve">o </w:t>
      </w:r>
      <w:r w:rsidR="00CD07A5">
        <w:t xml:space="preserve">schedules if </w:t>
      </w:r>
      <w:r w:rsidR="00CB0D52">
        <w:t>you</w:t>
      </w:r>
      <w:r w:rsidR="00CD07A5">
        <w:t xml:space="preserve"> consider</w:t>
      </w:r>
      <w:r w:rsidR="002C4ED4">
        <w:t xml:space="preserve"> this</w:t>
      </w:r>
      <w:r w:rsidR="00CD07A5">
        <w:t xml:space="preserve"> </w:t>
      </w:r>
      <w:r w:rsidRPr="0054646D">
        <w:t>appropriate.</w:t>
      </w:r>
    </w:p>
    <w:p w14:paraId="53F19F89" w14:textId="5F2277B9" w:rsidR="008F2BC5" w:rsidRDefault="004071E7" w:rsidP="00402EF0">
      <w:pPr>
        <w:pStyle w:val="BodyText"/>
      </w:pPr>
      <w:r w:rsidRPr="00E5407A">
        <w:t xml:space="preserve">In </w:t>
      </w:r>
      <w:r w:rsidR="00CA7AC7">
        <w:t>its</w:t>
      </w:r>
      <w:r w:rsidR="00CA7AC7" w:rsidRPr="00E5407A">
        <w:t xml:space="preserve"> </w:t>
      </w:r>
      <w:r w:rsidRPr="00E5407A">
        <w:t>submission on the draft planning standards</w:t>
      </w:r>
      <w:r w:rsidR="00CA7AC7">
        <w:t>,</w:t>
      </w:r>
      <w:r w:rsidRPr="00E5407A">
        <w:t xml:space="preserve"> Heritage New Zealand Pouhere Taonga </w:t>
      </w:r>
      <w:r w:rsidR="00E5407A">
        <w:t>(</w:t>
      </w:r>
      <w:r w:rsidR="00692E8A">
        <w:t>H</w:t>
      </w:r>
      <w:r w:rsidR="00E5407A">
        <w:t xml:space="preserve">eritage New Zealand) </w:t>
      </w:r>
      <w:r w:rsidR="008F2BC5" w:rsidRPr="00E5407A">
        <w:t xml:space="preserve">set out the information </w:t>
      </w:r>
      <w:r w:rsidRPr="00E5407A">
        <w:t xml:space="preserve">it considers should be included in </w:t>
      </w:r>
      <w:r w:rsidR="00AE5CD5">
        <w:t xml:space="preserve">historical and cultural </w:t>
      </w:r>
      <w:r w:rsidRPr="00E5407A">
        <w:t>schedules.</w:t>
      </w:r>
      <w:r w:rsidR="00E07F01">
        <w:t xml:space="preserve"> </w:t>
      </w:r>
      <w:r w:rsidR="00CA7AC7">
        <w:t>As we decided</w:t>
      </w:r>
      <w:r w:rsidRPr="00E5407A">
        <w:t xml:space="preserve"> to make the requirements for schedules minimum requirements</w:t>
      </w:r>
      <w:r w:rsidR="00CA7AC7">
        <w:t>,</w:t>
      </w:r>
      <w:r w:rsidRPr="00E5407A">
        <w:t xml:space="preserve"> we have </w:t>
      </w:r>
      <w:r w:rsidR="00CA7AC7">
        <w:t xml:space="preserve">included </w:t>
      </w:r>
      <w:r w:rsidRPr="00E5407A">
        <w:t xml:space="preserve">the information </w:t>
      </w:r>
      <w:r w:rsidR="008F2BC5" w:rsidRPr="00E5407A">
        <w:t xml:space="preserve">Heritage New Zealand </w:t>
      </w:r>
      <w:r w:rsidR="00CA7AC7">
        <w:t xml:space="preserve">requested </w:t>
      </w:r>
      <w:r w:rsidR="00E5407A" w:rsidRPr="00E5407A">
        <w:t>as guidance.</w:t>
      </w:r>
      <w:r w:rsidR="00E07F01">
        <w:t xml:space="preserve"> </w:t>
      </w:r>
      <w:r w:rsidR="00E5407A" w:rsidRPr="00E5407A">
        <w:t>Therefore</w:t>
      </w:r>
      <w:r w:rsidR="00CA7AC7">
        <w:t>,</w:t>
      </w:r>
      <w:r w:rsidR="00E5407A" w:rsidRPr="00E5407A">
        <w:t xml:space="preserve"> in addition</w:t>
      </w:r>
      <w:r w:rsidRPr="00E5407A">
        <w:t xml:space="preserve"> to the </w:t>
      </w:r>
      <w:r w:rsidR="00E5407A" w:rsidRPr="00E5407A">
        <w:t>requirements</w:t>
      </w:r>
      <w:r w:rsidRPr="00E5407A">
        <w:t xml:space="preserve"> of direction 14 of the </w:t>
      </w:r>
      <w:r w:rsidRPr="00E5407A">
        <w:rPr>
          <w:i/>
        </w:rPr>
        <w:t>10. Format</w:t>
      </w:r>
      <w:r w:rsidRPr="00B440EE">
        <w:rPr>
          <w:i/>
        </w:rPr>
        <w:t xml:space="preserve"> </w:t>
      </w:r>
      <w:r w:rsidR="00B01967" w:rsidRPr="00CC36C5">
        <w:rPr>
          <w:i/>
        </w:rPr>
        <w:t>S</w:t>
      </w:r>
      <w:r w:rsidRPr="00CC36C5">
        <w:rPr>
          <w:i/>
        </w:rPr>
        <w:t>tandard</w:t>
      </w:r>
      <w:r w:rsidR="00692E8A" w:rsidRPr="00F1222E">
        <w:t xml:space="preserve">, we note here, as guidance, that </w:t>
      </w:r>
      <w:r w:rsidR="00E5407A" w:rsidRPr="00692E8A">
        <w:t>Heritage</w:t>
      </w:r>
      <w:r w:rsidR="00E5407A" w:rsidRPr="00E5407A">
        <w:t xml:space="preserve"> New Zealand </w:t>
      </w:r>
      <w:r w:rsidR="008F2BC5" w:rsidRPr="00E5407A">
        <w:t>would like to see</w:t>
      </w:r>
      <w:r w:rsidR="00E5407A" w:rsidRPr="00E5407A">
        <w:t xml:space="preserve"> the following matters in </w:t>
      </w:r>
      <w:r w:rsidR="00263C51" w:rsidRPr="00AE5CD5">
        <w:t>historical and cultural</w:t>
      </w:r>
      <w:r w:rsidR="00CA7AC7">
        <w:t>-</w:t>
      </w:r>
      <w:r w:rsidR="00E5407A" w:rsidRPr="00E5407A">
        <w:t>related schedules:</w:t>
      </w:r>
    </w:p>
    <w:p w14:paraId="29EE94FB" w14:textId="041CF59D" w:rsidR="00E5407A" w:rsidRPr="00E5407A" w:rsidRDefault="00E5407A" w:rsidP="00402EF0">
      <w:pPr>
        <w:pStyle w:val="BodyText"/>
        <w:rPr>
          <w:rFonts w:asciiTheme="minorHAnsi" w:hAnsiTheme="minorHAnsi" w:cstheme="minorHAnsi"/>
          <w:sz w:val="20"/>
          <w:szCs w:val="22"/>
          <w:lang w:val="en-NZ"/>
        </w:rPr>
      </w:pPr>
      <w:r>
        <w:rPr>
          <w:rFonts w:asciiTheme="minorHAnsi" w:hAnsiTheme="minorHAnsi" w:cstheme="minorHAnsi"/>
        </w:rPr>
        <w:t xml:space="preserve">For all </w:t>
      </w:r>
      <w:r w:rsidR="00AE5CD5" w:rsidRPr="00AE5CD5">
        <w:rPr>
          <w:lang w:val="en-NZ"/>
        </w:rPr>
        <w:t xml:space="preserve">historical and cultural </w:t>
      </w:r>
      <w:r w:rsidRPr="00AE5CD5">
        <w:rPr>
          <w:lang w:val="en-NZ"/>
        </w:rPr>
        <w:t>sched</w:t>
      </w:r>
      <w:r>
        <w:rPr>
          <w:rFonts w:asciiTheme="minorHAnsi" w:hAnsiTheme="minorHAnsi" w:cstheme="minorHAnsi"/>
        </w:rPr>
        <w:t>ules</w:t>
      </w:r>
      <w:r w:rsidR="00CA7AC7">
        <w:rPr>
          <w:rFonts w:asciiTheme="minorHAnsi" w:hAnsiTheme="minorHAnsi" w:cstheme="minorHAnsi"/>
        </w:rPr>
        <w:t>:</w:t>
      </w:r>
      <w:r>
        <w:rPr>
          <w:rFonts w:asciiTheme="minorHAnsi" w:hAnsiTheme="minorHAnsi" w:cstheme="minorHAnsi"/>
        </w:rPr>
        <w:t xml:space="preserve"> </w:t>
      </w:r>
    </w:p>
    <w:p w14:paraId="40D61AA7" w14:textId="34FA6EE7" w:rsidR="00E5407A" w:rsidRPr="00E5407A" w:rsidRDefault="00CA7AC7" w:rsidP="00402EF0">
      <w:pPr>
        <w:pStyle w:val="Bullet"/>
      </w:pPr>
      <w:r>
        <w:t>c</w:t>
      </w:r>
      <w:r w:rsidR="00E5407A" w:rsidRPr="00E5407A">
        <w:t>oordinates</w:t>
      </w:r>
      <w:r w:rsidR="00AE5CD5">
        <w:t xml:space="preserve"> (excluding sites of significance to </w:t>
      </w:r>
      <w:r w:rsidR="00AE5CD5" w:rsidRPr="00996C92">
        <w:rPr>
          <w:szCs w:val="22"/>
        </w:rPr>
        <w:t>Māori</w:t>
      </w:r>
      <w:r w:rsidR="00AE5CD5">
        <w:t>)</w:t>
      </w:r>
    </w:p>
    <w:p w14:paraId="7843A1D1" w14:textId="27B007DE" w:rsidR="00E5407A" w:rsidRPr="00E5407A" w:rsidRDefault="00CA7AC7" w:rsidP="00402EF0">
      <w:pPr>
        <w:pStyle w:val="Bullet"/>
      </w:pPr>
      <w:r>
        <w:t>r</w:t>
      </w:r>
      <w:r w:rsidR="00E5407A" w:rsidRPr="00E5407A">
        <w:t xml:space="preserve">eference to </w:t>
      </w:r>
      <w:r w:rsidR="002C4ED4">
        <w:t xml:space="preserve">the </w:t>
      </w:r>
      <w:r w:rsidR="00E5407A" w:rsidRPr="00E5407A">
        <w:t>study</w:t>
      </w:r>
      <w:r w:rsidR="002C4ED4">
        <w:t xml:space="preserve"> and/or </w:t>
      </w:r>
      <w:r w:rsidR="00E5407A" w:rsidRPr="00E5407A">
        <w:t>material used for identification (</w:t>
      </w:r>
      <w:r>
        <w:t>eg,</w:t>
      </w:r>
      <w:r w:rsidR="00E5407A" w:rsidRPr="00E5407A">
        <w:t xml:space="preserve"> heritage</w:t>
      </w:r>
      <w:r w:rsidR="00E5407A">
        <w:t xml:space="preserve"> </w:t>
      </w:r>
      <w:r w:rsidR="00E5407A" w:rsidRPr="00E5407A">
        <w:t>assessments) an</w:t>
      </w:r>
      <w:r>
        <w:t>d,</w:t>
      </w:r>
      <w:r w:rsidR="00E5407A" w:rsidRPr="00E5407A">
        <w:t xml:space="preserve"> where available</w:t>
      </w:r>
      <w:r>
        <w:t>,</w:t>
      </w:r>
      <w:r w:rsidR="00E5407A" w:rsidRPr="00E5407A">
        <w:t xml:space="preserve"> links to heritage assessments</w:t>
      </w:r>
    </w:p>
    <w:p w14:paraId="1CD563BE" w14:textId="049F7B8A" w:rsidR="00E5407A" w:rsidRPr="00E5407A" w:rsidRDefault="00E5407A" w:rsidP="00402EF0">
      <w:pPr>
        <w:pStyle w:val="Bullet"/>
      </w:pPr>
      <w:r w:rsidRPr="00E5407A">
        <w:t xml:space="preserve">New Zealand </w:t>
      </w:r>
      <w:r>
        <w:t>Heritage List/</w:t>
      </w:r>
      <w:r w:rsidRPr="00E5407A">
        <w:t>Rārangi Kōrero reference number and</w:t>
      </w:r>
      <w:r>
        <w:t xml:space="preserve"> </w:t>
      </w:r>
      <w:r w:rsidRPr="00E5407A">
        <w:t>status</w:t>
      </w:r>
    </w:p>
    <w:p w14:paraId="41602333" w14:textId="50DBD673" w:rsidR="00E5407A" w:rsidRPr="00E5407A" w:rsidRDefault="00E5407A" w:rsidP="00402EF0">
      <w:pPr>
        <w:pStyle w:val="Bullet"/>
      </w:pPr>
      <w:r w:rsidRPr="00E5407A">
        <w:t>New Zealand Archaeological Association (NZAA) reference number (where the site is also an archaeological site)</w:t>
      </w:r>
      <w:r w:rsidR="00CA7AC7">
        <w:t>.</w:t>
      </w:r>
    </w:p>
    <w:p w14:paraId="4C318F28" w14:textId="79F03F60" w:rsidR="004D3537" w:rsidRDefault="00E5407A" w:rsidP="00A6326E">
      <w:pPr>
        <w:pStyle w:val="BodyText"/>
        <w:spacing w:before="240"/>
      </w:pPr>
      <w:r w:rsidRPr="00434BB3">
        <w:t>In addition</w:t>
      </w:r>
      <w:r w:rsidR="00CA7AC7">
        <w:t>,</w:t>
      </w:r>
      <w:r w:rsidRPr="00434BB3">
        <w:t xml:space="preserve"> for heritage buildings the heritage classification (e</w:t>
      </w:r>
      <w:r w:rsidR="00692E8A" w:rsidRPr="00434BB3">
        <w:t>g,</w:t>
      </w:r>
      <w:r w:rsidRPr="00434BB3">
        <w:t xml:space="preserve"> Group A or B) would be useful.</w:t>
      </w:r>
      <w:r w:rsidR="00CB0D52">
        <w:t xml:space="preserve"> </w:t>
      </w:r>
      <w:r w:rsidRPr="00434BB3">
        <w:t xml:space="preserve">For </w:t>
      </w:r>
      <w:r w:rsidR="00AE5CD5" w:rsidRPr="00402EF0">
        <w:t xml:space="preserve">Māori </w:t>
      </w:r>
      <w:r w:rsidRPr="00434BB3">
        <w:t>heritage and arch</w:t>
      </w:r>
      <w:r w:rsidR="00CA7AC7">
        <w:t>a</w:t>
      </w:r>
      <w:r w:rsidRPr="00434BB3">
        <w:t>eological site</w:t>
      </w:r>
      <w:r w:rsidR="00692E8A" w:rsidRPr="00434BB3">
        <w:t>s</w:t>
      </w:r>
      <w:r w:rsidR="00CA7AC7">
        <w:t>,</w:t>
      </w:r>
      <w:r w:rsidRPr="00434BB3">
        <w:t xml:space="preserve"> the </w:t>
      </w:r>
      <w:r w:rsidR="00AE5CD5" w:rsidRPr="00434BB3">
        <w:t>he</w:t>
      </w:r>
      <w:r w:rsidRPr="00434BB3">
        <w:t>ritage classification (e</w:t>
      </w:r>
      <w:r w:rsidR="00692E8A" w:rsidRPr="00434BB3">
        <w:t>g,</w:t>
      </w:r>
      <w:r w:rsidRPr="00434BB3">
        <w:t xml:space="preserve"> wāhi tapu site, wāhi tapu area, wāhi tūpuna) would be </w:t>
      </w:r>
      <w:r w:rsidR="00746AF1">
        <w:t>helpful</w:t>
      </w:r>
      <w:r w:rsidRPr="00434BB3">
        <w:t>.</w:t>
      </w:r>
    </w:p>
    <w:p w14:paraId="10BC499A" w14:textId="77777777" w:rsidR="004D3537" w:rsidRDefault="004D3537">
      <w:pPr>
        <w:spacing w:after="200" w:line="276" w:lineRule="auto"/>
        <w:rPr>
          <w:rFonts w:ascii="Calibri" w:hAnsi="Calibri"/>
          <w:sz w:val="22"/>
          <w:lang w:eastAsia="en-NZ"/>
        </w:rPr>
      </w:pPr>
      <w:r>
        <w:br w:type="page"/>
      </w:r>
    </w:p>
    <w:p w14:paraId="082120B4" w14:textId="77777777" w:rsidR="009E3687" w:rsidRDefault="009E3687" w:rsidP="00A6326E">
      <w:pPr>
        <w:pStyle w:val="BodyText"/>
        <w:spacing w:before="240"/>
      </w:pPr>
    </w:p>
    <w:p w14:paraId="1DFD7CE1" w14:textId="77777777" w:rsidR="00434BB3" w:rsidRPr="002D5068" w:rsidRDefault="00434BB3" w:rsidP="00434BB3">
      <w:pPr>
        <w:pStyle w:val="H3Guidance"/>
        <w:pBdr>
          <w:top w:val="single" w:sz="2" w:space="1" w:color="auto"/>
          <w:left w:val="single" w:sz="2" w:space="4" w:color="auto"/>
          <w:bottom w:val="single" w:sz="2" w:space="1" w:color="auto"/>
          <w:right w:val="single" w:sz="2" w:space="4" w:color="auto"/>
        </w:pBdr>
      </w:pPr>
      <w:r w:rsidRPr="00731C85">
        <w:rPr>
          <w:sz w:val="24"/>
          <w:szCs w:val="24"/>
        </w:rPr>
        <w:t xml:space="preserve">Disclaimer </w:t>
      </w:r>
    </w:p>
    <w:p w14:paraId="20AC811B" w14:textId="77777777" w:rsidR="00434BB3" w:rsidRDefault="00434BB3" w:rsidP="00434BB3">
      <w:pPr>
        <w:pStyle w:val="Disclaimer"/>
        <w:pBdr>
          <w:top w:val="single" w:sz="2" w:space="1" w:color="auto"/>
          <w:left w:val="single" w:sz="2" w:space="4" w:color="auto"/>
          <w:bottom w:val="single" w:sz="2" w:space="1" w:color="auto"/>
          <w:right w:val="single" w:sz="2" w:space="4" w:color="auto"/>
        </w:pBdr>
      </w:pPr>
      <w:r>
        <w:t xml:space="preserve">The information in this publication is, according to the Ministry for the Environment’s best efforts, accurate at the time of publication. The Ministry will make every reasonable effort to keep it current and accurate. However, users of this publication are advised that: </w:t>
      </w:r>
    </w:p>
    <w:p w14:paraId="32995BA0" w14:textId="77777777" w:rsidR="00434BB3" w:rsidRPr="006F2A4E" w:rsidRDefault="00434BB3" w:rsidP="004A3379">
      <w:pPr>
        <w:pStyle w:val="Bulletedlistguidance"/>
        <w:pBdr>
          <w:top w:val="single" w:sz="2" w:space="1" w:color="auto"/>
          <w:left w:val="single" w:sz="2" w:space="4" w:color="auto"/>
          <w:bottom w:val="single" w:sz="2" w:space="1" w:color="auto"/>
          <w:right w:val="single" w:sz="2" w:space="4" w:color="auto"/>
        </w:pBdr>
        <w:spacing w:before="120" w:line="240" w:lineRule="auto"/>
        <w:rPr>
          <w:sz w:val="18"/>
          <w:szCs w:val="18"/>
        </w:rPr>
      </w:pPr>
      <w:r w:rsidRPr="006F2A4E">
        <w:rPr>
          <w:sz w:val="18"/>
          <w:szCs w:val="18"/>
        </w:rPr>
        <w:t xml:space="preserve">The information provided has no official status and does not alter the laws of New Zealand, other official guidelines or requirements. </w:t>
      </w:r>
    </w:p>
    <w:p w14:paraId="405CE271" w14:textId="77777777" w:rsidR="00434BB3" w:rsidRPr="006F2A4E" w:rsidRDefault="00434BB3" w:rsidP="004A3379">
      <w:pPr>
        <w:pStyle w:val="Bulletedlistguidance"/>
        <w:pBdr>
          <w:top w:val="single" w:sz="2" w:space="1" w:color="auto"/>
          <w:left w:val="single" w:sz="2" w:space="4" w:color="auto"/>
          <w:bottom w:val="single" w:sz="2" w:space="1" w:color="auto"/>
          <w:right w:val="single" w:sz="2" w:space="4" w:color="auto"/>
        </w:pBdr>
        <w:spacing w:before="120" w:line="240" w:lineRule="auto"/>
        <w:rPr>
          <w:sz w:val="18"/>
          <w:szCs w:val="18"/>
        </w:rPr>
      </w:pPr>
      <w:r w:rsidRPr="006F2A4E">
        <w:rPr>
          <w:sz w:val="18"/>
          <w:szCs w:val="18"/>
        </w:rPr>
        <w:t xml:space="preserve">It does not constitute legal advice, and users should take specific advice from qualified professionals before taking any action as a result of information obtained from this publication. </w:t>
      </w:r>
    </w:p>
    <w:p w14:paraId="4667D04F" w14:textId="77777777" w:rsidR="00434BB3" w:rsidRPr="006F2A4E" w:rsidRDefault="00434BB3" w:rsidP="004A3379">
      <w:pPr>
        <w:pStyle w:val="Bulletedlistguidance"/>
        <w:pBdr>
          <w:top w:val="single" w:sz="2" w:space="1" w:color="auto"/>
          <w:left w:val="single" w:sz="2" w:space="4" w:color="auto"/>
          <w:bottom w:val="single" w:sz="2" w:space="1" w:color="auto"/>
          <w:right w:val="single" w:sz="2" w:space="4" w:color="auto"/>
        </w:pBdr>
        <w:spacing w:before="120" w:line="240" w:lineRule="auto"/>
        <w:rPr>
          <w:sz w:val="18"/>
          <w:szCs w:val="18"/>
        </w:rPr>
      </w:pPr>
      <w:r w:rsidRPr="006F2A4E">
        <w:rPr>
          <w:sz w:val="18"/>
          <w:szCs w:val="18"/>
        </w:rPr>
        <w:t xml:space="preserve">The Ministry for the Environment does not accept any responsibility or liability whatsoever whether in contract, tort, equity or otherwise for any action taken as a result of reading, or reliance placed on this publication because of having read any part, or all, of the information in this publication or for any error, or inadequacy, deficiency, flaw in or omission from the information provided in this publication. </w:t>
      </w:r>
    </w:p>
    <w:p w14:paraId="17AF3693" w14:textId="42FD5897" w:rsidR="00434BB3" w:rsidRDefault="00434BB3" w:rsidP="004A3379">
      <w:pPr>
        <w:pStyle w:val="Bulletedlistguidance"/>
        <w:pBdr>
          <w:top w:val="single" w:sz="2" w:space="1" w:color="auto"/>
          <w:left w:val="single" w:sz="2" w:space="4" w:color="auto"/>
          <w:bottom w:val="single" w:sz="2" w:space="1" w:color="auto"/>
          <w:right w:val="single" w:sz="2" w:space="4" w:color="auto"/>
        </w:pBdr>
        <w:spacing w:before="120" w:line="240" w:lineRule="auto"/>
        <w:rPr>
          <w:sz w:val="18"/>
          <w:szCs w:val="18"/>
        </w:rPr>
      </w:pPr>
      <w:r w:rsidRPr="006F2A4E">
        <w:rPr>
          <w:sz w:val="18"/>
          <w:szCs w:val="18"/>
        </w:rPr>
        <w:t xml:space="preserve">All references to websites, organisations or people not within the Ministry for the Environment are provided for convenience only and should not be taken as endorsement of those websites or information contained in those websites nor of organisations or people referred to. </w:t>
      </w:r>
      <w:bookmarkStart w:id="0" w:name="_GoBack"/>
      <w:bookmarkEnd w:id="0"/>
    </w:p>
    <w:p w14:paraId="0C3C7B04" w14:textId="77777777" w:rsidR="004A3379" w:rsidRPr="006F2A4E" w:rsidRDefault="004A3379" w:rsidP="004A3379">
      <w:pPr>
        <w:pStyle w:val="Bulletedlistguidance"/>
        <w:numPr>
          <w:ilvl w:val="0"/>
          <w:numId w:val="0"/>
        </w:numPr>
        <w:pBdr>
          <w:top w:val="single" w:sz="2" w:space="1" w:color="auto"/>
          <w:left w:val="single" w:sz="2" w:space="4" w:color="auto"/>
          <w:bottom w:val="single" w:sz="2" w:space="1" w:color="auto"/>
          <w:right w:val="single" w:sz="2" w:space="4" w:color="auto"/>
        </w:pBdr>
        <w:spacing w:before="120" w:line="240" w:lineRule="auto"/>
        <w:rPr>
          <w:sz w:val="18"/>
          <w:szCs w:val="18"/>
        </w:rPr>
      </w:pPr>
    </w:p>
    <w:p w14:paraId="58C0CBE4" w14:textId="77777777" w:rsidR="00600336" w:rsidRPr="00461B43" w:rsidRDefault="00600336" w:rsidP="00A6326E"/>
    <w:p w14:paraId="63CB9C63" w14:textId="742C089B" w:rsidR="00600336" w:rsidRDefault="00404C6E" w:rsidP="008B31F3">
      <w:pPr>
        <w:rPr>
          <w:rFonts w:asciiTheme="minorHAnsi" w:hAnsiTheme="minorHAnsi" w:cstheme="minorHAnsi"/>
          <w:sz w:val="18"/>
        </w:rPr>
      </w:pPr>
      <w:r w:rsidRPr="00404C6E">
        <w:rPr>
          <w:rFonts w:ascii="Calibri" w:hAnsi="Calibri"/>
          <w:sz w:val="18"/>
          <w:lang w:eastAsia="en-NZ"/>
        </w:rPr>
        <w:t xml:space="preserve">Published in </w:t>
      </w:r>
      <w:r w:rsidR="00736E33">
        <w:rPr>
          <w:rFonts w:ascii="Calibri" w:hAnsi="Calibri"/>
          <w:sz w:val="18"/>
          <w:lang w:eastAsia="en-NZ"/>
        </w:rPr>
        <w:t>April</w:t>
      </w:r>
      <w:r w:rsidRPr="00404C6E">
        <w:rPr>
          <w:rFonts w:ascii="Calibri" w:hAnsi="Calibri"/>
          <w:sz w:val="18"/>
          <w:lang w:eastAsia="en-NZ"/>
        </w:rPr>
        <w:t xml:space="preserve"> 201</w:t>
      </w:r>
      <w:r w:rsidR="00692E8A">
        <w:rPr>
          <w:rFonts w:ascii="Calibri" w:hAnsi="Calibri"/>
          <w:sz w:val="18"/>
          <w:lang w:eastAsia="en-NZ"/>
        </w:rPr>
        <w:t>9</w:t>
      </w:r>
      <w:r w:rsidRPr="00404C6E">
        <w:rPr>
          <w:rFonts w:ascii="Calibri" w:hAnsi="Calibri"/>
          <w:sz w:val="18"/>
          <w:lang w:eastAsia="en-NZ"/>
        </w:rPr>
        <w:t xml:space="preserve"> </w:t>
      </w:r>
      <w:r w:rsidR="002C4ED4">
        <w:rPr>
          <w:rFonts w:ascii="Calibri" w:hAnsi="Calibri"/>
          <w:sz w:val="18"/>
          <w:lang w:eastAsia="en-NZ"/>
        </w:rPr>
        <w:br/>
        <w:t>Updated in September 2020</w:t>
      </w:r>
      <w:r w:rsidR="002C4ED4">
        <w:rPr>
          <w:rFonts w:ascii="Calibri" w:hAnsi="Calibri"/>
          <w:sz w:val="18"/>
          <w:lang w:eastAsia="en-NZ"/>
        </w:rPr>
        <w:br/>
      </w:r>
      <w:r w:rsidRPr="00404C6E">
        <w:rPr>
          <w:rFonts w:ascii="Calibri" w:hAnsi="Calibri"/>
          <w:sz w:val="18"/>
          <w:lang w:eastAsia="en-NZ"/>
        </w:rPr>
        <w:t>by the</w:t>
      </w:r>
      <w:r w:rsidR="002C4ED4">
        <w:rPr>
          <w:rFonts w:ascii="Calibri" w:hAnsi="Calibri"/>
          <w:sz w:val="18"/>
          <w:lang w:eastAsia="en-NZ"/>
        </w:rPr>
        <w:t xml:space="preserve"> </w:t>
      </w:r>
      <w:r w:rsidR="009E3687" w:rsidRPr="008B31F3">
        <w:rPr>
          <w:rFonts w:asciiTheme="minorHAnsi" w:hAnsiTheme="minorHAnsi" w:cstheme="minorHAnsi"/>
          <w:sz w:val="18"/>
        </w:rPr>
        <w:t xml:space="preserve">Ministry for the </w:t>
      </w:r>
      <w:r w:rsidR="00353C36" w:rsidRPr="008B31F3">
        <w:rPr>
          <w:rFonts w:asciiTheme="minorHAnsi" w:hAnsiTheme="minorHAnsi" w:cstheme="minorHAnsi"/>
          <w:sz w:val="18"/>
        </w:rPr>
        <w:t xml:space="preserve">Environment </w:t>
      </w:r>
      <w:r w:rsidR="00353C36" w:rsidRPr="008B31F3">
        <w:rPr>
          <w:rFonts w:asciiTheme="minorHAnsi" w:hAnsiTheme="minorHAnsi" w:cstheme="minorHAnsi"/>
          <w:sz w:val="18"/>
        </w:rPr>
        <w:br/>
        <w:t>Publication number: INFO</w:t>
      </w:r>
      <w:r w:rsidR="00434BB3" w:rsidRPr="008B31F3">
        <w:rPr>
          <w:rFonts w:asciiTheme="minorHAnsi" w:hAnsiTheme="minorHAnsi" w:cstheme="minorHAnsi"/>
          <w:sz w:val="18"/>
        </w:rPr>
        <w:t xml:space="preserve"> </w:t>
      </w:r>
      <w:r w:rsidR="00C1424E">
        <w:rPr>
          <w:rFonts w:asciiTheme="minorHAnsi" w:hAnsiTheme="minorHAnsi" w:cstheme="minorHAnsi"/>
          <w:sz w:val="18"/>
        </w:rPr>
        <w:t>980</w:t>
      </w:r>
    </w:p>
    <w:p w14:paraId="005B4CA9" w14:textId="265346B0" w:rsidR="00353C36" w:rsidRDefault="00353C36" w:rsidP="008B31F3">
      <w:pPr>
        <w:rPr>
          <w:rFonts w:asciiTheme="minorHAnsi" w:hAnsiTheme="minorHAnsi" w:cstheme="minorHAnsi"/>
          <w:sz w:val="18"/>
        </w:rPr>
      </w:pPr>
      <w:r w:rsidRPr="008B31F3">
        <w:rPr>
          <w:rFonts w:asciiTheme="minorHAnsi" w:hAnsiTheme="minorHAnsi" w:cstheme="minorHAnsi"/>
          <w:sz w:val="18"/>
        </w:rPr>
        <w:t xml:space="preserve"> </w:t>
      </w:r>
    </w:p>
    <w:p w14:paraId="153E06AA" w14:textId="3389AC1A" w:rsidR="00353C36" w:rsidRPr="00353C36" w:rsidRDefault="00353C36" w:rsidP="00353C36">
      <w:pPr>
        <w:pStyle w:val="Imprint"/>
        <w:rPr>
          <w:sz w:val="20"/>
        </w:rPr>
      </w:pPr>
      <w:r>
        <w:rPr>
          <w:noProof/>
          <w:lang w:val="en-NZ"/>
        </w:rPr>
        <w:drawing>
          <wp:anchor distT="0" distB="0" distL="114300" distR="114300" simplePos="0" relativeHeight="251659264" behindDoc="1" locked="0" layoutInCell="1" allowOverlap="1" wp14:anchorId="57F75BCC" wp14:editId="293E9009">
            <wp:simplePos x="0" y="0"/>
            <wp:positionH relativeFrom="column">
              <wp:posOffset>3850640</wp:posOffset>
            </wp:positionH>
            <wp:positionV relativeFrom="paragraph">
              <wp:posOffset>727075</wp:posOffset>
            </wp:positionV>
            <wp:extent cx="1924050" cy="412115"/>
            <wp:effectExtent l="0" t="0" r="0" b="6985"/>
            <wp:wrapTight wrapText="bothSides">
              <wp:wrapPolygon edited="0">
                <wp:start x="0" y="0"/>
                <wp:lineTo x="0" y="20968"/>
                <wp:lineTo x="21386" y="20968"/>
                <wp:lineTo x="21386" y="0"/>
                <wp:lineTo x="0" y="0"/>
              </wp:wrapPolygon>
            </wp:wrapTight>
            <wp:docPr id="4" name="Picture 4" descr="All-of-govt_NZ_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l-of-govt_NZ_Gov"/>
                    <pic:cNvPicPr>
                      <a:picLocks noChangeAspect="1" noChangeArrowheads="1"/>
                    </pic:cNvPicPr>
                  </pic:nvPicPr>
                  <pic:blipFill>
                    <a:blip r:embed="rId22" cstate="print">
                      <a:extLst>
                        <a:ext uri="{28A0092B-C50C-407E-A947-70E740481C1C}">
                          <a14:useLocalDpi xmlns:a14="http://schemas.microsoft.com/office/drawing/2010/main" val="0"/>
                        </a:ext>
                      </a:extLst>
                    </a:blip>
                    <a:srcRect l="6377" b="21339"/>
                    <a:stretch>
                      <a:fillRect/>
                    </a:stretch>
                  </pic:blipFill>
                  <pic:spPr bwMode="auto">
                    <a:xfrm>
                      <a:off x="0" y="0"/>
                      <a:ext cx="1924050" cy="4121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en-NZ"/>
        </w:rPr>
        <w:drawing>
          <wp:inline distT="0" distB="0" distL="0" distR="0" wp14:anchorId="47897BB3" wp14:editId="64064666">
            <wp:extent cx="2667000" cy="1143000"/>
            <wp:effectExtent l="0" t="0" r="0" b="0"/>
            <wp:docPr id="1" name="Picture 1" descr="stacked-up-purpose-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up-purpose-lock-u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67000" cy="1143000"/>
                    </a:xfrm>
                    <a:prstGeom prst="rect">
                      <a:avLst/>
                    </a:prstGeom>
                    <a:noFill/>
                    <a:ln>
                      <a:noFill/>
                    </a:ln>
                  </pic:spPr>
                </pic:pic>
              </a:graphicData>
            </a:graphic>
          </wp:inline>
        </w:drawing>
      </w:r>
    </w:p>
    <w:sectPr w:rsidR="00353C36" w:rsidRPr="00353C36" w:rsidSect="00BD0F35">
      <w:footerReference w:type="even" r:id="rId24"/>
      <w:footerReference w:type="default" r:id="rId25"/>
      <w:type w:val="continuous"/>
      <w:pgSz w:w="11906" w:h="16838"/>
      <w:pgMar w:top="1440" w:right="1440" w:bottom="1440" w:left="1440"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23AA1" w14:textId="77777777" w:rsidR="00C86F0E" w:rsidRDefault="00C86F0E" w:rsidP="0015271E">
      <w:r>
        <w:separator/>
      </w:r>
    </w:p>
  </w:endnote>
  <w:endnote w:type="continuationSeparator" w:id="0">
    <w:p w14:paraId="1D0D7132" w14:textId="77777777" w:rsidR="00C86F0E" w:rsidRDefault="00C86F0E" w:rsidP="0015271E">
      <w:r>
        <w:continuationSeparator/>
      </w:r>
    </w:p>
  </w:endnote>
  <w:endnote w:type="continuationNotice" w:id="1">
    <w:p w14:paraId="0AB73D58" w14:textId="77777777" w:rsidR="00C86F0E" w:rsidRDefault="00C86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308880"/>
      <w:docPartObj>
        <w:docPartGallery w:val="Page Numbers (Bottom of Page)"/>
        <w:docPartUnique/>
      </w:docPartObj>
    </w:sdtPr>
    <w:sdtEndPr>
      <w:rPr>
        <w:rFonts w:asciiTheme="minorHAnsi" w:hAnsiTheme="minorHAnsi" w:cstheme="minorHAnsi"/>
        <w:noProof/>
        <w:sz w:val="18"/>
        <w:szCs w:val="18"/>
      </w:rPr>
    </w:sdtEndPr>
    <w:sdtContent>
      <w:p w14:paraId="35ED5D38" w14:textId="63214226" w:rsidR="00E51369" w:rsidRPr="00BD0F35" w:rsidRDefault="00BD0F35" w:rsidP="00BD0F35">
        <w:pPr>
          <w:pStyle w:val="Footer"/>
          <w:tabs>
            <w:tab w:val="clear" w:pos="4513"/>
            <w:tab w:val="left" w:pos="1276"/>
          </w:tabs>
          <w:rPr>
            <w:rFonts w:asciiTheme="minorHAnsi" w:hAnsiTheme="minorHAnsi" w:cstheme="minorHAnsi"/>
            <w:sz w:val="18"/>
            <w:szCs w:val="18"/>
          </w:rPr>
        </w:pPr>
        <w:r>
          <w:rPr>
            <w:rFonts w:asciiTheme="minorHAnsi" w:hAnsiTheme="minorHAnsi" w:cstheme="minorHAnsi"/>
            <w:noProof/>
            <w:sz w:val="16"/>
            <w:szCs w:val="16"/>
          </w:rPr>
          <w:t xml:space="preserve">Guidance for </w:t>
        </w:r>
        <w:r>
          <w:rPr>
            <w:rFonts w:asciiTheme="minorHAnsi" w:hAnsiTheme="minorHAnsi" w:cstheme="minorHAnsi"/>
            <w:sz w:val="16"/>
            <w:szCs w:val="16"/>
            <w:lang w:val="en-NZ"/>
          </w:rPr>
          <w:t>D</w:t>
        </w:r>
        <w:r w:rsidRPr="00432CC4">
          <w:rPr>
            <w:rFonts w:asciiTheme="minorHAnsi" w:hAnsiTheme="minorHAnsi" w:cstheme="minorHAnsi"/>
            <w:sz w:val="16"/>
            <w:szCs w:val="16"/>
            <w:lang w:val="en-NZ"/>
          </w:rPr>
          <w:t xml:space="preserve">istrict </w:t>
        </w:r>
        <w:r>
          <w:rPr>
            <w:rFonts w:asciiTheme="minorHAnsi" w:hAnsiTheme="minorHAnsi" w:cstheme="minorHAnsi"/>
            <w:sz w:val="16"/>
            <w:szCs w:val="16"/>
            <w:lang w:val="en-NZ"/>
          </w:rPr>
          <w:t>Plans Structure and Chapter Standard</w:t>
        </w:r>
        <w:r w:rsidRPr="00BD0F35">
          <w:rPr>
            <w:rFonts w:asciiTheme="minorHAnsi" w:hAnsiTheme="minorHAnsi" w:cstheme="minorHAnsi"/>
            <w:sz w:val="18"/>
            <w:szCs w:val="18"/>
          </w:rPr>
          <w:t xml:space="preserve"> </w:t>
        </w:r>
        <w:r>
          <w:rPr>
            <w:rFonts w:asciiTheme="minorHAnsi" w:hAnsiTheme="minorHAnsi" w:cstheme="minorHAnsi"/>
            <w:sz w:val="18"/>
            <w:szCs w:val="18"/>
          </w:rPr>
          <w:tab/>
        </w:r>
        <w:r w:rsidRPr="00BD0F35">
          <w:rPr>
            <w:rFonts w:asciiTheme="minorHAnsi" w:hAnsiTheme="minorHAnsi" w:cstheme="minorHAnsi"/>
            <w:sz w:val="18"/>
            <w:szCs w:val="18"/>
          </w:rPr>
          <w:fldChar w:fldCharType="begin"/>
        </w:r>
        <w:r w:rsidRPr="00BD0F35">
          <w:rPr>
            <w:rFonts w:asciiTheme="minorHAnsi" w:hAnsiTheme="minorHAnsi" w:cstheme="minorHAnsi"/>
            <w:sz w:val="18"/>
            <w:szCs w:val="18"/>
          </w:rPr>
          <w:instrText xml:space="preserve"> PAGE   \* MERGEFORMAT </w:instrText>
        </w:r>
        <w:r w:rsidRPr="00BD0F35">
          <w:rPr>
            <w:rFonts w:asciiTheme="minorHAnsi" w:hAnsiTheme="minorHAnsi" w:cstheme="minorHAnsi"/>
            <w:sz w:val="18"/>
            <w:szCs w:val="18"/>
          </w:rPr>
          <w:fldChar w:fldCharType="separate"/>
        </w:r>
        <w:r>
          <w:rPr>
            <w:rFonts w:asciiTheme="minorHAnsi" w:hAnsiTheme="minorHAnsi" w:cstheme="minorHAnsi"/>
            <w:noProof/>
            <w:sz w:val="18"/>
            <w:szCs w:val="18"/>
          </w:rPr>
          <w:t>6</w:t>
        </w:r>
        <w:r w:rsidRPr="00BD0F35">
          <w:rPr>
            <w:rFonts w:asciiTheme="minorHAnsi" w:hAnsiTheme="minorHAnsi" w:cstheme="minorHAnsi"/>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415594"/>
      <w:docPartObj>
        <w:docPartGallery w:val="Page Numbers (Bottom of Page)"/>
        <w:docPartUnique/>
      </w:docPartObj>
    </w:sdtPr>
    <w:sdtEndPr>
      <w:rPr>
        <w:noProof/>
      </w:rPr>
    </w:sdtEndPr>
    <w:sdtContent>
      <w:p w14:paraId="27EA3CAE" w14:textId="54889A87" w:rsidR="00E07F01" w:rsidRPr="00BD0F35" w:rsidRDefault="00E51369" w:rsidP="00BD0F35">
        <w:pPr>
          <w:pStyle w:val="Footer"/>
          <w:tabs>
            <w:tab w:val="clear" w:pos="4513"/>
            <w:tab w:val="center" w:pos="8647"/>
          </w:tabs>
          <w:ind w:left="142" w:hanging="142"/>
        </w:pPr>
        <w:r w:rsidRPr="00432CC4">
          <w:rPr>
            <w:rFonts w:asciiTheme="minorHAnsi" w:hAnsiTheme="minorHAnsi" w:cstheme="minorHAnsi"/>
            <w:sz w:val="16"/>
            <w:szCs w:val="16"/>
            <w:lang w:val="en-NZ"/>
          </w:rPr>
          <w:t xml:space="preserve">Guidance for </w:t>
        </w:r>
        <w:r w:rsidR="00B01967">
          <w:rPr>
            <w:rFonts w:asciiTheme="minorHAnsi" w:hAnsiTheme="minorHAnsi" w:cstheme="minorHAnsi"/>
            <w:sz w:val="16"/>
            <w:szCs w:val="16"/>
            <w:lang w:val="en-NZ"/>
          </w:rPr>
          <w:t>D</w:t>
        </w:r>
        <w:r w:rsidRPr="00432CC4">
          <w:rPr>
            <w:rFonts w:asciiTheme="minorHAnsi" w:hAnsiTheme="minorHAnsi" w:cstheme="minorHAnsi"/>
            <w:sz w:val="16"/>
            <w:szCs w:val="16"/>
            <w:lang w:val="en-NZ"/>
          </w:rPr>
          <w:t xml:space="preserve">istrict </w:t>
        </w:r>
        <w:r w:rsidR="00B01967">
          <w:rPr>
            <w:rFonts w:asciiTheme="minorHAnsi" w:hAnsiTheme="minorHAnsi" w:cstheme="minorHAnsi"/>
            <w:sz w:val="16"/>
            <w:szCs w:val="16"/>
            <w:lang w:val="en-NZ"/>
          </w:rPr>
          <w:t>P</w:t>
        </w:r>
        <w:r w:rsidR="0011042D">
          <w:rPr>
            <w:rFonts w:asciiTheme="minorHAnsi" w:hAnsiTheme="minorHAnsi" w:cstheme="minorHAnsi"/>
            <w:sz w:val="16"/>
            <w:szCs w:val="16"/>
            <w:lang w:val="en-NZ"/>
          </w:rPr>
          <w:t>lans</w:t>
        </w:r>
        <w:r w:rsidR="00B01967">
          <w:rPr>
            <w:rFonts w:asciiTheme="minorHAnsi" w:hAnsiTheme="minorHAnsi" w:cstheme="minorHAnsi"/>
            <w:sz w:val="16"/>
            <w:szCs w:val="16"/>
            <w:lang w:val="en-NZ"/>
          </w:rPr>
          <w:t xml:space="preserve"> </w:t>
        </w:r>
        <w:r w:rsidR="00680601">
          <w:rPr>
            <w:rFonts w:asciiTheme="minorHAnsi" w:hAnsiTheme="minorHAnsi" w:cstheme="minorHAnsi"/>
            <w:sz w:val="16"/>
            <w:szCs w:val="16"/>
            <w:lang w:val="en-NZ"/>
          </w:rPr>
          <w:t>S</w:t>
        </w:r>
        <w:r w:rsidR="00B01967">
          <w:rPr>
            <w:rFonts w:asciiTheme="minorHAnsi" w:hAnsiTheme="minorHAnsi" w:cstheme="minorHAnsi"/>
            <w:sz w:val="16"/>
            <w:szCs w:val="16"/>
            <w:lang w:val="en-NZ"/>
          </w:rPr>
          <w:t xml:space="preserve">tructure and </w:t>
        </w:r>
        <w:r w:rsidR="00680601">
          <w:rPr>
            <w:rFonts w:asciiTheme="minorHAnsi" w:hAnsiTheme="minorHAnsi" w:cstheme="minorHAnsi"/>
            <w:sz w:val="16"/>
            <w:szCs w:val="16"/>
            <w:lang w:val="en-NZ"/>
          </w:rPr>
          <w:t>C</w:t>
        </w:r>
        <w:r w:rsidR="00B01967">
          <w:rPr>
            <w:rFonts w:asciiTheme="minorHAnsi" w:hAnsiTheme="minorHAnsi" w:cstheme="minorHAnsi"/>
            <w:sz w:val="16"/>
            <w:szCs w:val="16"/>
            <w:lang w:val="en-NZ"/>
          </w:rPr>
          <w:t xml:space="preserve">hapter </w:t>
        </w:r>
        <w:r w:rsidR="00680601">
          <w:rPr>
            <w:rFonts w:asciiTheme="minorHAnsi" w:hAnsiTheme="minorHAnsi" w:cstheme="minorHAnsi"/>
            <w:sz w:val="16"/>
            <w:szCs w:val="16"/>
            <w:lang w:val="en-NZ"/>
          </w:rPr>
          <w:t>S</w:t>
        </w:r>
        <w:r w:rsidR="00B01967">
          <w:rPr>
            <w:rFonts w:asciiTheme="minorHAnsi" w:hAnsiTheme="minorHAnsi" w:cstheme="minorHAnsi"/>
            <w:sz w:val="16"/>
            <w:szCs w:val="16"/>
            <w:lang w:val="en-NZ"/>
          </w:rPr>
          <w:t>tandards</w:t>
        </w:r>
        <w:r>
          <w:rPr>
            <w:rFonts w:asciiTheme="minorHAnsi" w:hAnsiTheme="minorHAnsi" w:cstheme="minorHAnsi"/>
            <w:sz w:val="16"/>
            <w:szCs w:val="16"/>
            <w:lang w:val="en-NZ"/>
          </w:rPr>
          <w:tab/>
        </w:r>
        <w:r w:rsidRPr="0011042D">
          <w:rPr>
            <w:rFonts w:asciiTheme="minorHAnsi" w:hAnsiTheme="minorHAnsi" w:cstheme="minorHAnsi"/>
            <w:sz w:val="16"/>
            <w:szCs w:val="16"/>
          </w:rPr>
          <w:fldChar w:fldCharType="begin"/>
        </w:r>
        <w:r w:rsidRPr="0011042D">
          <w:rPr>
            <w:rFonts w:asciiTheme="minorHAnsi" w:hAnsiTheme="minorHAnsi" w:cstheme="minorHAnsi"/>
            <w:sz w:val="16"/>
            <w:szCs w:val="16"/>
          </w:rPr>
          <w:instrText xml:space="preserve"> PAGE   \* MERGEFORMAT </w:instrText>
        </w:r>
        <w:r w:rsidRPr="0011042D">
          <w:rPr>
            <w:rFonts w:asciiTheme="minorHAnsi" w:hAnsiTheme="minorHAnsi" w:cstheme="minorHAnsi"/>
            <w:sz w:val="16"/>
            <w:szCs w:val="16"/>
          </w:rPr>
          <w:fldChar w:fldCharType="separate"/>
        </w:r>
        <w:r w:rsidR="00BD0F35">
          <w:rPr>
            <w:rFonts w:asciiTheme="minorHAnsi" w:hAnsiTheme="minorHAnsi" w:cstheme="minorHAnsi"/>
            <w:noProof/>
            <w:sz w:val="16"/>
            <w:szCs w:val="16"/>
          </w:rPr>
          <w:t>7</w:t>
        </w:r>
        <w:r w:rsidRPr="0011042D">
          <w:rPr>
            <w:rFonts w:asciiTheme="minorHAnsi" w:hAnsiTheme="minorHAnsi" w:cstheme="minorHAnsi"/>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7E835" w14:textId="77777777" w:rsidR="00C86F0E" w:rsidRDefault="00C86F0E" w:rsidP="0015271E">
      <w:r>
        <w:separator/>
      </w:r>
    </w:p>
  </w:footnote>
  <w:footnote w:type="continuationSeparator" w:id="0">
    <w:p w14:paraId="49116615" w14:textId="77777777" w:rsidR="00C86F0E" w:rsidRDefault="00C86F0E" w:rsidP="0015271E">
      <w:r>
        <w:continuationSeparator/>
      </w:r>
    </w:p>
  </w:footnote>
  <w:footnote w:type="continuationNotice" w:id="1">
    <w:p w14:paraId="52A399E5" w14:textId="77777777" w:rsidR="00C86F0E" w:rsidRDefault="00C86F0E"/>
  </w:footnote>
  <w:footnote w:id="2">
    <w:p w14:paraId="31F31E97" w14:textId="6181DFC2" w:rsidR="00F70F8A" w:rsidRPr="00547305" w:rsidRDefault="00F70F8A" w:rsidP="00A6326E">
      <w:pPr>
        <w:pStyle w:val="FootnoteText"/>
        <w:ind w:left="284" w:hanging="284"/>
        <w:rPr>
          <w:sz w:val="18"/>
          <w:szCs w:val="18"/>
          <w:lang w:val="en-NZ"/>
        </w:rPr>
      </w:pPr>
      <w:r w:rsidRPr="00A6326E">
        <w:rPr>
          <w:rStyle w:val="FootnoteReference"/>
          <w:rFonts w:asciiTheme="minorHAnsi" w:hAnsiTheme="minorHAnsi"/>
          <w:sz w:val="22"/>
        </w:rPr>
        <w:footnoteRef/>
      </w:r>
      <w:r w:rsidRPr="00A6326E">
        <w:rPr>
          <w:sz w:val="22"/>
        </w:rPr>
        <w:t xml:space="preserve"> </w:t>
      </w:r>
      <w:r w:rsidR="00E76722" w:rsidRPr="00547305">
        <w:rPr>
          <w:sz w:val="18"/>
          <w:szCs w:val="18"/>
        </w:rPr>
        <w:tab/>
      </w:r>
      <w:r w:rsidRPr="00A6326E">
        <w:rPr>
          <w:rFonts w:asciiTheme="minorHAnsi" w:hAnsiTheme="minorHAnsi"/>
          <w:sz w:val="19"/>
          <w:lang w:val="en-NZ"/>
        </w:rPr>
        <w:t xml:space="preserve">This is likely to be basic, introductory information and </w:t>
      </w:r>
      <w:r w:rsidR="00584EC8" w:rsidRPr="00A6326E">
        <w:rPr>
          <w:rFonts w:asciiTheme="minorHAnsi" w:hAnsiTheme="minorHAnsi"/>
          <w:sz w:val="19"/>
          <w:lang w:val="en-NZ"/>
        </w:rPr>
        <w:t xml:space="preserve">may be cross-referenced to the </w:t>
      </w:r>
      <w:r w:rsidR="00584EC8" w:rsidRPr="00A6326E">
        <w:rPr>
          <w:rFonts w:asciiTheme="minorHAnsi" w:hAnsiTheme="minorHAnsi"/>
          <w:i/>
          <w:sz w:val="19"/>
          <w:lang w:val="en-NZ"/>
        </w:rPr>
        <w:t>T</w:t>
      </w:r>
      <w:r w:rsidRPr="00A6326E">
        <w:rPr>
          <w:rFonts w:asciiTheme="minorHAnsi" w:hAnsiTheme="minorHAnsi"/>
          <w:i/>
          <w:sz w:val="19"/>
          <w:lang w:val="en-NZ"/>
        </w:rPr>
        <w:t>angata whenua/mana whenua</w:t>
      </w:r>
      <w:r w:rsidRPr="00A6326E">
        <w:rPr>
          <w:rFonts w:asciiTheme="minorHAnsi" w:hAnsiTheme="minorHAnsi"/>
          <w:sz w:val="19"/>
          <w:lang w:val="en-NZ"/>
        </w:rPr>
        <w:t xml:space="preserve"> heading</w:t>
      </w:r>
      <w:r w:rsidR="00E76722">
        <w:rPr>
          <w:rFonts w:asciiTheme="minorHAnsi" w:hAnsiTheme="minorHAnsi" w:cstheme="minorHAnsi"/>
          <w:sz w:val="18"/>
          <w:szCs w:val="18"/>
          <w:lang w:val="en-NZ"/>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D1308"/>
    <w:multiLevelType w:val="hybridMultilevel"/>
    <w:tmpl w:val="037CECA6"/>
    <w:lvl w:ilvl="0" w:tplc="44F2880A">
      <w:start w:val="1"/>
      <w:numFmt w:val="bullet"/>
      <w:pStyle w:val="Bulletedlistguidance"/>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2" w15:restartNumberingAfterBreak="0">
    <w:nsid w:val="2DAA0C60"/>
    <w:multiLevelType w:val="hybridMultilevel"/>
    <w:tmpl w:val="DD3AA4AC"/>
    <w:lvl w:ilvl="0" w:tplc="1409000F">
      <w:start w:val="1"/>
      <w:numFmt w:val="decimal"/>
      <w:lvlText w:val="%1."/>
      <w:lvlJc w:val="left"/>
      <w:pPr>
        <w:ind w:left="360" w:hanging="360"/>
      </w:pPr>
    </w:lvl>
    <w:lvl w:ilvl="1" w:tplc="14090019">
      <w:start w:val="1"/>
      <w:numFmt w:val="lowerLetter"/>
      <w:lvlText w:val="%2."/>
      <w:lvlJc w:val="left"/>
      <w:pPr>
        <w:ind w:left="851"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362D0F30"/>
    <w:multiLevelType w:val="hybridMultilevel"/>
    <w:tmpl w:val="09207AC2"/>
    <w:lvl w:ilvl="0" w:tplc="EA3A7494">
      <w:start w:val="1"/>
      <w:numFmt w:val="lowerLetter"/>
      <w:pStyle w:val="Mandatorydirectionsub-list"/>
      <w:lvlText w:val="%1."/>
      <w:lvlJc w:val="left"/>
      <w:pPr>
        <w:ind w:left="757" w:hanging="360"/>
      </w:pPr>
      <w:rPr>
        <w:rFonts w:hint="default"/>
        <w:b w:val="0"/>
        <w:color w:val="auto"/>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465A16"/>
    <w:multiLevelType w:val="multilevel"/>
    <w:tmpl w:val="D020FF8E"/>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
      <w:lvlJc w:val="left"/>
      <w:pPr>
        <w:ind w:left="144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DB50EDB"/>
    <w:multiLevelType w:val="hybridMultilevel"/>
    <w:tmpl w:val="137AB0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6F32B9"/>
    <w:multiLevelType w:val="hybridMultilevel"/>
    <w:tmpl w:val="38FEC76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360" w:hanging="360"/>
      </w:pPr>
      <w:rPr>
        <w:rFonts w:ascii="Courier New" w:hAnsi="Courier New" w:cs="Courier New" w:hint="default"/>
      </w:rPr>
    </w:lvl>
    <w:lvl w:ilvl="2" w:tplc="14090005">
      <w:start w:val="1"/>
      <w:numFmt w:val="bullet"/>
      <w:lvlText w:val=""/>
      <w:lvlJc w:val="left"/>
      <w:pPr>
        <w:ind w:left="1080" w:hanging="360"/>
      </w:pPr>
      <w:rPr>
        <w:rFonts w:ascii="Wingdings" w:hAnsi="Wingdings" w:hint="default"/>
      </w:rPr>
    </w:lvl>
    <w:lvl w:ilvl="3" w:tplc="14090001">
      <w:start w:val="1"/>
      <w:numFmt w:val="bullet"/>
      <w:lvlText w:val=""/>
      <w:lvlJc w:val="left"/>
      <w:pPr>
        <w:ind w:left="1800" w:hanging="360"/>
      </w:pPr>
      <w:rPr>
        <w:rFonts w:ascii="Symbol" w:hAnsi="Symbol" w:hint="default"/>
      </w:rPr>
    </w:lvl>
    <w:lvl w:ilvl="4" w:tplc="14090003">
      <w:start w:val="1"/>
      <w:numFmt w:val="bullet"/>
      <w:lvlText w:val="o"/>
      <w:lvlJc w:val="left"/>
      <w:pPr>
        <w:ind w:left="2520" w:hanging="360"/>
      </w:pPr>
      <w:rPr>
        <w:rFonts w:ascii="Courier New" w:hAnsi="Courier New" w:cs="Courier New" w:hint="default"/>
      </w:rPr>
    </w:lvl>
    <w:lvl w:ilvl="5" w:tplc="14090005">
      <w:start w:val="1"/>
      <w:numFmt w:val="bullet"/>
      <w:lvlText w:val=""/>
      <w:lvlJc w:val="left"/>
      <w:pPr>
        <w:ind w:left="3240" w:hanging="360"/>
      </w:pPr>
      <w:rPr>
        <w:rFonts w:ascii="Wingdings" w:hAnsi="Wingdings" w:hint="default"/>
      </w:rPr>
    </w:lvl>
    <w:lvl w:ilvl="6" w:tplc="14090001">
      <w:start w:val="1"/>
      <w:numFmt w:val="bullet"/>
      <w:lvlText w:val=""/>
      <w:lvlJc w:val="left"/>
      <w:pPr>
        <w:ind w:left="3960" w:hanging="360"/>
      </w:pPr>
      <w:rPr>
        <w:rFonts w:ascii="Symbol" w:hAnsi="Symbol" w:hint="default"/>
      </w:rPr>
    </w:lvl>
    <w:lvl w:ilvl="7" w:tplc="14090003">
      <w:start w:val="1"/>
      <w:numFmt w:val="bullet"/>
      <w:lvlText w:val="o"/>
      <w:lvlJc w:val="left"/>
      <w:pPr>
        <w:ind w:left="4680" w:hanging="360"/>
      </w:pPr>
      <w:rPr>
        <w:rFonts w:ascii="Courier New" w:hAnsi="Courier New" w:cs="Courier New" w:hint="default"/>
      </w:rPr>
    </w:lvl>
    <w:lvl w:ilvl="8" w:tplc="14090005">
      <w:start w:val="1"/>
      <w:numFmt w:val="bullet"/>
      <w:lvlText w:val=""/>
      <w:lvlJc w:val="left"/>
      <w:pPr>
        <w:ind w:left="5400" w:hanging="360"/>
      </w:pPr>
      <w:rPr>
        <w:rFonts w:ascii="Wingdings" w:hAnsi="Wingdings" w:hint="default"/>
      </w:rPr>
    </w:lvl>
  </w:abstractNum>
  <w:abstractNum w:abstractNumId="8" w15:restartNumberingAfterBreak="0">
    <w:nsid w:val="6A1E5CBE"/>
    <w:multiLevelType w:val="multilevel"/>
    <w:tmpl w:val="629A4B2C"/>
    <w:lvl w:ilvl="0">
      <w:start w:val="1"/>
      <w:numFmt w:val="decimal"/>
      <w:pStyle w:val="MandatoryDirectionBullet"/>
      <w:lvlText w:val="%1."/>
      <w:lvlJc w:val="left"/>
      <w:pPr>
        <w:ind w:left="360" w:hanging="360"/>
      </w:pPr>
      <w:rPr>
        <w:rFonts w:asciiTheme="minorHAnsi" w:hAnsiTheme="minorHAnsi" w:cstheme="minorHAnsi" w:hint="default"/>
        <w:b w:val="0"/>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3"/>
  </w:num>
  <w:num w:numId="5">
    <w:abstractNumId w:val="8"/>
  </w:num>
  <w:num w:numId="6">
    <w:abstractNumId w:val="0"/>
  </w:num>
  <w:num w:numId="7">
    <w:abstractNumId w:val="2"/>
  </w:num>
  <w:num w:numId="8">
    <w:abstractNumId w:val="5"/>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F9C"/>
    <w:rsid w:val="00003ADE"/>
    <w:rsid w:val="0001498C"/>
    <w:rsid w:val="00017DA3"/>
    <w:rsid w:val="00023ADD"/>
    <w:rsid w:val="00023E26"/>
    <w:rsid w:val="000244E7"/>
    <w:rsid w:val="00025FFB"/>
    <w:rsid w:val="000265A7"/>
    <w:rsid w:val="000267F4"/>
    <w:rsid w:val="0003128B"/>
    <w:rsid w:val="000426F4"/>
    <w:rsid w:val="00043989"/>
    <w:rsid w:val="00046548"/>
    <w:rsid w:val="00047BEC"/>
    <w:rsid w:val="00050378"/>
    <w:rsid w:val="0005608F"/>
    <w:rsid w:val="00064E03"/>
    <w:rsid w:val="0006620B"/>
    <w:rsid w:val="00066285"/>
    <w:rsid w:val="000671FF"/>
    <w:rsid w:val="00067ABB"/>
    <w:rsid w:val="00080189"/>
    <w:rsid w:val="00081620"/>
    <w:rsid w:val="000838AA"/>
    <w:rsid w:val="0009175D"/>
    <w:rsid w:val="00092A3D"/>
    <w:rsid w:val="000950B8"/>
    <w:rsid w:val="000961AF"/>
    <w:rsid w:val="000A4351"/>
    <w:rsid w:val="000A5845"/>
    <w:rsid w:val="000A6B2F"/>
    <w:rsid w:val="000B6FFA"/>
    <w:rsid w:val="000C1070"/>
    <w:rsid w:val="000C47D3"/>
    <w:rsid w:val="000E09DA"/>
    <w:rsid w:val="000E2578"/>
    <w:rsid w:val="000F33DD"/>
    <w:rsid w:val="000F38F4"/>
    <w:rsid w:val="000F49D2"/>
    <w:rsid w:val="000F6635"/>
    <w:rsid w:val="001024C7"/>
    <w:rsid w:val="00102E29"/>
    <w:rsid w:val="00106F6A"/>
    <w:rsid w:val="0011042D"/>
    <w:rsid w:val="00113A12"/>
    <w:rsid w:val="0012046B"/>
    <w:rsid w:val="0012213B"/>
    <w:rsid w:val="00125EFA"/>
    <w:rsid w:val="00133C28"/>
    <w:rsid w:val="00134338"/>
    <w:rsid w:val="00135C65"/>
    <w:rsid w:val="001404F3"/>
    <w:rsid w:val="00142F4E"/>
    <w:rsid w:val="0014339E"/>
    <w:rsid w:val="001444D1"/>
    <w:rsid w:val="00144595"/>
    <w:rsid w:val="00145058"/>
    <w:rsid w:val="0015271E"/>
    <w:rsid w:val="001672A1"/>
    <w:rsid w:val="00183308"/>
    <w:rsid w:val="001859B6"/>
    <w:rsid w:val="00187673"/>
    <w:rsid w:val="00187AB8"/>
    <w:rsid w:val="00194A08"/>
    <w:rsid w:val="00194C71"/>
    <w:rsid w:val="00195A36"/>
    <w:rsid w:val="00196430"/>
    <w:rsid w:val="001969E1"/>
    <w:rsid w:val="001B4A63"/>
    <w:rsid w:val="001C18CA"/>
    <w:rsid w:val="001C6F53"/>
    <w:rsid w:val="001D1B69"/>
    <w:rsid w:val="001E572D"/>
    <w:rsid w:val="001E5987"/>
    <w:rsid w:val="001E6876"/>
    <w:rsid w:val="001F12F9"/>
    <w:rsid w:val="002001C6"/>
    <w:rsid w:val="002054B5"/>
    <w:rsid w:val="00210E59"/>
    <w:rsid w:val="00216277"/>
    <w:rsid w:val="00220C21"/>
    <w:rsid w:val="00225782"/>
    <w:rsid w:val="00225955"/>
    <w:rsid w:val="00230B90"/>
    <w:rsid w:val="002419DA"/>
    <w:rsid w:val="00244895"/>
    <w:rsid w:val="002620E8"/>
    <w:rsid w:val="002636EF"/>
    <w:rsid w:val="00263C51"/>
    <w:rsid w:val="00264895"/>
    <w:rsid w:val="00264FFB"/>
    <w:rsid w:val="002715D1"/>
    <w:rsid w:val="00272796"/>
    <w:rsid w:val="00277545"/>
    <w:rsid w:val="00280DDC"/>
    <w:rsid w:val="00285CD3"/>
    <w:rsid w:val="002877CB"/>
    <w:rsid w:val="00291A11"/>
    <w:rsid w:val="00291ED4"/>
    <w:rsid w:val="00293964"/>
    <w:rsid w:val="00295585"/>
    <w:rsid w:val="002A3D6A"/>
    <w:rsid w:val="002A4168"/>
    <w:rsid w:val="002A6CD9"/>
    <w:rsid w:val="002A6DF0"/>
    <w:rsid w:val="002B0B53"/>
    <w:rsid w:val="002B23E0"/>
    <w:rsid w:val="002B5AE4"/>
    <w:rsid w:val="002C4ED4"/>
    <w:rsid w:val="002C71EF"/>
    <w:rsid w:val="002D0B5D"/>
    <w:rsid w:val="002D35D1"/>
    <w:rsid w:val="002D7321"/>
    <w:rsid w:val="002E0BDC"/>
    <w:rsid w:val="002E2D4B"/>
    <w:rsid w:val="002F0163"/>
    <w:rsid w:val="00303D7E"/>
    <w:rsid w:val="00307255"/>
    <w:rsid w:val="00311370"/>
    <w:rsid w:val="00314FFE"/>
    <w:rsid w:val="0032060B"/>
    <w:rsid w:val="00321085"/>
    <w:rsid w:val="00321D5C"/>
    <w:rsid w:val="00325599"/>
    <w:rsid w:val="0033235C"/>
    <w:rsid w:val="00336DC9"/>
    <w:rsid w:val="003422DA"/>
    <w:rsid w:val="00352901"/>
    <w:rsid w:val="00353A74"/>
    <w:rsid w:val="00353C36"/>
    <w:rsid w:val="00355EC8"/>
    <w:rsid w:val="00360DE4"/>
    <w:rsid w:val="00362B7B"/>
    <w:rsid w:val="0036594D"/>
    <w:rsid w:val="003673BF"/>
    <w:rsid w:val="00372072"/>
    <w:rsid w:val="003741C0"/>
    <w:rsid w:val="00383528"/>
    <w:rsid w:val="00393862"/>
    <w:rsid w:val="0039434D"/>
    <w:rsid w:val="00395FE3"/>
    <w:rsid w:val="003A1F13"/>
    <w:rsid w:val="003A2F1E"/>
    <w:rsid w:val="003B216B"/>
    <w:rsid w:val="003C5C64"/>
    <w:rsid w:val="003C6502"/>
    <w:rsid w:val="003D366C"/>
    <w:rsid w:val="003D497D"/>
    <w:rsid w:val="003D5A73"/>
    <w:rsid w:val="003E284F"/>
    <w:rsid w:val="003E559B"/>
    <w:rsid w:val="003F1ED8"/>
    <w:rsid w:val="00402EF0"/>
    <w:rsid w:val="00404C6E"/>
    <w:rsid w:val="004071E7"/>
    <w:rsid w:val="00412464"/>
    <w:rsid w:val="0042145B"/>
    <w:rsid w:val="00422F66"/>
    <w:rsid w:val="00425927"/>
    <w:rsid w:val="00426032"/>
    <w:rsid w:val="00432957"/>
    <w:rsid w:val="00434BB3"/>
    <w:rsid w:val="00435590"/>
    <w:rsid w:val="00435E7F"/>
    <w:rsid w:val="00441D1A"/>
    <w:rsid w:val="0044243D"/>
    <w:rsid w:val="00444625"/>
    <w:rsid w:val="0044548D"/>
    <w:rsid w:val="004566B6"/>
    <w:rsid w:val="00457482"/>
    <w:rsid w:val="00457FFE"/>
    <w:rsid w:val="004604EA"/>
    <w:rsid w:val="00461223"/>
    <w:rsid w:val="00461B43"/>
    <w:rsid w:val="004628BE"/>
    <w:rsid w:val="00462ADC"/>
    <w:rsid w:val="00467E73"/>
    <w:rsid w:val="004713B8"/>
    <w:rsid w:val="004813E9"/>
    <w:rsid w:val="00482F7C"/>
    <w:rsid w:val="00491909"/>
    <w:rsid w:val="00496E42"/>
    <w:rsid w:val="004976EE"/>
    <w:rsid w:val="004A1694"/>
    <w:rsid w:val="004A3379"/>
    <w:rsid w:val="004A4BEF"/>
    <w:rsid w:val="004A58BD"/>
    <w:rsid w:val="004A6D1F"/>
    <w:rsid w:val="004A6E8B"/>
    <w:rsid w:val="004A7379"/>
    <w:rsid w:val="004B3572"/>
    <w:rsid w:val="004B4A05"/>
    <w:rsid w:val="004B5B9E"/>
    <w:rsid w:val="004B5CA0"/>
    <w:rsid w:val="004B667B"/>
    <w:rsid w:val="004C27AE"/>
    <w:rsid w:val="004D1A11"/>
    <w:rsid w:val="004D2239"/>
    <w:rsid w:val="004D3537"/>
    <w:rsid w:val="004E2C81"/>
    <w:rsid w:val="004E3EE6"/>
    <w:rsid w:val="004E436A"/>
    <w:rsid w:val="004E549E"/>
    <w:rsid w:val="004E7E0D"/>
    <w:rsid w:val="004F11F8"/>
    <w:rsid w:val="004F3D6D"/>
    <w:rsid w:val="004F4EC5"/>
    <w:rsid w:val="004F54B1"/>
    <w:rsid w:val="00500C45"/>
    <w:rsid w:val="00503482"/>
    <w:rsid w:val="00504EF1"/>
    <w:rsid w:val="00511688"/>
    <w:rsid w:val="0051474B"/>
    <w:rsid w:val="00514BA0"/>
    <w:rsid w:val="00517AD3"/>
    <w:rsid w:val="00522527"/>
    <w:rsid w:val="005341D3"/>
    <w:rsid w:val="0053685C"/>
    <w:rsid w:val="0054646D"/>
    <w:rsid w:val="00547305"/>
    <w:rsid w:val="00550BDB"/>
    <w:rsid w:val="005520E3"/>
    <w:rsid w:val="005573D9"/>
    <w:rsid w:val="00557448"/>
    <w:rsid w:val="005604EC"/>
    <w:rsid w:val="005610EA"/>
    <w:rsid w:val="00561872"/>
    <w:rsid w:val="00566C91"/>
    <w:rsid w:val="005672DA"/>
    <w:rsid w:val="005722FF"/>
    <w:rsid w:val="005752D3"/>
    <w:rsid w:val="00576A7F"/>
    <w:rsid w:val="005775BB"/>
    <w:rsid w:val="005810D7"/>
    <w:rsid w:val="005823BA"/>
    <w:rsid w:val="00584EC8"/>
    <w:rsid w:val="00585973"/>
    <w:rsid w:val="005A1652"/>
    <w:rsid w:val="005A5156"/>
    <w:rsid w:val="005A5FA4"/>
    <w:rsid w:val="005B0498"/>
    <w:rsid w:val="005B07F2"/>
    <w:rsid w:val="005B1F49"/>
    <w:rsid w:val="005B3C45"/>
    <w:rsid w:val="005B4A74"/>
    <w:rsid w:val="005C22A4"/>
    <w:rsid w:val="005C3391"/>
    <w:rsid w:val="005C5451"/>
    <w:rsid w:val="005C5CF7"/>
    <w:rsid w:val="005C79B9"/>
    <w:rsid w:val="005D022A"/>
    <w:rsid w:val="005D3B3C"/>
    <w:rsid w:val="005F067E"/>
    <w:rsid w:val="005F28F6"/>
    <w:rsid w:val="005F457F"/>
    <w:rsid w:val="005F7C43"/>
    <w:rsid w:val="00600336"/>
    <w:rsid w:val="00600BFD"/>
    <w:rsid w:val="00603B6B"/>
    <w:rsid w:val="00610AB6"/>
    <w:rsid w:val="00611A94"/>
    <w:rsid w:val="0061488A"/>
    <w:rsid w:val="006260EC"/>
    <w:rsid w:val="006419CA"/>
    <w:rsid w:val="00641F12"/>
    <w:rsid w:val="00644D97"/>
    <w:rsid w:val="00645A69"/>
    <w:rsid w:val="00646826"/>
    <w:rsid w:val="00652CD2"/>
    <w:rsid w:val="00670727"/>
    <w:rsid w:val="00670804"/>
    <w:rsid w:val="00670ED9"/>
    <w:rsid w:val="006712B9"/>
    <w:rsid w:val="006744C0"/>
    <w:rsid w:val="006746A6"/>
    <w:rsid w:val="00675FB9"/>
    <w:rsid w:val="00677D54"/>
    <w:rsid w:val="00680601"/>
    <w:rsid w:val="0068628A"/>
    <w:rsid w:val="00690644"/>
    <w:rsid w:val="00691341"/>
    <w:rsid w:val="0069266C"/>
    <w:rsid w:val="00692E8A"/>
    <w:rsid w:val="006A05E1"/>
    <w:rsid w:val="006A1FEB"/>
    <w:rsid w:val="006A7F1B"/>
    <w:rsid w:val="006B0DFC"/>
    <w:rsid w:val="006B144D"/>
    <w:rsid w:val="006B175C"/>
    <w:rsid w:val="006B3FB3"/>
    <w:rsid w:val="006C2820"/>
    <w:rsid w:val="006D0A77"/>
    <w:rsid w:val="006D143F"/>
    <w:rsid w:val="006D2E26"/>
    <w:rsid w:val="006D4701"/>
    <w:rsid w:val="006D5158"/>
    <w:rsid w:val="006D720A"/>
    <w:rsid w:val="006D751E"/>
    <w:rsid w:val="006E2884"/>
    <w:rsid w:val="006F1160"/>
    <w:rsid w:val="006F1A29"/>
    <w:rsid w:val="006F1EF9"/>
    <w:rsid w:val="006F3A8E"/>
    <w:rsid w:val="00700DA3"/>
    <w:rsid w:val="007017A5"/>
    <w:rsid w:val="0070261D"/>
    <w:rsid w:val="0070398B"/>
    <w:rsid w:val="00704715"/>
    <w:rsid w:val="007047B8"/>
    <w:rsid w:val="007067EC"/>
    <w:rsid w:val="00711DC9"/>
    <w:rsid w:val="00712736"/>
    <w:rsid w:val="007164D9"/>
    <w:rsid w:val="00720E0B"/>
    <w:rsid w:val="00723A83"/>
    <w:rsid w:val="00730B78"/>
    <w:rsid w:val="00734BE9"/>
    <w:rsid w:val="0073592F"/>
    <w:rsid w:val="00735F61"/>
    <w:rsid w:val="00736E33"/>
    <w:rsid w:val="00737C1C"/>
    <w:rsid w:val="00740A15"/>
    <w:rsid w:val="0074153D"/>
    <w:rsid w:val="00741EA5"/>
    <w:rsid w:val="00741FCB"/>
    <w:rsid w:val="00745136"/>
    <w:rsid w:val="00746283"/>
    <w:rsid w:val="00746AF1"/>
    <w:rsid w:val="007634BB"/>
    <w:rsid w:val="00764AB2"/>
    <w:rsid w:val="00766FA1"/>
    <w:rsid w:val="00767011"/>
    <w:rsid w:val="00767C20"/>
    <w:rsid w:val="00771B3D"/>
    <w:rsid w:val="00776479"/>
    <w:rsid w:val="00780B8F"/>
    <w:rsid w:val="007813C5"/>
    <w:rsid w:val="00781F50"/>
    <w:rsid w:val="0078659A"/>
    <w:rsid w:val="00786BE8"/>
    <w:rsid w:val="0079546C"/>
    <w:rsid w:val="00797BC1"/>
    <w:rsid w:val="007B1517"/>
    <w:rsid w:val="007B6897"/>
    <w:rsid w:val="007C6A7E"/>
    <w:rsid w:val="007C6F9C"/>
    <w:rsid w:val="007C7DCC"/>
    <w:rsid w:val="007D2E64"/>
    <w:rsid w:val="007D4C2D"/>
    <w:rsid w:val="007D7F00"/>
    <w:rsid w:val="007E29BF"/>
    <w:rsid w:val="007E2EF8"/>
    <w:rsid w:val="007E37AA"/>
    <w:rsid w:val="007E3C82"/>
    <w:rsid w:val="007E7B26"/>
    <w:rsid w:val="007F4AC8"/>
    <w:rsid w:val="00801762"/>
    <w:rsid w:val="008100C3"/>
    <w:rsid w:val="008165EC"/>
    <w:rsid w:val="00816FF2"/>
    <w:rsid w:val="00820F1B"/>
    <w:rsid w:val="00821525"/>
    <w:rsid w:val="00823D89"/>
    <w:rsid w:val="008262B5"/>
    <w:rsid w:val="008264AC"/>
    <w:rsid w:val="008324AC"/>
    <w:rsid w:val="008329CA"/>
    <w:rsid w:val="00833983"/>
    <w:rsid w:val="00833E10"/>
    <w:rsid w:val="00834AE6"/>
    <w:rsid w:val="008362BE"/>
    <w:rsid w:val="0084072F"/>
    <w:rsid w:val="008424B3"/>
    <w:rsid w:val="008433D5"/>
    <w:rsid w:val="008443F9"/>
    <w:rsid w:val="0084627E"/>
    <w:rsid w:val="00851753"/>
    <w:rsid w:val="0085321A"/>
    <w:rsid w:val="00853ECC"/>
    <w:rsid w:val="00860804"/>
    <w:rsid w:val="00866E54"/>
    <w:rsid w:val="0088050D"/>
    <w:rsid w:val="00885BDF"/>
    <w:rsid w:val="0089361E"/>
    <w:rsid w:val="008966B2"/>
    <w:rsid w:val="0089683A"/>
    <w:rsid w:val="008A4068"/>
    <w:rsid w:val="008B31F3"/>
    <w:rsid w:val="008B5209"/>
    <w:rsid w:val="008B6BC0"/>
    <w:rsid w:val="008B6E74"/>
    <w:rsid w:val="008B7DFE"/>
    <w:rsid w:val="008C2538"/>
    <w:rsid w:val="008D25F7"/>
    <w:rsid w:val="008D35AF"/>
    <w:rsid w:val="008D383F"/>
    <w:rsid w:val="008D727F"/>
    <w:rsid w:val="008E1669"/>
    <w:rsid w:val="008E4677"/>
    <w:rsid w:val="008F169C"/>
    <w:rsid w:val="008F2BC5"/>
    <w:rsid w:val="008F432A"/>
    <w:rsid w:val="00900EFC"/>
    <w:rsid w:val="0090127A"/>
    <w:rsid w:val="00905426"/>
    <w:rsid w:val="009108BD"/>
    <w:rsid w:val="00912B79"/>
    <w:rsid w:val="00913A4A"/>
    <w:rsid w:val="00914C2B"/>
    <w:rsid w:val="00932903"/>
    <w:rsid w:val="00936691"/>
    <w:rsid w:val="009371B4"/>
    <w:rsid w:val="00942AE9"/>
    <w:rsid w:val="00942D92"/>
    <w:rsid w:val="00943842"/>
    <w:rsid w:val="00954F13"/>
    <w:rsid w:val="009604AF"/>
    <w:rsid w:val="009607E1"/>
    <w:rsid w:val="00961021"/>
    <w:rsid w:val="00962B1A"/>
    <w:rsid w:val="009657D9"/>
    <w:rsid w:val="0097098B"/>
    <w:rsid w:val="00971723"/>
    <w:rsid w:val="00972AEE"/>
    <w:rsid w:val="00977159"/>
    <w:rsid w:val="0098030B"/>
    <w:rsid w:val="00981930"/>
    <w:rsid w:val="009835CA"/>
    <w:rsid w:val="0098448A"/>
    <w:rsid w:val="00984DE0"/>
    <w:rsid w:val="00987843"/>
    <w:rsid w:val="0099214F"/>
    <w:rsid w:val="009A0A71"/>
    <w:rsid w:val="009A0E94"/>
    <w:rsid w:val="009B7A38"/>
    <w:rsid w:val="009C525B"/>
    <w:rsid w:val="009C626F"/>
    <w:rsid w:val="009D205C"/>
    <w:rsid w:val="009D20EE"/>
    <w:rsid w:val="009E3687"/>
    <w:rsid w:val="009E7769"/>
    <w:rsid w:val="009E7B46"/>
    <w:rsid w:val="009F2D08"/>
    <w:rsid w:val="00A059B8"/>
    <w:rsid w:val="00A07645"/>
    <w:rsid w:val="00A1281F"/>
    <w:rsid w:val="00A1712A"/>
    <w:rsid w:val="00A17DBC"/>
    <w:rsid w:val="00A214CF"/>
    <w:rsid w:val="00A220DF"/>
    <w:rsid w:val="00A3086B"/>
    <w:rsid w:val="00A32FB4"/>
    <w:rsid w:val="00A35B37"/>
    <w:rsid w:val="00A451E0"/>
    <w:rsid w:val="00A5195F"/>
    <w:rsid w:val="00A54DBB"/>
    <w:rsid w:val="00A54FB7"/>
    <w:rsid w:val="00A6326E"/>
    <w:rsid w:val="00A64A54"/>
    <w:rsid w:val="00A660AE"/>
    <w:rsid w:val="00A6619F"/>
    <w:rsid w:val="00A67466"/>
    <w:rsid w:val="00A70F31"/>
    <w:rsid w:val="00A73706"/>
    <w:rsid w:val="00A7452C"/>
    <w:rsid w:val="00A82E75"/>
    <w:rsid w:val="00A84C54"/>
    <w:rsid w:val="00A86959"/>
    <w:rsid w:val="00A87C39"/>
    <w:rsid w:val="00A91DEB"/>
    <w:rsid w:val="00A93BD8"/>
    <w:rsid w:val="00A93E0B"/>
    <w:rsid w:val="00A947D6"/>
    <w:rsid w:val="00A96E15"/>
    <w:rsid w:val="00AA0410"/>
    <w:rsid w:val="00AA0B50"/>
    <w:rsid w:val="00AA18EB"/>
    <w:rsid w:val="00AA4661"/>
    <w:rsid w:val="00AA51FE"/>
    <w:rsid w:val="00AB059E"/>
    <w:rsid w:val="00AB1DC6"/>
    <w:rsid w:val="00AB3291"/>
    <w:rsid w:val="00AB3B29"/>
    <w:rsid w:val="00AC48D2"/>
    <w:rsid w:val="00AC5C96"/>
    <w:rsid w:val="00AE4448"/>
    <w:rsid w:val="00AE5CD5"/>
    <w:rsid w:val="00AE6348"/>
    <w:rsid w:val="00AF5679"/>
    <w:rsid w:val="00AF61B9"/>
    <w:rsid w:val="00B01791"/>
    <w:rsid w:val="00B01967"/>
    <w:rsid w:val="00B01DCC"/>
    <w:rsid w:val="00B132D8"/>
    <w:rsid w:val="00B15F7D"/>
    <w:rsid w:val="00B277FF"/>
    <w:rsid w:val="00B27909"/>
    <w:rsid w:val="00B33D06"/>
    <w:rsid w:val="00B440EE"/>
    <w:rsid w:val="00B50296"/>
    <w:rsid w:val="00B511D6"/>
    <w:rsid w:val="00B5252D"/>
    <w:rsid w:val="00B52E1C"/>
    <w:rsid w:val="00B530AC"/>
    <w:rsid w:val="00B5662F"/>
    <w:rsid w:val="00B57AD4"/>
    <w:rsid w:val="00B61D69"/>
    <w:rsid w:val="00B62411"/>
    <w:rsid w:val="00B63370"/>
    <w:rsid w:val="00B72A0D"/>
    <w:rsid w:val="00B72E7A"/>
    <w:rsid w:val="00B73028"/>
    <w:rsid w:val="00B76930"/>
    <w:rsid w:val="00B76D09"/>
    <w:rsid w:val="00B7775A"/>
    <w:rsid w:val="00B80993"/>
    <w:rsid w:val="00B85FC3"/>
    <w:rsid w:val="00B8642A"/>
    <w:rsid w:val="00B95605"/>
    <w:rsid w:val="00BA257D"/>
    <w:rsid w:val="00BA3947"/>
    <w:rsid w:val="00BA3FB1"/>
    <w:rsid w:val="00BB0374"/>
    <w:rsid w:val="00BB46C4"/>
    <w:rsid w:val="00BB6C8A"/>
    <w:rsid w:val="00BB7BF1"/>
    <w:rsid w:val="00BC1EBC"/>
    <w:rsid w:val="00BC4C67"/>
    <w:rsid w:val="00BC6278"/>
    <w:rsid w:val="00BC7166"/>
    <w:rsid w:val="00BD0F35"/>
    <w:rsid w:val="00BE5E96"/>
    <w:rsid w:val="00C0163D"/>
    <w:rsid w:val="00C034F5"/>
    <w:rsid w:val="00C11618"/>
    <w:rsid w:val="00C1424E"/>
    <w:rsid w:val="00C159B9"/>
    <w:rsid w:val="00C2082C"/>
    <w:rsid w:val="00C20C2F"/>
    <w:rsid w:val="00C24A0A"/>
    <w:rsid w:val="00C30A0C"/>
    <w:rsid w:val="00C31375"/>
    <w:rsid w:val="00C516B6"/>
    <w:rsid w:val="00C5560A"/>
    <w:rsid w:val="00C55C9F"/>
    <w:rsid w:val="00C63E52"/>
    <w:rsid w:val="00C71B1B"/>
    <w:rsid w:val="00C765B7"/>
    <w:rsid w:val="00C773BD"/>
    <w:rsid w:val="00C82B78"/>
    <w:rsid w:val="00C846E6"/>
    <w:rsid w:val="00C8541E"/>
    <w:rsid w:val="00C8575E"/>
    <w:rsid w:val="00C86F0E"/>
    <w:rsid w:val="00C917CA"/>
    <w:rsid w:val="00C919D5"/>
    <w:rsid w:val="00C91B76"/>
    <w:rsid w:val="00C9588D"/>
    <w:rsid w:val="00CA7AC7"/>
    <w:rsid w:val="00CB0D52"/>
    <w:rsid w:val="00CB19CC"/>
    <w:rsid w:val="00CB3C9D"/>
    <w:rsid w:val="00CB5D6E"/>
    <w:rsid w:val="00CC3047"/>
    <w:rsid w:val="00CC33BB"/>
    <w:rsid w:val="00CC36C5"/>
    <w:rsid w:val="00CC59D3"/>
    <w:rsid w:val="00CC7D20"/>
    <w:rsid w:val="00CD07A5"/>
    <w:rsid w:val="00CD2AAB"/>
    <w:rsid w:val="00CD4B7B"/>
    <w:rsid w:val="00CD5B04"/>
    <w:rsid w:val="00CE20CF"/>
    <w:rsid w:val="00CE2AAB"/>
    <w:rsid w:val="00CE467D"/>
    <w:rsid w:val="00CE4CEA"/>
    <w:rsid w:val="00CE666A"/>
    <w:rsid w:val="00CE734E"/>
    <w:rsid w:val="00CE7CB3"/>
    <w:rsid w:val="00CF4E63"/>
    <w:rsid w:val="00CF7B21"/>
    <w:rsid w:val="00D01262"/>
    <w:rsid w:val="00D10982"/>
    <w:rsid w:val="00D11B3D"/>
    <w:rsid w:val="00D172A5"/>
    <w:rsid w:val="00D2401B"/>
    <w:rsid w:val="00D265A8"/>
    <w:rsid w:val="00D34ABA"/>
    <w:rsid w:val="00D358AA"/>
    <w:rsid w:val="00D36A4A"/>
    <w:rsid w:val="00D37839"/>
    <w:rsid w:val="00D401D4"/>
    <w:rsid w:val="00D43655"/>
    <w:rsid w:val="00D44E4B"/>
    <w:rsid w:val="00D5695C"/>
    <w:rsid w:val="00D56B2C"/>
    <w:rsid w:val="00D6017C"/>
    <w:rsid w:val="00D62C5E"/>
    <w:rsid w:val="00D646B0"/>
    <w:rsid w:val="00D65B43"/>
    <w:rsid w:val="00D6736B"/>
    <w:rsid w:val="00D70F63"/>
    <w:rsid w:val="00D70F78"/>
    <w:rsid w:val="00D7373A"/>
    <w:rsid w:val="00D74021"/>
    <w:rsid w:val="00D75812"/>
    <w:rsid w:val="00D820CE"/>
    <w:rsid w:val="00DB1064"/>
    <w:rsid w:val="00DB174B"/>
    <w:rsid w:val="00DB3E8C"/>
    <w:rsid w:val="00DC35FF"/>
    <w:rsid w:val="00DC563B"/>
    <w:rsid w:val="00DD5426"/>
    <w:rsid w:val="00DE5EF8"/>
    <w:rsid w:val="00DE7DEB"/>
    <w:rsid w:val="00DF0AFE"/>
    <w:rsid w:val="00DF48A7"/>
    <w:rsid w:val="00E00F70"/>
    <w:rsid w:val="00E064C2"/>
    <w:rsid w:val="00E0654E"/>
    <w:rsid w:val="00E07F01"/>
    <w:rsid w:val="00E17072"/>
    <w:rsid w:val="00E20C71"/>
    <w:rsid w:val="00E25419"/>
    <w:rsid w:val="00E26297"/>
    <w:rsid w:val="00E33364"/>
    <w:rsid w:val="00E345AC"/>
    <w:rsid w:val="00E35823"/>
    <w:rsid w:val="00E36BC7"/>
    <w:rsid w:val="00E42C0E"/>
    <w:rsid w:val="00E44A49"/>
    <w:rsid w:val="00E457A2"/>
    <w:rsid w:val="00E500BC"/>
    <w:rsid w:val="00E51369"/>
    <w:rsid w:val="00E51C65"/>
    <w:rsid w:val="00E51D9D"/>
    <w:rsid w:val="00E52892"/>
    <w:rsid w:val="00E5407A"/>
    <w:rsid w:val="00E6423D"/>
    <w:rsid w:val="00E66B49"/>
    <w:rsid w:val="00E6702C"/>
    <w:rsid w:val="00E739D2"/>
    <w:rsid w:val="00E76722"/>
    <w:rsid w:val="00E77A5B"/>
    <w:rsid w:val="00E82F7E"/>
    <w:rsid w:val="00E845C9"/>
    <w:rsid w:val="00E8727A"/>
    <w:rsid w:val="00E920BB"/>
    <w:rsid w:val="00E924EA"/>
    <w:rsid w:val="00E92B7E"/>
    <w:rsid w:val="00E931DC"/>
    <w:rsid w:val="00E94990"/>
    <w:rsid w:val="00E95DDF"/>
    <w:rsid w:val="00E9608D"/>
    <w:rsid w:val="00E973A0"/>
    <w:rsid w:val="00EA0E6D"/>
    <w:rsid w:val="00EB089A"/>
    <w:rsid w:val="00EB24F2"/>
    <w:rsid w:val="00EB2D45"/>
    <w:rsid w:val="00EB353A"/>
    <w:rsid w:val="00EB3E98"/>
    <w:rsid w:val="00EB63FD"/>
    <w:rsid w:val="00EC1E8C"/>
    <w:rsid w:val="00EC3FD1"/>
    <w:rsid w:val="00EC43DE"/>
    <w:rsid w:val="00EC4AAE"/>
    <w:rsid w:val="00ED1CBD"/>
    <w:rsid w:val="00ED58E5"/>
    <w:rsid w:val="00EE339B"/>
    <w:rsid w:val="00EE6B39"/>
    <w:rsid w:val="00EF2BEF"/>
    <w:rsid w:val="00EF4E3A"/>
    <w:rsid w:val="00F0495C"/>
    <w:rsid w:val="00F10E36"/>
    <w:rsid w:val="00F1222E"/>
    <w:rsid w:val="00F14BF3"/>
    <w:rsid w:val="00F150B9"/>
    <w:rsid w:val="00F158F3"/>
    <w:rsid w:val="00F16890"/>
    <w:rsid w:val="00F21090"/>
    <w:rsid w:val="00F21688"/>
    <w:rsid w:val="00F24FBB"/>
    <w:rsid w:val="00F32047"/>
    <w:rsid w:val="00F322B4"/>
    <w:rsid w:val="00F34BC6"/>
    <w:rsid w:val="00F34EA6"/>
    <w:rsid w:val="00F4281C"/>
    <w:rsid w:val="00F47540"/>
    <w:rsid w:val="00F5200D"/>
    <w:rsid w:val="00F531FD"/>
    <w:rsid w:val="00F6468B"/>
    <w:rsid w:val="00F64E03"/>
    <w:rsid w:val="00F656E5"/>
    <w:rsid w:val="00F70112"/>
    <w:rsid w:val="00F70F8A"/>
    <w:rsid w:val="00F74F4F"/>
    <w:rsid w:val="00F75D77"/>
    <w:rsid w:val="00F81023"/>
    <w:rsid w:val="00F8132C"/>
    <w:rsid w:val="00F872DC"/>
    <w:rsid w:val="00F922B0"/>
    <w:rsid w:val="00FA0D5B"/>
    <w:rsid w:val="00FA10A5"/>
    <w:rsid w:val="00FA2674"/>
    <w:rsid w:val="00FA4EDB"/>
    <w:rsid w:val="00FA5CBB"/>
    <w:rsid w:val="00FA67FA"/>
    <w:rsid w:val="00FA75D3"/>
    <w:rsid w:val="00FA7AF4"/>
    <w:rsid w:val="00FA7D75"/>
    <w:rsid w:val="00FB676E"/>
    <w:rsid w:val="00FC3B71"/>
    <w:rsid w:val="00FC5AE2"/>
    <w:rsid w:val="00FC5C6A"/>
    <w:rsid w:val="00FC67E7"/>
    <w:rsid w:val="00FD03CF"/>
    <w:rsid w:val="00FD0BFB"/>
    <w:rsid w:val="00FD2B47"/>
    <w:rsid w:val="00FD2F6F"/>
    <w:rsid w:val="00FD69E3"/>
    <w:rsid w:val="00FE4E27"/>
    <w:rsid w:val="00FE6030"/>
    <w:rsid w:val="00FE695F"/>
    <w:rsid w:val="00FF025D"/>
    <w:rsid w:val="00FF052C"/>
    <w:rsid w:val="00FF187C"/>
    <w:rsid w:val="00FF4188"/>
    <w:rsid w:val="00FF5382"/>
    <w:rsid w:val="00FF6C3C"/>
    <w:rsid w:val="00FF7BE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3255F5"/>
  <w15:docId w15:val="{F84E1B17-494E-40CB-BCD0-6A48F49C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3D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47305"/>
    <w:pPr>
      <w:keepNext/>
      <w:tabs>
        <w:tab w:val="left" w:pos="851"/>
      </w:tabs>
      <w:spacing w:before="480" w:after="120"/>
      <w:outlineLvl w:val="0"/>
    </w:pPr>
    <w:rPr>
      <w:rFonts w:asciiTheme="minorHAnsi" w:hAnsiTheme="minorHAnsi" w:cstheme="minorHAnsi"/>
      <w:b/>
      <w:bCs/>
      <w:color w:val="0F7B7D"/>
      <w:sz w:val="48"/>
      <w:szCs w:val="48"/>
      <w:lang w:val="en-NZ" w:eastAsia="en-NZ"/>
    </w:rPr>
  </w:style>
  <w:style w:type="paragraph" w:styleId="Heading2">
    <w:name w:val="heading 2"/>
    <w:basedOn w:val="BodyText"/>
    <w:next w:val="Normal"/>
    <w:link w:val="Heading2Char"/>
    <w:unhideWhenUsed/>
    <w:qFormat/>
    <w:rsid w:val="000C47D3"/>
    <w:pPr>
      <w:keepNext/>
      <w:keepLines/>
      <w:spacing w:before="360"/>
      <w:outlineLvl w:val="1"/>
    </w:pPr>
    <w:rPr>
      <w:rFonts w:asciiTheme="minorHAnsi" w:eastAsiaTheme="majorEastAsia" w:hAnsiTheme="minorHAnsi" w:cstheme="minorHAnsi"/>
      <w:b/>
      <w:bCs/>
      <w:color w:val="6FC7B7"/>
      <w:sz w:val="36"/>
      <w:szCs w:val="36"/>
      <w:lang w:val="en-NZ"/>
    </w:rPr>
  </w:style>
  <w:style w:type="paragraph" w:styleId="Heading3">
    <w:name w:val="heading 3"/>
    <w:basedOn w:val="Normal"/>
    <w:next w:val="Normal"/>
    <w:link w:val="Heading3Char"/>
    <w:uiPriority w:val="9"/>
    <w:unhideWhenUsed/>
    <w:qFormat/>
    <w:rsid w:val="000C47D3"/>
    <w:pPr>
      <w:keepNext/>
      <w:keepLines/>
      <w:spacing w:before="360"/>
      <w:outlineLvl w:val="2"/>
    </w:pPr>
    <w:rPr>
      <w:rFonts w:asciiTheme="minorHAnsi" w:eastAsiaTheme="minorHAnsi" w:hAnsiTheme="minorHAnsi" w:cstheme="minorBidi"/>
      <w:b/>
      <w:bCs/>
      <w:color w:val="000000" w:themeColor="text1"/>
      <w:sz w:val="28"/>
      <w:szCs w:val="22"/>
      <w:lang w:val="en-NZ"/>
    </w:rPr>
  </w:style>
  <w:style w:type="paragraph" w:styleId="Heading4">
    <w:name w:val="heading 4"/>
    <w:basedOn w:val="Normal"/>
    <w:next w:val="Normal"/>
    <w:link w:val="Heading4Char"/>
    <w:uiPriority w:val="9"/>
    <w:unhideWhenUsed/>
    <w:qFormat/>
    <w:rsid w:val="000C47D3"/>
    <w:pPr>
      <w:keepNext/>
      <w:keepLines/>
      <w:spacing w:before="240"/>
      <w:outlineLvl w:val="3"/>
    </w:pPr>
    <w:rPr>
      <w:rFonts w:asciiTheme="minorHAnsi" w:eastAsiaTheme="majorEastAsia" w:hAnsiTheme="minorHAnsi" w:cstheme="majorBidi"/>
      <w:b/>
      <w:bCs/>
      <w:iCs/>
      <w:color w:val="6FC7B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47D3"/>
    <w:rPr>
      <w:b/>
      <w:bCs/>
      <w:color w:val="000000" w:themeColor="text1"/>
      <w:sz w:val="28"/>
    </w:rPr>
  </w:style>
  <w:style w:type="paragraph" w:styleId="ListParagraph">
    <w:name w:val="List Paragraph"/>
    <w:basedOn w:val="Normal"/>
    <w:link w:val="ListParagraphChar"/>
    <w:uiPriority w:val="34"/>
    <w:qFormat/>
    <w:rsid w:val="00B95605"/>
    <w:pPr>
      <w:ind w:left="720"/>
      <w:contextualSpacing/>
    </w:pPr>
  </w:style>
  <w:style w:type="character" w:customStyle="1" w:styleId="Heading2Char">
    <w:name w:val="Heading 2 Char"/>
    <w:basedOn w:val="DefaultParagraphFont"/>
    <w:link w:val="Heading2"/>
    <w:rsid w:val="000C47D3"/>
    <w:rPr>
      <w:rFonts w:eastAsiaTheme="majorEastAsia" w:cstheme="minorHAnsi"/>
      <w:b/>
      <w:bCs/>
      <w:color w:val="6FC7B7"/>
      <w:sz w:val="36"/>
      <w:szCs w:val="36"/>
      <w:lang w:eastAsia="en-NZ"/>
    </w:rPr>
  </w:style>
  <w:style w:type="table" w:styleId="TableGrid">
    <w:name w:val="Table Grid"/>
    <w:basedOn w:val="TableNormal"/>
    <w:uiPriority w:val="59"/>
    <w:rsid w:val="007D4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C47D3"/>
    <w:rPr>
      <w:rFonts w:eastAsiaTheme="majorEastAsia" w:cstheme="majorBidi"/>
      <w:b/>
      <w:bCs/>
      <w:iCs/>
      <w:color w:val="6FC7B7"/>
      <w:sz w:val="24"/>
      <w:szCs w:val="24"/>
      <w:lang w:val="en-US"/>
    </w:rPr>
  </w:style>
  <w:style w:type="character" w:customStyle="1" w:styleId="Heading1Char">
    <w:name w:val="Heading 1 Char"/>
    <w:basedOn w:val="DefaultParagraphFont"/>
    <w:link w:val="Heading1"/>
    <w:rsid w:val="00547305"/>
    <w:rPr>
      <w:rFonts w:eastAsia="Times New Roman" w:cstheme="minorHAnsi"/>
      <w:b/>
      <w:bCs/>
      <w:color w:val="0F7B7D"/>
      <w:sz w:val="48"/>
      <w:szCs w:val="48"/>
      <w:lang w:eastAsia="en-NZ"/>
    </w:rPr>
  </w:style>
  <w:style w:type="paragraph" w:styleId="CommentText">
    <w:name w:val="annotation text"/>
    <w:basedOn w:val="Normal"/>
    <w:link w:val="CommentTextChar"/>
    <w:uiPriority w:val="99"/>
    <w:unhideWhenUsed/>
    <w:rsid w:val="000F38F4"/>
    <w:rPr>
      <w:sz w:val="20"/>
      <w:szCs w:val="20"/>
    </w:rPr>
  </w:style>
  <w:style w:type="character" w:customStyle="1" w:styleId="CommentTextChar">
    <w:name w:val="Comment Text Char"/>
    <w:basedOn w:val="DefaultParagraphFont"/>
    <w:link w:val="CommentText"/>
    <w:uiPriority w:val="99"/>
    <w:rsid w:val="000F38F4"/>
    <w:rPr>
      <w:sz w:val="20"/>
      <w:szCs w:val="20"/>
    </w:rPr>
  </w:style>
  <w:style w:type="character" w:styleId="CommentReference">
    <w:name w:val="annotation reference"/>
    <w:basedOn w:val="DefaultParagraphFont"/>
    <w:uiPriority w:val="99"/>
    <w:unhideWhenUsed/>
    <w:rsid w:val="000F38F4"/>
    <w:rPr>
      <w:sz w:val="16"/>
      <w:szCs w:val="16"/>
    </w:rPr>
  </w:style>
  <w:style w:type="paragraph" w:styleId="BalloonText">
    <w:name w:val="Balloon Text"/>
    <w:basedOn w:val="Normal"/>
    <w:link w:val="BalloonTextChar"/>
    <w:uiPriority w:val="99"/>
    <w:semiHidden/>
    <w:unhideWhenUsed/>
    <w:rsid w:val="000F38F4"/>
    <w:rPr>
      <w:rFonts w:ascii="Tahoma" w:hAnsi="Tahoma" w:cs="Tahoma"/>
      <w:sz w:val="16"/>
      <w:szCs w:val="16"/>
    </w:rPr>
  </w:style>
  <w:style w:type="character" w:customStyle="1" w:styleId="BalloonTextChar">
    <w:name w:val="Balloon Text Char"/>
    <w:basedOn w:val="DefaultParagraphFont"/>
    <w:link w:val="BalloonText"/>
    <w:uiPriority w:val="99"/>
    <w:semiHidden/>
    <w:rsid w:val="000F38F4"/>
    <w:rPr>
      <w:rFonts w:ascii="Tahoma" w:hAnsi="Tahoma" w:cs="Tahoma"/>
      <w:sz w:val="16"/>
      <w:szCs w:val="16"/>
    </w:rPr>
  </w:style>
  <w:style w:type="paragraph" w:customStyle="1" w:styleId="TableParagraph">
    <w:name w:val="Table Paragraph"/>
    <w:basedOn w:val="Normal"/>
    <w:uiPriority w:val="1"/>
    <w:qFormat/>
    <w:rsid w:val="00766FA1"/>
    <w:pPr>
      <w:widowControl w:val="0"/>
      <w:autoSpaceDE w:val="0"/>
      <w:autoSpaceDN w:val="0"/>
      <w:ind w:left="459"/>
    </w:pPr>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BA257D"/>
    <w:rPr>
      <w:b/>
      <w:bCs/>
    </w:rPr>
  </w:style>
  <w:style w:type="character" w:customStyle="1" w:styleId="CommentSubjectChar">
    <w:name w:val="Comment Subject Char"/>
    <w:basedOn w:val="CommentTextChar"/>
    <w:link w:val="CommentSubject"/>
    <w:uiPriority w:val="99"/>
    <w:semiHidden/>
    <w:rsid w:val="00BA257D"/>
    <w:rPr>
      <w:b/>
      <w:bCs/>
      <w:sz w:val="20"/>
      <w:szCs w:val="20"/>
    </w:rPr>
  </w:style>
  <w:style w:type="character" w:styleId="Hyperlink">
    <w:name w:val="Hyperlink"/>
    <w:basedOn w:val="DefaultParagraphFont"/>
    <w:uiPriority w:val="99"/>
    <w:unhideWhenUsed/>
    <w:rsid w:val="00B530AC"/>
    <w:rPr>
      <w:color w:val="0000FF"/>
      <w:u w:val="single"/>
    </w:rPr>
  </w:style>
  <w:style w:type="character" w:styleId="FollowedHyperlink">
    <w:name w:val="FollowedHyperlink"/>
    <w:basedOn w:val="DefaultParagraphFont"/>
    <w:uiPriority w:val="99"/>
    <w:semiHidden/>
    <w:unhideWhenUsed/>
    <w:rsid w:val="00A93BD8"/>
    <w:rPr>
      <w:color w:val="1C556C" w:themeColor="followedHyperlink"/>
      <w:u w:val="single"/>
    </w:rPr>
  </w:style>
  <w:style w:type="paragraph" w:styleId="BodyText">
    <w:name w:val="Body Text"/>
    <w:basedOn w:val="Normal"/>
    <w:link w:val="BodyTextChar"/>
    <w:qFormat/>
    <w:rsid w:val="00434BB3"/>
    <w:pPr>
      <w:spacing w:before="120" w:after="120" w:line="280" w:lineRule="atLeast"/>
    </w:pPr>
    <w:rPr>
      <w:rFonts w:ascii="Calibri" w:hAnsi="Calibri"/>
      <w:sz w:val="22"/>
      <w:lang w:eastAsia="en-NZ"/>
    </w:rPr>
  </w:style>
  <w:style w:type="character" w:customStyle="1" w:styleId="BodyTextChar">
    <w:name w:val="Body Text Char"/>
    <w:basedOn w:val="DefaultParagraphFont"/>
    <w:link w:val="BodyText"/>
    <w:rsid w:val="00434BB3"/>
    <w:rPr>
      <w:rFonts w:ascii="Calibri" w:eastAsia="Times New Roman" w:hAnsi="Calibri" w:cs="Times New Roman"/>
      <w:szCs w:val="24"/>
      <w:lang w:val="en-US" w:eastAsia="en-NZ"/>
    </w:rPr>
  </w:style>
  <w:style w:type="paragraph" w:customStyle="1" w:styleId="Box">
    <w:name w:val="Box"/>
    <w:basedOn w:val="Normal"/>
    <w:uiPriority w:val="1"/>
    <w:qFormat/>
    <w:rsid w:val="007C7DCC"/>
    <w:pPr>
      <w:pBdr>
        <w:top w:val="single" w:sz="4" w:space="15" w:color="CBEBE5"/>
        <w:left w:val="single" w:sz="4" w:space="15" w:color="CBEBE5"/>
        <w:bottom w:val="single" w:sz="4" w:space="15" w:color="CBEBE5"/>
        <w:right w:val="single" w:sz="4" w:space="15" w:color="CBEBE5"/>
      </w:pBdr>
      <w:shd w:val="clear" w:color="auto" w:fill="CBEBE5"/>
      <w:spacing w:before="120" w:after="120" w:line="280" w:lineRule="atLeast"/>
      <w:ind w:left="284" w:right="284"/>
    </w:pPr>
    <w:rPr>
      <w:rFonts w:ascii="Calibri" w:hAnsi="Calibri"/>
      <w:color w:val="2C9986"/>
      <w:sz w:val="20"/>
      <w:lang w:eastAsia="en-NZ"/>
    </w:rPr>
  </w:style>
  <w:style w:type="paragraph" w:customStyle="1" w:styleId="Boxheading">
    <w:name w:val="Box heading"/>
    <w:basedOn w:val="Box"/>
    <w:next w:val="Box"/>
    <w:uiPriority w:val="1"/>
    <w:qFormat/>
    <w:rsid w:val="007C7DCC"/>
    <w:pPr>
      <w:keepNext/>
      <w:spacing w:after="0"/>
    </w:pPr>
    <w:rPr>
      <w:b/>
      <w:sz w:val="28"/>
    </w:rPr>
  </w:style>
  <w:style w:type="paragraph" w:customStyle="1" w:styleId="Imprint">
    <w:name w:val="Imprint"/>
    <w:basedOn w:val="Normal"/>
    <w:uiPriority w:val="3"/>
    <w:rsid w:val="007C7DCC"/>
    <w:pPr>
      <w:spacing w:before="120" w:after="120" w:line="280" w:lineRule="atLeast"/>
    </w:pPr>
    <w:rPr>
      <w:rFonts w:ascii="Calibri" w:hAnsi="Calibri"/>
      <w:lang w:eastAsia="en-NZ"/>
    </w:rPr>
  </w:style>
  <w:style w:type="paragraph" w:customStyle="1" w:styleId="TableText">
    <w:name w:val="TableText"/>
    <w:basedOn w:val="Normal"/>
    <w:qFormat/>
    <w:rsid w:val="007C7DCC"/>
    <w:pPr>
      <w:spacing w:before="60" w:after="60" w:line="240" w:lineRule="atLeast"/>
    </w:pPr>
    <w:rPr>
      <w:sz w:val="18"/>
      <w:lang w:eastAsia="en-NZ"/>
    </w:rPr>
  </w:style>
  <w:style w:type="paragraph" w:customStyle="1" w:styleId="TableTextbold">
    <w:name w:val="TableText bold"/>
    <w:basedOn w:val="TableText"/>
    <w:rsid w:val="007C7DCC"/>
    <w:rPr>
      <w:b/>
    </w:rPr>
  </w:style>
  <w:style w:type="paragraph" w:customStyle="1" w:styleId="Sub-lista">
    <w:name w:val="Sub-list a"/>
    <w:aliases w:val="b"/>
    <w:basedOn w:val="Normal"/>
    <w:uiPriority w:val="2"/>
    <w:rsid w:val="007C7DCC"/>
    <w:pPr>
      <w:numPr>
        <w:numId w:val="1"/>
      </w:numPr>
      <w:spacing w:after="120" w:line="280" w:lineRule="atLeast"/>
    </w:pPr>
    <w:rPr>
      <w:rFonts w:ascii="Calibri" w:hAnsi="Calibri"/>
      <w:lang w:eastAsia="en-NZ"/>
    </w:rPr>
  </w:style>
  <w:style w:type="paragraph" w:customStyle="1" w:styleId="TableDash">
    <w:name w:val="TableDash"/>
    <w:basedOn w:val="Normal"/>
    <w:qFormat/>
    <w:rsid w:val="007C7DCC"/>
    <w:pPr>
      <w:spacing w:after="60" w:line="240" w:lineRule="atLeast"/>
    </w:pPr>
    <w:rPr>
      <w:rFonts w:ascii="Calibri" w:hAnsi="Calibri" w:cs="Arial"/>
      <w:sz w:val="18"/>
      <w:szCs w:val="16"/>
      <w:lang w:eastAsia="en-NZ"/>
    </w:rPr>
  </w:style>
  <w:style w:type="paragraph" w:customStyle="1" w:styleId="Bluetext">
    <w:name w:val="Blue text"/>
    <w:basedOn w:val="BodyText"/>
    <w:qFormat/>
    <w:rsid w:val="007C7DCC"/>
    <w:pPr>
      <w:ind w:left="794"/>
    </w:pPr>
    <w:rPr>
      <w:color w:val="32809C" w:themeColor="text2"/>
    </w:rPr>
  </w:style>
  <w:style w:type="character" w:customStyle="1" w:styleId="ListParagraphChar">
    <w:name w:val="List Paragraph Char"/>
    <w:basedOn w:val="DefaultParagraphFont"/>
    <w:link w:val="ListParagraph"/>
    <w:uiPriority w:val="34"/>
    <w:rsid w:val="00987843"/>
  </w:style>
  <w:style w:type="paragraph" w:customStyle="1" w:styleId="Default">
    <w:name w:val="Default"/>
    <w:rsid w:val="007E2EF8"/>
    <w:pPr>
      <w:autoSpaceDE w:val="0"/>
      <w:autoSpaceDN w:val="0"/>
      <w:adjustRightInd w:val="0"/>
      <w:spacing w:after="0" w:line="240" w:lineRule="auto"/>
    </w:pPr>
    <w:rPr>
      <w:rFonts w:ascii="Calibri" w:hAnsi="Calibri" w:cs="Calibri"/>
      <w:color w:val="000000"/>
      <w:sz w:val="24"/>
      <w:szCs w:val="24"/>
    </w:rPr>
  </w:style>
  <w:style w:type="paragraph" w:customStyle="1" w:styleId="TableBullet">
    <w:name w:val="TableBullet"/>
    <w:basedOn w:val="Normal"/>
    <w:qFormat/>
    <w:rsid w:val="0053685C"/>
    <w:pPr>
      <w:numPr>
        <w:numId w:val="2"/>
      </w:numPr>
      <w:spacing w:after="60" w:line="240" w:lineRule="atLeast"/>
    </w:pPr>
    <w:rPr>
      <w:rFonts w:ascii="Calibri" w:hAnsi="Calibri" w:cs="Arial"/>
      <w:sz w:val="18"/>
      <w:szCs w:val="16"/>
      <w:lang w:val="en-NZ" w:eastAsia="en-NZ"/>
    </w:rPr>
  </w:style>
  <w:style w:type="paragraph" w:customStyle="1" w:styleId="Bullet">
    <w:name w:val="Bullet"/>
    <w:basedOn w:val="Normal"/>
    <w:link w:val="BulletChar"/>
    <w:qFormat/>
    <w:rsid w:val="00280DDC"/>
    <w:pPr>
      <w:numPr>
        <w:numId w:val="3"/>
      </w:numPr>
      <w:spacing w:after="120" w:line="280" w:lineRule="exact"/>
    </w:pPr>
    <w:rPr>
      <w:rFonts w:ascii="Calibri" w:hAnsi="Calibri"/>
      <w:sz w:val="22"/>
      <w:szCs w:val="20"/>
      <w:lang w:val="en-NZ" w:eastAsia="en-NZ"/>
    </w:rPr>
  </w:style>
  <w:style w:type="character" w:customStyle="1" w:styleId="BulletChar">
    <w:name w:val="Bullet Char"/>
    <w:link w:val="Bullet"/>
    <w:locked/>
    <w:rsid w:val="00280DDC"/>
    <w:rPr>
      <w:rFonts w:ascii="Calibri" w:eastAsia="Times New Roman" w:hAnsi="Calibri" w:cs="Times New Roman"/>
      <w:szCs w:val="20"/>
      <w:lang w:eastAsia="en-NZ"/>
    </w:rPr>
  </w:style>
  <w:style w:type="character" w:styleId="Strong">
    <w:name w:val="Strong"/>
    <w:basedOn w:val="DefaultParagraphFont"/>
    <w:uiPriority w:val="22"/>
    <w:qFormat/>
    <w:rsid w:val="002C71EF"/>
    <w:rPr>
      <w:b/>
      <w:bCs/>
    </w:rPr>
  </w:style>
  <w:style w:type="character" w:styleId="Emphasis">
    <w:name w:val="Emphasis"/>
    <w:basedOn w:val="DefaultParagraphFont"/>
    <w:uiPriority w:val="20"/>
    <w:qFormat/>
    <w:rsid w:val="002C71EF"/>
    <w:rPr>
      <w:i/>
      <w:iCs/>
    </w:rPr>
  </w:style>
  <w:style w:type="paragraph" w:customStyle="1" w:styleId="Mandatorydirectionsub-list">
    <w:name w:val="Mandatory direction sub-list"/>
    <w:basedOn w:val="Normal"/>
    <w:qFormat/>
    <w:rsid w:val="007D7F00"/>
    <w:pPr>
      <w:numPr>
        <w:numId w:val="4"/>
      </w:numPr>
      <w:spacing w:after="120" w:line="280" w:lineRule="atLeast"/>
    </w:pPr>
    <w:rPr>
      <w:rFonts w:ascii="Calibri" w:hAnsi="Calibri"/>
      <w:sz w:val="20"/>
      <w:szCs w:val="22"/>
      <w:lang w:val="en-NZ" w:eastAsia="en-NZ"/>
    </w:rPr>
  </w:style>
  <w:style w:type="paragraph" w:customStyle="1" w:styleId="Heading">
    <w:name w:val="Heading"/>
    <w:basedOn w:val="Heading1"/>
    <w:next w:val="Normal"/>
    <w:uiPriority w:val="3"/>
    <w:rsid w:val="001672A1"/>
    <w:pPr>
      <w:spacing w:before="0" w:after="360"/>
    </w:pPr>
    <w:rPr>
      <w:rFonts w:ascii="Calibri" w:hAnsi="Calibri" w:cs="Times New Roman"/>
      <w:color w:val="2C9986"/>
    </w:rPr>
  </w:style>
  <w:style w:type="paragraph" w:customStyle="1" w:styleId="MandatoryDirectionBullet">
    <w:name w:val="Mandatory Direction Bullet"/>
    <w:basedOn w:val="Bullet"/>
    <w:qFormat/>
    <w:rsid w:val="00E51D9D"/>
    <w:pPr>
      <w:numPr>
        <w:numId w:val="5"/>
      </w:numPr>
      <w:tabs>
        <w:tab w:val="left" w:pos="397"/>
      </w:tabs>
    </w:pPr>
    <w:rPr>
      <w:sz w:val="20"/>
    </w:rPr>
  </w:style>
  <w:style w:type="table" w:customStyle="1" w:styleId="TableGrid2">
    <w:name w:val="Table Grid2"/>
    <w:basedOn w:val="TableNormal"/>
    <w:next w:val="TableGrid"/>
    <w:rsid w:val="00675FB9"/>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5271E"/>
    <w:rPr>
      <w:sz w:val="20"/>
      <w:szCs w:val="20"/>
    </w:rPr>
  </w:style>
  <w:style w:type="character" w:customStyle="1" w:styleId="FootnoteTextChar">
    <w:name w:val="Footnote Text Char"/>
    <w:basedOn w:val="DefaultParagraphFont"/>
    <w:link w:val="FootnoteText"/>
    <w:uiPriority w:val="99"/>
    <w:semiHidden/>
    <w:rsid w:val="0015271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15271E"/>
    <w:rPr>
      <w:vertAlign w:val="superscript"/>
    </w:rPr>
  </w:style>
  <w:style w:type="paragraph" w:styleId="EndnoteText">
    <w:name w:val="endnote text"/>
    <w:basedOn w:val="Normal"/>
    <w:link w:val="EndnoteTextChar"/>
    <w:uiPriority w:val="99"/>
    <w:semiHidden/>
    <w:unhideWhenUsed/>
    <w:rsid w:val="00FF6C3C"/>
    <w:rPr>
      <w:sz w:val="20"/>
      <w:szCs w:val="20"/>
    </w:rPr>
  </w:style>
  <w:style w:type="character" w:customStyle="1" w:styleId="EndnoteTextChar">
    <w:name w:val="Endnote Text Char"/>
    <w:basedOn w:val="DefaultParagraphFont"/>
    <w:link w:val="EndnoteText"/>
    <w:uiPriority w:val="99"/>
    <w:semiHidden/>
    <w:rsid w:val="00FF6C3C"/>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FF6C3C"/>
    <w:rPr>
      <w:vertAlign w:val="superscript"/>
    </w:rPr>
  </w:style>
  <w:style w:type="paragraph" w:styleId="Header">
    <w:name w:val="header"/>
    <w:basedOn w:val="Normal"/>
    <w:link w:val="HeaderChar"/>
    <w:uiPriority w:val="99"/>
    <w:unhideWhenUsed/>
    <w:rsid w:val="00FF6C3C"/>
    <w:pPr>
      <w:tabs>
        <w:tab w:val="center" w:pos="4513"/>
        <w:tab w:val="right" w:pos="9026"/>
      </w:tabs>
    </w:pPr>
  </w:style>
  <w:style w:type="character" w:customStyle="1" w:styleId="HeaderChar">
    <w:name w:val="Header Char"/>
    <w:basedOn w:val="DefaultParagraphFont"/>
    <w:link w:val="Header"/>
    <w:uiPriority w:val="99"/>
    <w:rsid w:val="00FF6C3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F6C3C"/>
    <w:pPr>
      <w:tabs>
        <w:tab w:val="center" w:pos="4513"/>
        <w:tab w:val="right" w:pos="9026"/>
      </w:tabs>
    </w:pPr>
  </w:style>
  <w:style w:type="character" w:customStyle="1" w:styleId="FooterChar">
    <w:name w:val="Footer Char"/>
    <w:basedOn w:val="DefaultParagraphFont"/>
    <w:link w:val="Footer"/>
    <w:uiPriority w:val="99"/>
    <w:rsid w:val="00FF6C3C"/>
    <w:rPr>
      <w:rFonts w:ascii="Times New Roman" w:eastAsia="Times New Roman" w:hAnsi="Times New Roman" w:cs="Times New Roman"/>
      <w:sz w:val="24"/>
      <w:szCs w:val="24"/>
      <w:lang w:val="en-US"/>
    </w:rPr>
  </w:style>
  <w:style w:type="paragraph" w:customStyle="1" w:styleId="Bulletedlistguidance">
    <w:name w:val="Bulleted list guidance"/>
    <w:basedOn w:val="ListParagraph"/>
    <w:link w:val="BulletedlistguidanceChar"/>
    <w:qFormat/>
    <w:rsid w:val="00434BB3"/>
    <w:pPr>
      <w:numPr>
        <w:numId w:val="6"/>
      </w:numPr>
      <w:spacing w:after="120" w:line="280" w:lineRule="exact"/>
      <w:ind w:left="397" w:hanging="397"/>
      <w:contextualSpacing w:val="0"/>
    </w:pPr>
    <w:rPr>
      <w:rFonts w:asciiTheme="minorHAnsi" w:hAnsiTheme="minorHAnsi" w:cstheme="minorHAnsi"/>
      <w:sz w:val="22"/>
      <w:szCs w:val="22"/>
      <w:lang w:val="en-NZ"/>
    </w:rPr>
  </w:style>
  <w:style w:type="paragraph" w:customStyle="1" w:styleId="Disclaimer">
    <w:name w:val="Disclaimer"/>
    <w:basedOn w:val="Default"/>
    <w:link w:val="DisclaimerChar"/>
    <w:qFormat/>
    <w:rsid w:val="00434BB3"/>
    <w:rPr>
      <w:sz w:val="18"/>
      <w:szCs w:val="22"/>
    </w:rPr>
  </w:style>
  <w:style w:type="character" w:customStyle="1" w:styleId="BulletedlistguidanceChar">
    <w:name w:val="Bulleted list guidance Char"/>
    <w:basedOn w:val="ListParagraphChar"/>
    <w:link w:val="Bulletedlistguidance"/>
    <w:rsid w:val="00434BB3"/>
    <w:rPr>
      <w:rFonts w:eastAsia="Times New Roman" w:cstheme="minorHAnsi"/>
    </w:rPr>
  </w:style>
  <w:style w:type="paragraph" w:customStyle="1" w:styleId="H3Guidance">
    <w:name w:val="H3 Guidance"/>
    <w:basedOn w:val="Default"/>
    <w:link w:val="H3GuidanceChar"/>
    <w:qFormat/>
    <w:rsid w:val="00434BB3"/>
    <w:pPr>
      <w:spacing w:before="120" w:after="120"/>
    </w:pPr>
    <w:rPr>
      <w:b/>
      <w:bCs/>
      <w:sz w:val="28"/>
      <w:szCs w:val="22"/>
    </w:rPr>
  </w:style>
  <w:style w:type="character" w:customStyle="1" w:styleId="DisclaimerChar">
    <w:name w:val="Disclaimer Char"/>
    <w:basedOn w:val="DefaultParagraphFont"/>
    <w:link w:val="Disclaimer"/>
    <w:rsid w:val="00434BB3"/>
    <w:rPr>
      <w:rFonts w:ascii="Calibri" w:hAnsi="Calibri" w:cs="Calibri"/>
      <w:color w:val="000000"/>
      <w:sz w:val="18"/>
    </w:rPr>
  </w:style>
  <w:style w:type="character" w:customStyle="1" w:styleId="H3GuidanceChar">
    <w:name w:val="H3 Guidance Char"/>
    <w:basedOn w:val="DefaultParagraphFont"/>
    <w:link w:val="H3Guidance"/>
    <w:rsid w:val="00434BB3"/>
    <w:rPr>
      <w:rFonts w:ascii="Calibri" w:hAnsi="Calibri" w:cs="Calibri"/>
      <w:b/>
      <w:bCs/>
      <w:color w:val="000000"/>
      <w:sz w:val="28"/>
    </w:rPr>
  </w:style>
  <w:style w:type="paragraph" w:styleId="Revision">
    <w:name w:val="Revision"/>
    <w:hidden/>
    <w:uiPriority w:val="99"/>
    <w:semiHidden/>
    <w:rsid w:val="00E07F01"/>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3646">
      <w:bodyDiv w:val="1"/>
      <w:marLeft w:val="0"/>
      <w:marRight w:val="0"/>
      <w:marTop w:val="0"/>
      <w:marBottom w:val="0"/>
      <w:divBdr>
        <w:top w:val="none" w:sz="0" w:space="0" w:color="auto"/>
        <w:left w:val="none" w:sz="0" w:space="0" w:color="auto"/>
        <w:bottom w:val="none" w:sz="0" w:space="0" w:color="auto"/>
        <w:right w:val="none" w:sz="0" w:space="0" w:color="auto"/>
      </w:divBdr>
    </w:div>
    <w:div w:id="325256026">
      <w:bodyDiv w:val="1"/>
      <w:marLeft w:val="0"/>
      <w:marRight w:val="0"/>
      <w:marTop w:val="0"/>
      <w:marBottom w:val="0"/>
      <w:divBdr>
        <w:top w:val="none" w:sz="0" w:space="0" w:color="auto"/>
        <w:left w:val="none" w:sz="0" w:space="0" w:color="auto"/>
        <w:bottom w:val="none" w:sz="0" w:space="0" w:color="auto"/>
        <w:right w:val="none" w:sz="0" w:space="0" w:color="auto"/>
      </w:divBdr>
    </w:div>
    <w:div w:id="537012370">
      <w:bodyDiv w:val="1"/>
      <w:marLeft w:val="0"/>
      <w:marRight w:val="0"/>
      <w:marTop w:val="0"/>
      <w:marBottom w:val="0"/>
      <w:divBdr>
        <w:top w:val="none" w:sz="0" w:space="0" w:color="auto"/>
        <w:left w:val="none" w:sz="0" w:space="0" w:color="auto"/>
        <w:bottom w:val="none" w:sz="0" w:space="0" w:color="auto"/>
        <w:right w:val="none" w:sz="0" w:space="0" w:color="auto"/>
      </w:divBdr>
    </w:div>
    <w:div w:id="562565169">
      <w:bodyDiv w:val="1"/>
      <w:marLeft w:val="0"/>
      <w:marRight w:val="0"/>
      <w:marTop w:val="0"/>
      <w:marBottom w:val="0"/>
      <w:divBdr>
        <w:top w:val="none" w:sz="0" w:space="0" w:color="auto"/>
        <w:left w:val="none" w:sz="0" w:space="0" w:color="auto"/>
        <w:bottom w:val="none" w:sz="0" w:space="0" w:color="auto"/>
        <w:right w:val="none" w:sz="0" w:space="0" w:color="auto"/>
      </w:divBdr>
    </w:div>
    <w:div w:id="607197489">
      <w:bodyDiv w:val="1"/>
      <w:marLeft w:val="0"/>
      <w:marRight w:val="0"/>
      <w:marTop w:val="0"/>
      <w:marBottom w:val="0"/>
      <w:divBdr>
        <w:top w:val="none" w:sz="0" w:space="0" w:color="auto"/>
        <w:left w:val="none" w:sz="0" w:space="0" w:color="auto"/>
        <w:bottom w:val="none" w:sz="0" w:space="0" w:color="auto"/>
        <w:right w:val="none" w:sz="0" w:space="0" w:color="auto"/>
      </w:divBdr>
    </w:div>
    <w:div w:id="878394458">
      <w:bodyDiv w:val="1"/>
      <w:marLeft w:val="0"/>
      <w:marRight w:val="0"/>
      <w:marTop w:val="0"/>
      <w:marBottom w:val="0"/>
      <w:divBdr>
        <w:top w:val="none" w:sz="0" w:space="0" w:color="auto"/>
        <w:left w:val="none" w:sz="0" w:space="0" w:color="auto"/>
        <w:bottom w:val="none" w:sz="0" w:space="0" w:color="auto"/>
        <w:right w:val="none" w:sz="0" w:space="0" w:color="auto"/>
      </w:divBdr>
    </w:div>
    <w:div w:id="914511627">
      <w:bodyDiv w:val="1"/>
      <w:marLeft w:val="0"/>
      <w:marRight w:val="0"/>
      <w:marTop w:val="0"/>
      <w:marBottom w:val="0"/>
      <w:divBdr>
        <w:top w:val="none" w:sz="0" w:space="0" w:color="auto"/>
        <w:left w:val="none" w:sz="0" w:space="0" w:color="auto"/>
        <w:bottom w:val="none" w:sz="0" w:space="0" w:color="auto"/>
        <w:right w:val="none" w:sz="0" w:space="0" w:color="auto"/>
      </w:divBdr>
    </w:div>
    <w:div w:id="936015718">
      <w:bodyDiv w:val="1"/>
      <w:marLeft w:val="0"/>
      <w:marRight w:val="0"/>
      <w:marTop w:val="0"/>
      <w:marBottom w:val="0"/>
      <w:divBdr>
        <w:top w:val="none" w:sz="0" w:space="0" w:color="auto"/>
        <w:left w:val="none" w:sz="0" w:space="0" w:color="auto"/>
        <w:bottom w:val="none" w:sz="0" w:space="0" w:color="auto"/>
        <w:right w:val="none" w:sz="0" w:space="0" w:color="auto"/>
      </w:divBdr>
      <w:divsChild>
        <w:div w:id="1510295624">
          <w:marLeft w:val="0"/>
          <w:marRight w:val="0"/>
          <w:marTop w:val="0"/>
          <w:marBottom w:val="0"/>
          <w:divBdr>
            <w:top w:val="none" w:sz="0" w:space="0" w:color="auto"/>
            <w:left w:val="none" w:sz="0" w:space="0" w:color="auto"/>
            <w:bottom w:val="none" w:sz="0" w:space="0" w:color="auto"/>
            <w:right w:val="none" w:sz="0" w:space="0" w:color="auto"/>
          </w:divBdr>
          <w:divsChild>
            <w:div w:id="1434860941">
              <w:marLeft w:val="0"/>
              <w:marRight w:val="0"/>
              <w:marTop w:val="0"/>
              <w:marBottom w:val="0"/>
              <w:divBdr>
                <w:top w:val="none" w:sz="0" w:space="0" w:color="auto"/>
                <w:left w:val="none" w:sz="0" w:space="0" w:color="auto"/>
                <w:bottom w:val="none" w:sz="0" w:space="0" w:color="auto"/>
                <w:right w:val="none" w:sz="0" w:space="0" w:color="auto"/>
              </w:divBdr>
              <w:divsChild>
                <w:div w:id="580337330">
                  <w:marLeft w:val="0"/>
                  <w:marRight w:val="0"/>
                  <w:marTop w:val="0"/>
                  <w:marBottom w:val="0"/>
                  <w:divBdr>
                    <w:top w:val="none" w:sz="0" w:space="0" w:color="auto"/>
                    <w:left w:val="none" w:sz="0" w:space="0" w:color="auto"/>
                    <w:bottom w:val="none" w:sz="0" w:space="0" w:color="auto"/>
                    <w:right w:val="none" w:sz="0" w:space="0" w:color="auto"/>
                  </w:divBdr>
                  <w:divsChild>
                    <w:div w:id="1115245843">
                      <w:marLeft w:val="0"/>
                      <w:marRight w:val="-90"/>
                      <w:marTop w:val="0"/>
                      <w:marBottom w:val="0"/>
                      <w:divBdr>
                        <w:top w:val="none" w:sz="0" w:space="0" w:color="auto"/>
                        <w:left w:val="none" w:sz="0" w:space="0" w:color="auto"/>
                        <w:bottom w:val="none" w:sz="0" w:space="0" w:color="auto"/>
                        <w:right w:val="none" w:sz="0" w:space="0" w:color="auto"/>
                      </w:divBdr>
                      <w:divsChild>
                        <w:div w:id="1320891614">
                          <w:marLeft w:val="0"/>
                          <w:marRight w:val="0"/>
                          <w:marTop w:val="0"/>
                          <w:marBottom w:val="0"/>
                          <w:divBdr>
                            <w:top w:val="none" w:sz="0" w:space="0" w:color="auto"/>
                            <w:left w:val="none" w:sz="0" w:space="0" w:color="auto"/>
                            <w:bottom w:val="none" w:sz="0" w:space="0" w:color="auto"/>
                            <w:right w:val="none" w:sz="0" w:space="0" w:color="auto"/>
                          </w:divBdr>
                          <w:divsChild>
                            <w:div w:id="715198404">
                              <w:marLeft w:val="0"/>
                              <w:marRight w:val="0"/>
                              <w:marTop w:val="0"/>
                              <w:marBottom w:val="0"/>
                              <w:divBdr>
                                <w:top w:val="none" w:sz="0" w:space="0" w:color="auto"/>
                                <w:left w:val="none" w:sz="0" w:space="0" w:color="auto"/>
                                <w:bottom w:val="none" w:sz="0" w:space="0" w:color="auto"/>
                                <w:right w:val="none" w:sz="0" w:space="0" w:color="auto"/>
                              </w:divBdr>
                              <w:divsChild>
                                <w:div w:id="177886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692880">
      <w:bodyDiv w:val="1"/>
      <w:marLeft w:val="0"/>
      <w:marRight w:val="0"/>
      <w:marTop w:val="0"/>
      <w:marBottom w:val="0"/>
      <w:divBdr>
        <w:top w:val="none" w:sz="0" w:space="0" w:color="auto"/>
        <w:left w:val="none" w:sz="0" w:space="0" w:color="auto"/>
        <w:bottom w:val="none" w:sz="0" w:space="0" w:color="auto"/>
        <w:right w:val="none" w:sz="0" w:space="0" w:color="auto"/>
      </w:divBdr>
    </w:div>
    <w:div w:id="1102068235">
      <w:bodyDiv w:val="1"/>
      <w:marLeft w:val="0"/>
      <w:marRight w:val="0"/>
      <w:marTop w:val="0"/>
      <w:marBottom w:val="0"/>
      <w:divBdr>
        <w:top w:val="none" w:sz="0" w:space="0" w:color="auto"/>
        <w:left w:val="none" w:sz="0" w:space="0" w:color="auto"/>
        <w:bottom w:val="none" w:sz="0" w:space="0" w:color="auto"/>
        <w:right w:val="none" w:sz="0" w:space="0" w:color="auto"/>
      </w:divBdr>
    </w:div>
    <w:div w:id="1127548352">
      <w:bodyDiv w:val="1"/>
      <w:marLeft w:val="0"/>
      <w:marRight w:val="0"/>
      <w:marTop w:val="0"/>
      <w:marBottom w:val="0"/>
      <w:divBdr>
        <w:top w:val="none" w:sz="0" w:space="0" w:color="auto"/>
        <w:left w:val="none" w:sz="0" w:space="0" w:color="auto"/>
        <w:bottom w:val="none" w:sz="0" w:space="0" w:color="auto"/>
        <w:right w:val="none" w:sz="0" w:space="0" w:color="auto"/>
      </w:divBdr>
    </w:div>
    <w:div w:id="1196113654">
      <w:bodyDiv w:val="1"/>
      <w:marLeft w:val="0"/>
      <w:marRight w:val="0"/>
      <w:marTop w:val="0"/>
      <w:marBottom w:val="0"/>
      <w:divBdr>
        <w:top w:val="none" w:sz="0" w:space="0" w:color="auto"/>
        <w:left w:val="none" w:sz="0" w:space="0" w:color="auto"/>
        <w:bottom w:val="none" w:sz="0" w:space="0" w:color="auto"/>
        <w:right w:val="none" w:sz="0" w:space="0" w:color="auto"/>
      </w:divBdr>
    </w:div>
    <w:div w:id="1480726315">
      <w:bodyDiv w:val="1"/>
      <w:marLeft w:val="0"/>
      <w:marRight w:val="0"/>
      <w:marTop w:val="0"/>
      <w:marBottom w:val="0"/>
      <w:divBdr>
        <w:top w:val="none" w:sz="0" w:space="0" w:color="auto"/>
        <w:left w:val="none" w:sz="0" w:space="0" w:color="auto"/>
        <w:bottom w:val="none" w:sz="0" w:space="0" w:color="auto"/>
        <w:right w:val="none" w:sz="0" w:space="0" w:color="auto"/>
      </w:divBdr>
    </w:div>
    <w:div w:id="1817257916">
      <w:bodyDiv w:val="1"/>
      <w:marLeft w:val="0"/>
      <w:marRight w:val="0"/>
      <w:marTop w:val="0"/>
      <w:marBottom w:val="0"/>
      <w:divBdr>
        <w:top w:val="none" w:sz="0" w:space="0" w:color="auto"/>
        <w:left w:val="none" w:sz="0" w:space="0" w:color="auto"/>
        <w:bottom w:val="none" w:sz="0" w:space="0" w:color="auto"/>
        <w:right w:val="none" w:sz="0" w:space="0" w:color="auto"/>
      </w:divBdr>
    </w:div>
    <w:div w:id="205553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fe.govt.nz/publications/rma/guidance-format-standard" TargetMode="External"/><Relationship Id="rId18" Type="http://schemas.openxmlformats.org/officeDocument/2006/relationships/hyperlink" Target="http://www.mfe.govt.nz/rma/processes-and-how-get-involved/everyday-guide-rm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epuna.mfe.govt.nz/otcs/cs.dll/link/11709338?func=ll&amp;objId=11709338&amp;objAction=properties&amp;nexturl=%2Fotcs%2Fcs%2Edll%2Flink%2F11709338https://www.mfe.govt.nz/publications/rma/guidance-format-standard" TargetMode="External"/><Relationship Id="rId7" Type="http://schemas.openxmlformats.org/officeDocument/2006/relationships/endnotes" Target="endnotes.xml"/><Relationship Id="rId12" Type="http://schemas.openxmlformats.org/officeDocument/2006/relationships/hyperlink" Target="https://www.mfe.govt.nz/publications/rma/guidance-zone-framework-standard-and-district-spatial-layers-standard" TargetMode="External"/><Relationship Id="rId17" Type="http://schemas.openxmlformats.org/officeDocument/2006/relationships/hyperlink" Target="http://www.aucklanddesignmanual.co.nz/design-subjects/maori-design/te_aranga_principle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qualityplanning.org.nz/node/660" TargetMode="External"/><Relationship Id="rId20" Type="http://schemas.openxmlformats.org/officeDocument/2006/relationships/hyperlink" Target="http://www.qualityplanning.org.nz/sites/default/files/2018-11/Landscap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fe.govt.nz/publications/rma/guidance-district-spatial-layers-standard-and-zone-framework-standard"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earawhiti.govt.nz/assets/Maori-Crown-Relations-Roopu/6b46d994f8/Engagement-Guidelines-1-Oct-18.pdf" TargetMode="External"/><Relationship Id="rId23" Type="http://schemas.openxmlformats.org/officeDocument/2006/relationships/image" Target="media/image3.jpeg"/><Relationship Id="rId10" Type="http://schemas.openxmlformats.org/officeDocument/2006/relationships/hyperlink" Target="https://www.mfe.govt.nz/Node/24884" TargetMode="External"/><Relationship Id="rId19" Type="http://schemas.openxmlformats.org/officeDocument/2006/relationships/hyperlink" Target="https://www.mfe.govt.nz/publications/rma/guidance-format-standard" TargetMode="External"/><Relationship Id="rId4" Type="http://schemas.openxmlformats.org/officeDocument/2006/relationships/settings" Target="settings.xml"/><Relationship Id="rId9" Type="http://schemas.openxmlformats.org/officeDocument/2006/relationships/hyperlink" Target="https://www.mfe.govt.nz/Node/24882" TargetMode="External"/><Relationship Id="rId14" Type="http://schemas.openxmlformats.org/officeDocument/2006/relationships/hyperlink" Target="https://www.mfe.govt.nz/publications/rma/guidance-definitions-standard" TargetMode="External"/><Relationship Id="rId22" Type="http://schemas.openxmlformats.org/officeDocument/2006/relationships/image" Target="media/image2.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Mfe colours scheme">
      <a:dk1>
        <a:sysClr val="windowText" lastClr="000000"/>
      </a:dk1>
      <a:lt1>
        <a:sysClr val="window" lastClr="FFFFFF"/>
      </a:lt1>
      <a:dk2>
        <a:srgbClr val="32809C"/>
      </a:dk2>
      <a:lt2>
        <a:srgbClr val="EEECE1"/>
      </a:lt2>
      <a:accent1>
        <a:srgbClr val="1C556C"/>
      </a:accent1>
      <a:accent2>
        <a:srgbClr val="DA5A28"/>
      </a:accent2>
      <a:accent3>
        <a:srgbClr val="0F7B7D"/>
      </a:accent3>
      <a:accent4>
        <a:srgbClr val="2C9986"/>
      </a:accent4>
      <a:accent5>
        <a:srgbClr val="6FC7B7"/>
      </a:accent5>
      <a:accent6>
        <a:srgbClr val="723B24"/>
      </a:accent6>
      <a:hlink>
        <a:srgbClr val="1C556C"/>
      </a:hlink>
      <a:folHlink>
        <a:srgbClr val="1C556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EA5E8-D3D7-4EFD-A90E-1DF946DB8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12</Pages>
  <Words>4972</Words>
  <Characters>28342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Ministry for the Environment</Company>
  <LinksUpToDate>false</LinksUpToDate>
  <CharactersWithSpaces>33248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Cruden</dc:creator>
  <cp:keywords/>
  <dc:description/>
  <cp:lastModifiedBy>Dee Warring</cp:lastModifiedBy>
  <cp:revision>5</cp:revision>
  <cp:lastPrinted>2019-08-12T05:50:00Z</cp:lastPrinted>
  <dcterms:created xsi:type="dcterms:W3CDTF">2020-09-04T03:41:00Z</dcterms:created>
  <dcterms:modified xsi:type="dcterms:W3CDTF">2020-09-08T05:52:00Z</dcterms:modified>
</cp:coreProperties>
</file>