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782BC" w14:textId="4A6D0C85" w:rsidR="00557EA3" w:rsidRPr="00FB1B27" w:rsidRDefault="00557EA3" w:rsidP="008009B8">
      <w:pPr>
        <w:pStyle w:val="Heading1"/>
        <w:spacing w:before="240"/>
      </w:pPr>
      <w:bookmarkStart w:id="0" w:name="_GoBack"/>
      <w:bookmarkEnd w:id="0"/>
      <w:r>
        <w:rPr>
          <w:noProof/>
        </w:rPr>
        <w:drawing>
          <wp:anchor distT="0" distB="0" distL="114300" distR="114300" simplePos="0" relativeHeight="251656704" behindDoc="0" locked="0" layoutInCell="1" allowOverlap="1" wp14:anchorId="7455F10E" wp14:editId="595AF48B">
            <wp:simplePos x="0" y="0"/>
            <wp:positionH relativeFrom="column">
              <wp:posOffset>0</wp:posOffset>
            </wp:positionH>
            <wp:positionV relativeFrom="paragraph">
              <wp:posOffset>-243205</wp:posOffset>
            </wp:positionV>
            <wp:extent cx="5957888" cy="1981825"/>
            <wp:effectExtent l="0" t="0" r="5080" b="0"/>
            <wp:wrapSquare wrapText="bothSides"/>
            <wp:docPr id="3" name="Picture 3" descr="\\Anchor\BhadraZ$\Desktop\Planning standards and S32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chor\BhadraZ$\Desktop\Planning standards and S32s\head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7888" cy="198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449D" w:rsidRPr="00804668">
        <w:t>G</w:t>
      </w:r>
      <w:r w:rsidRPr="00804668">
        <w:t xml:space="preserve">uidance for </w:t>
      </w:r>
      <w:r w:rsidR="00804668">
        <w:t>14. Definitions S</w:t>
      </w:r>
      <w:r w:rsidRPr="00FB1B27">
        <w:t>tandard</w:t>
      </w:r>
    </w:p>
    <w:p w14:paraId="40AF424F" w14:textId="39253FA5" w:rsidR="00557EA3" w:rsidRPr="00C5177D" w:rsidRDefault="00557EA3" w:rsidP="00C5177D">
      <w:pPr>
        <w:pStyle w:val="BodyText"/>
        <w:rPr>
          <w:rFonts w:eastAsiaTheme="minorHAnsi" w:cs="Calibri"/>
        </w:rPr>
      </w:pPr>
      <w:r w:rsidRPr="003870AB">
        <w:t xml:space="preserve">This guidance </w:t>
      </w:r>
      <w:proofErr w:type="gramStart"/>
      <w:r w:rsidRPr="003870AB">
        <w:t>is intended</w:t>
      </w:r>
      <w:proofErr w:type="gramEnd"/>
      <w:r w:rsidRPr="003870AB">
        <w:t xml:space="preserve"> to help you understand </w:t>
      </w:r>
      <w:r w:rsidRPr="00C5177D">
        <w:t xml:space="preserve">and interpret the planning standard </w:t>
      </w:r>
      <w:r w:rsidRPr="008211BA">
        <w:rPr>
          <w:i/>
        </w:rPr>
        <w:t xml:space="preserve">14. Definitions </w:t>
      </w:r>
      <w:r w:rsidR="00C96937" w:rsidRPr="008211BA">
        <w:rPr>
          <w:i/>
        </w:rPr>
        <w:t>S</w:t>
      </w:r>
      <w:r w:rsidRPr="008211BA">
        <w:rPr>
          <w:i/>
        </w:rPr>
        <w:t>tandard</w:t>
      </w:r>
      <w:r w:rsidRPr="00C5177D">
        <w:t xml:space="preserve"> so you can implement it</w:t>
      </w:r>
      <w:r w:rsidR="00C9133D">
        <w:t xml:space="preserve"> </w:t>
      </w:r>
      <w:r w:rsidR="00C9133D" w:rsidRPr="00C5177D">
        <w:t>efficiently and effectively</w:t>
      </w:r>
      <w:r w:rsidRPr="00C5177D">
        <w:t xml:space="preserve">. </w:t>
      </w:r>
      <w:r w:rsidR="00C5177D" w:rsidRPr="00C5177D">
        <w:t xml:space="preserve">It </w:t>
      </w:r>
      <w:proofErr w:type="gramStart"/>
      <w:r w:rsidR="00C5177D" w:rsidRPr="00C5177D">
        <w:t>should be read</w:t>
      </w:r>
      <w:proofErr w:type="gramEnd"/>
      <w:r w:rsidR="00C5177D" w:rsidRPr="00C5177D">
        <w:t xml:space="preserve"> alongside </w:t>
      </w:r>
      <w:hyperlink r:id="rId9" w:history="1">
        <w:r w:rsidR="00CE4428" w:rsidRPr="008009B8">
          <w:rPr>
            <w:rStyle w:val="Hyperlink"/>
            <w:rFonts w:eastAsia="Times New Roman" w:cs="Times New Roman"/>
            <w:i/>
            <w:color w:val="2C9986"/>
            <w:szCs w:val="24"/>
            <w:u w:val="none"/>
            <w:lang w:val="en-US"/>
          </w:rPr>
          <w:t>R</w:t>
        </w:r>
        <w:r w:rsidR="00C5177D" w:rsidRPr="008009B8">
          <w:rPr>
            <w:rStyle w:val="Hyperlink"/>
            <w:rFonts w:eastAsia="Times New Roman" w:cs="Times New Roman"/>
            <w:i/>
            <w:color w:val="2C9986"/>
            <w:szCs w:val="24"/>
            <w:u w:val="none"/>
            <w:lang w:val="en-US"/>
          </w:rPr>
          <w:t>ecommendations on submissions report 2I Definitions Standard</w:t>
        </w:r>
      </w:hyperlink>
      <w:r w:rsidR="00C5177D" w:rsidRPr="00C5177D">
        <w:t xml:space="preserve"> for further context.</w:t>
      </w:r>
      <w:r w:rsidR="00C5177D">
        <w:t xml:space="preserve"> </w:t>
      </w:r>
    </w:p>
    <w:p w14:paraId="1E8FACA3" w14:textId="77777777" w:rsidR="007B4E1D" w:rsidRPr="007B4E1D" w:rsidRDefault="007B4E1D">
      <w:pPr>
        <w:pStyle w:val="Heading2"/>
      </w:pPr>
      <w:r w:rsidRPr="007B4E1D">
        <w:t>When planning standards definitions apply</w:t>
      </w:r>
    </w:p>
    <w:p w14:paraId="3D81BDBE" w14:textId="1A481BE6" w:rsidR="00701941" w:rsidRPr="00FB1B27" w:rsidRDefault="000B0094">
      <w:r>
        <w:t>Your p</w:t>
      </w:r>
      <w:r w:rsidR="007B4E1D" w:rsidRPr="00FB1B27">
        <w:t>olicy statements and plans must use the definiti</w:t>
      </w:r>
      <w:r w:rsidR="00994CB1" w:rsidRPr="00FB1B27">
        <w:t xml:space="preserve">ons in the </w:t>
      </w:r>
      <w:r w:rsidR="00994CB1" w:rsidRPr="00A03250">
        <w:rPr>
          <w:i/>
        </w:rPr>
        <w:t>Definitions L</w:t>
      </w:r>
      <w:r w:rsidR="007B4E1D" w:rsidRPr="00A03250">
        <w:rPr>
          <w:i/>
        </w:rPr>
        <w:t>ist</w:t>
      </w:r>
      <w:r w:rsidR="007B4E1D" w:rsidRPr="00FB1B27">
        <w:t xml:space="preserve"> for </w:t>
      </w:r>
      <w:r w:rsidR="00006AD5" w:rsidRPr="00FB1B27">
        <w:t>any</w:t>
      </w:r>
      <w:r w:rsidR="007B4E1D" w:rsidRPr="00FB1B27">
        <w:t xml:space="preserve"> terms</w:t>
      </w:r>
      <w:r w:rsidR="00006AD5" w:rsidRPr="00FB1B27">
        <w:t xml:space="preserve"> that</w:t>
      </w:r>
      <w:r w:rsidR="007B4E1D" w:rsidRPr="00FB1B27">
        <w:t xml:space="preserve"> have the meaning </w:t>
      </w:r>
      <w:r w:rsidR="00C9133D">
        <w:t xml:space="preserve">as </w:t>
      </w:r>
      <w:r w:rsidR="007B4E1D" w:rsidRPr="00FB1B27">
        <w:t>set out</w:t>
      </w:r>
      <w:r w:rsidR="00C9133D">
        <w:t xml:space="preserve"> </w:t>
      </w:r>
      <w:r w:rsidR="007B4E1D" w:rsidRPr="00FB1B27">
        <w:t xml:space="preserve">in the </w:t>
      </w:r>
      <w:r w:rsidR="007B4E1D" w:rsidRPr="00A03250">
        <w:rPr>
          <w:i/>
        </w:rPr>
        <w:t>Definitions List</w:t>
      </w:r>
      <w:r w:rsidR="007B4E1D" w:rsidRPr="00FB1B27">
        <w:t>.</w:t>
      </w:r>
      <w:r w:rsidR="00F7620E" w:rsidRPr="00FB1B27">
        <w:t xml:space="preserve"> </w:t>
      </w:r>
      <w:r w:rsidR="00701941" w:rsidRPr="00FB1B27">
        <w:t xml:space="preserve">There is no discretion for </w:t>
      </w:r>
      <w:r>
        <w:t>you</w:t>
      </w:r>
      <w:r w:rsidR="00701941" w:rsidRPr="00FB1B27">
        <w:t xml:space="preserve"> to choose whether to apply the definition. </w:t>
      </w:r>
    </w:p>
    <w:p w14:paraId="104E25FA" w14:textId="0EF969EE" w:rsidR="00F7620E" w:rsidRPr="007B4E1D" w:rsidRDefault="00F7620E">
      <w:r w:rsidRPr="007B4E1D">
        <w:t xml:space="preserve">If a </w:t>
      </w:r>
      <w:r w:rsidR="0029042E">
        <w:t>term</w:t>
      </w:r>
      <w:r w:rsidRPr="007B4E1D">
        <w:t xml:space="preserve"> </w:t>
      </w:r>
      <w:proofErr w:type="gramStart"/>
      <w:r w:rsidRPr="007B4E1D">
        <w:t>is used</w:t>
      </w:r>
      <w:proofErr w:type="gramEnd"/>
      <w:r w:rsidRPr="007B4E1D">
        <w:t xml:space="preserve"> in the same context, then the definition applies. </w:t>
      </w:r>
      <w:r w:rsidR="00701941" w:rsidRPr="007B4E1D">
        <w:t xml:space="preserve">The meaning </w:t>
      </w:r>
      <w:r w:rsidR="00701941">
        <w:t xml:space="preserve">of a term </w:t>
      </w:r>
      <w:r w:rsidR="00701941" w:rsidRPr="007B4E1D">
        <w:t xml:space="preserve">can be </w:t>
      </w:r>
      <w:proofErr w:type="gramStart"/>
      <w:r w:rsidR="00701941" w:rsidRPr="007B4E1D">
        <w:t>determined</w:t>
      </w:r>
      <w:proofErr w:type="gramEnd"/>
      <w:r w:rsidR="00701941" w:rsidRPr="007B4E1D">
        <w:t xml:space="preserve"> from </w:t>
      </w:r>
      <w:r w:rsidR="00C9133D">
        <w:t>its</w:t>
      </w:r>
      <w:r w:rsidR="00C9133D" w:rsidRPr="007B4E1D">
        <w:t xml:space="preserve"> </w:t>
      </w:r>
      <w:r w:rsidR="00701941" w:rsidRPr="007B4E1D">
        <w:t xml:space="preserve">context </w:t>
      </w:r>
      <w:r w:rsidR="008A1376">
        <w:t>in the policy statement or plan</w:t>
      </w:r>
      <w:r w:rsidR="00701941" w:rsidRPr="007B4E1D">
        <w:t>.</w:t>
      </w:r>
      <w:r w:rsidR="00BD06D5">
        <w:t xml:space="preserve"> </w:t>
      </w:r>
    </w:p>
    <w:p w14:paraId="21139DB2" w14:textId="732B8729" w:rsidR="007B4E1D" w:rsidRPr="007B4E1D" w:rsidRDefault="000B0094">
      <w:r>
        <w:t>You cannot use s</w:t>
      </w:r>
      <w:r w:rsidR="00F7620E" w:rsidRPr="007B4E1D">
        <w:t>ynonyms (</w:t>
      </w:r>
      <w:r w:rsidR="0029042E">
        <w:t>terms</w:t>
      </w:r>
      <w:r w:rsidR="00F7620E" w:rsidRPr="007B4E1D">
        <w:t xml:space="preserve"> </w:t>
      </w:r>
      <w:r w:rsidR="00C9133D">
        <w:t>with</w:t>
      </w:r>
      <w:r w:rsidR="00F7620E" w:rsidRPr="007B4E1D">
        <w:t xml:space="preserve"> the same or very similar meaning) of the terms defined in the </w:t>
      </w:r>
      <w:r w:rsidR="00F7620E" w:rsidRPr="00A03250">
        <w:rPr>
          <w:i/>
        </w:rPr>
        <w:t>Definitions List</w:t>
      </w:r>
      <w:r w:rsidR="00F7620E" w:rsidRPr="007B4E1D">
        <w:t xml:space="preserve">. The defined term </w:t>
      </w:r>
      <w:proofErr w:type="gramStart"/>
      <w:r w:rsidR="008019B7">
        <w:t>must</w:t>
      </w:r>
      <w:r w:rsidR="008019B7" w:rsidRPr="007B4E1D">
        <w:t xml:space="preserve"> </w:t>
      </w:r>
      <w:r w:rsidR="00F7620E" w:rsidRPr="007B4E1D">
        <w:t>be used</w:t>
      </w:r>
      <w:proofErr w:type="gramEnd"/>
      <w:r w:rsidR="00F7620E" w:rsidRPr="007B4E1D">
        <w:t xml:space="preserve"> instead and the definition applied.</w:t>
      </w:r>
    </w:p>
    <w:p w14:paraId="734AD343" w14:textId="7308F86F" w:rsidR="00BF5160" w:rsidRDefault="000B0094">
      <w:r>
        <w:t xml:space="preserve">You </w:t>
      </w:r>
      <w:r w:rsidR="00701941">
        <w:t>are not required to include a</w:t>
      </w:r>
      <w:r w:rsidR="007B4E1D" w:rsidRPr="007B4E1D">
        <w:t xml:space="preserve">ll </w:t>
      </w:r>
      <w:r w:rsidR="00006AD5">
        <w:t xml:space="preserve">of </w:t>
      </w:r>
      <w:r w:rsidR="007B4E1D" w:rsidRPr="007B4E1D">
        <w:t xml:space="preserve">the definitions in the </w:t>
      </w:r>
      <w:r w:rsidR="007B4E1D" w:rsidRPr="008A1376">
        <w:rPr>
          <w:i/>
        </w:rPr>
        <w:t>Definitions List</w:t>
      </w:r>
      <w:r w:rsidR="00006AD5">
        <w:t>,</w:t>
      </w:r>
      <w:r w:rsidR="007B4E1D" w:rsidRPr="007B4E1D">
        <w:t xml:space="preserve"> only those used in context </w:t>
      </w:r>
      <w:r w:rsidR="00C9133D">
        <w:t>in</w:t>
      </w:r>
      <w:r w:rsidR="00C9133D" w:rsidRPr="007B4E1D">
        <w:t xml:space="preserve"> </w:t>
      </w:r>
      <w:r>
        <w:t xml:space="preserve">your </w:t>
      </w:r>
      <w:r w:rsidR="008A1376">
        <w:t>policy statement or plan</w:t>
      </w:r>
      <w:r w:rsidR="007B4E1D" w:rsidRPr="007B4E1D">
        <w:t xml:space="preserve">. </w:t>
      </w:r>
    </w:p>
    <w:p w14:paraId="24429ED8" w14:textId="09DCAC02" w:rsidR="008A1376" w:rsidRPr="003870AB" w:rsidRDefault="008A1376" w:rsidP="003870AB">
      <w:pPr>
        <w:pStyle w:val="Heading2"/>
      </w:pPr>
      <w:r w:rsidRPr="003870AB">
        <w:t>Subcategories and narrower definitions</w:t>
      </w:r>
    </w:p>
    <w:p w14:paraId="77583FD3" w14:textId="3A02B891" w:rsidR="003870AB" w:rsidRDefault="000B0094">
      <w:r>
        <w:t xml:space="preserve">You </w:t>
      </w:r>
      <w:r w:rsidR="007A722C">
        <w:t xml:space="preserve">may </w:t>
      </w:r>
      <w:r w:rsidR="007A722C" w:rsidRPr="007B4E1D">
        <w:t>define terms or phrases used within a definition</w:t>
      </w:r>
      <w:r w:rsidR="00407535">
        <w:t xml:space="preserve"> (</w:t>
      </w:r>
      <w:proofErr w:type="spellStart"/>
      <w:r w:rsidR="00407535">
        <w:t>ie</w:t>
      </w:r>
      <w:proofErr w:type="spellEnd"/>
      <w:r w:rsidR="00407535">
        <w:t>, subcategory definition)</w:t>
      </w:r>
      <w:r w:rsidR="007A722C" w:rsidRPr="007B4E1D">
        <w:t xml:space="preserve">. For </w:t>
      </w:r>
      <w:r w:rsidR="007A722C">
        <w:t>example</w:t>
      </w:r>
      <w:r w:rsidR="003870AB">
        <w:t>:</w:t>
      </w:r>
    </w:p>
    <w:p w14:paraId="40F14F3B" w14:textId="2160232F" w:rsidR="003870AB" w:rsidRDefault="00407535" w:rsidP="0056757C">
      <w:pPr>
        <w:pStyle w:val="Bullet"/>
      </w:pPr>
      <w:proofErr w:type="gramStart"/>
      <w:r>
        <w:t>the</w:t>
      </w:r>
      <w:proofErr w:type="gramEnd"/>
      <w:r w:rsidR="007A722C" w:rsidRPr="007B4E1D">
        <w:t xml:space="preserve"> </w:t>
      </w:r>
      <w:r w:rsidR="007A722C" w:rsidRPr="008D7792">
        <w:t xml:space="preserve">definition of reclamation refers to the “formation of </w:t>
      </w:r>
      <w:r w:rsidR="00375AE9">
        <w:t>permanent dry land”</w:t>
      </w:r>
      <w:r>
        <w:t xml:space="preserve">. </w:t>
      </w:r>
      <w:r w:rsidR="00C233BF">
        <w:t>Councils</w:t>
      </w:r>
      <w:r w:rsidR="007A722C" w:rsidRPr="007B4E1D">
        <w:t xml:space="preserve"> may </w:t>
      </w:r>
      <w:r w:rsidR="007A722C">
        <w:t xml:space="preserve">choose to </w:t>
      </w:r>
      <w:r w:rsidR="007A722C" w:rsidRPr="007B4E1D">
        <w:t>define “permanent dry land”</w:t>
      </w:r>
      <w:r>
        <w:t xml:space="preserve"> </w:t>
      </w:r>
    </w:p>
    <w:p w14:paraId="5E95E8A5" w14:textId="690E39D1" w:rsidR="003870AB" w:rsidRDefault="003870AB" w:rsidP="0056757C">
      <w:pPr>
        <w:pStyle w:val="Bullet"/>
      </w:pPr>
      <w:proofErr w:type="gramStart"/>
      <w:r>
        <w:t>a</w:t>
      </w:r>
      <w:proofErr w:type="gramEnd"/>
      <w:r>
        <w:t xml:space="preserve"> </w:t>
      </w:r>
      <w:r w:rsidR="00C233BF">
        <w:t>council</w:t>
      </w:r>
      <w:r>
        <w:t xml:space="preserve"> </w:t>
      </w:r>
      <w:r w:rsidRPr="007B4E1D">
        <w:t xml:space="preserve">may </w:t>
      </w:r>
      <w:r>
        <w:t xml:space="preserve">wish to </w:t>
      </w:r>
      <w:r w:rsidRPr="007B4E1D">
        <w:t>define “causeway</w:t>
      </w:r>
      <w:r>
        <w:t>s</w:t>
      </w:r>
      <w:r w:rsidR="000B0094">
        <w:t>” for the purpose</w:t>
      </w:r>
      <w:r w:rsidRPr="007B4E1D">
        <w:t xml:space="preserve"> of managing reclamations</w:t>
      </w:r>
      <w:r w:rsidR="00407535">
        <w:t xml:space="preserve">, which is a term defined in the </w:t>
      </w:r>
      <w:r w:rsidR="00407535" w:rsidRPr="00A03250">
        <w:rPr>
          <w:i/>
        </w:rPr>
        <w:t>Definitions List</w:t>
      </w:r>
      <w:r w:rsidR="00317D4F">
        <w:rPr>
          <w:i/>
        </w:rPr>
        <w:t>.</w:t>
      </w:r>
    </w:p>
    <w:p w14:paraId="24128DDD" w14:textId="7185F1B8" w:rsidR="00314647" w:rsidRPr="007B4E1D" w:rsidRDefault="007A722C">
      <w:r w:rsidRPr="007B4E1D">
        <w:t xml:space="preserve">We expect </w:t>
      </w:r>
      <w:r w:rsidR="00C9133D">
        <w:t xml:space="preserve">councils to define </w:t>
      </w:r>
      <w:r w:rsidRPr="007B4E1D">
        <w:t xml:space="preserve">any such definition accurately </w:t>
      </w:r>
      <w:r w:rsidR="001A22D5">
        <w:t xml:space="preserve">and </w:t>
      </w:r>
      <w:r w:rsidRPr="007B4E1D">
        <w:t xml:space="preserve">in a way that is </w:t>
      </w:r>
      <w:r w:rsidR="00C9133D">
        <w:t>consistent with</w:t>
      </w:r>
      <w:r w:rsidRPr="007B4E1D">
        <w:t xml:space="preserve"> the main definition</w:t>
      </w:r>
      <w:r w:rsidR="00C9133D">
        <w:t xml:space="preserve"> in the </w:t>
      </w:r>
      <w:r w:rsidR="00C9133D" w:rsidRPr="008211BA">
        <w:rPr>
          <w:i/>
        </w:rPr>
        <w:t>Definitions List</w:t>
      </w:r>
      <w:r w:rsidRPr="007B4E1D">
        <w:t>.</w:t>
      </w:r>
      <w:r w:rsidR="00BD06D5">
        <w:t xml:space="preserve"> </w:t>
      </w:r>
    </w:p>
    <w:p w14:paraId="086C978E" w14:textId="56708303" w:rsidR="007B4E1D" w:rsidRDefault="00C9133D">
      <w:r>
        <w:t>We anticipate n</w:t>
      </w:r>
      <w:r w:rsidR="00314647" w:rsidRPr="007B4E1D">
        <w:t>arrower appl</w:t>
      </w:r>
      <w:r w:rsidR="00314647">
        <w:t xml:space="preserve">ications of definitions </w:t>
      </w:r>
      <w:r w:rsidR="00E17F77">
        <w:t xml:space="preserve">in the </w:t>
      </w:r>
      <w:r w:rsidR="00E17F77" w:rsidRPr="00A03250">
        <w:rPr>
          <w:i/>
        </w:rPr>
        <w:t>Definitions List</w:t>
      </w:r>
      <w:r w:rsidR="00E17F77">
        <w:t xml:space="preserve"> where this is </w:t>
      </w:r>
      <w:r>
        <w:t xml:space="preserve">necessary </w:t>
      </w:r>
      <w:r w:rsidR="00E17F77">
        <w:t xml:space="preserve">to manage specific </w:t>
      </w:r>
      <w:r w:rsidR="00FB1B27">
        <w:t>issues. For</w:t>
      </w:r>
      <w:r w:rsidR="00314647">
        <w:t xml:space="preserve"> example</w:t>
      </w:r>
      <w:r w:rsidR="00314647" w:rsidRPr="007B4E1D">
        <w:t xml:space="preserve">, “ancillary activity” </w:t>
      </w:r>
      <w:proofErr w:type="gramStart"/>
      <w:r w:rsidR="00314647" w:rsidRPr="007B4E1D">
        <w:t>is de</w:t>
      </w:r>
      <w:r w:rsidR="00314647">
        <w:t>fined</w:t>
      </w:r>
      <w:proofErr w:type="gramEnd"/>
      <w:r w:rsidR="00314647">
        <w:t xml:space="preserve"> in the planning standards</w:t>
      </w:r>
      <w:r w:rsidR="008A1376">
        <w:t>,</w:t>
      </w:r>
      <w:r w:rsidR="00314647">
        <w:t xml:space="preserve"> however a </w:t>
      </w:r>
      <w:r w:rsidR="00C233BF">
        <w:t>council</w:t>
      </w:r>
      <w:r w:rsidR="00314647">
        <w:t xml:space="preserve"> may </w:t>
      </w:r>
      <w:r w:rsidR="00314647" w:rsidRPr="007B4E1D">
        <w:t>provide a definition for a narrower application such as “ancillary industrial activity”</w:t>
      </w:r>
      <w:r w:rsidR="00C954CA">
        <w:t xml:space="preserve"> if </w:t>
      </w:r>
      <w:r w:rsidR="00317D4F">
        <w:t>it</w:t>
      </w:r>
      <w:r w:rsidR="00E17F77">
        <w:t xml:space="preserve"> has concerns about the scope of activities that </w:t>
      </w:r>
      <w:r>
        <w:t xml:space="preserve">some might argue are </w:t>
      </w:r>
      <w:r w:rsidR="00E17F77">
        <w:t>ancillary to an industrial activity (</w:t>
      </w:r>
      <w:proofErr w:type="spellStart"/>
      <w:r w:rsidR="00E17F77">
        <w:t>eg</w:t>
      </w:r>
      <w:proofErr w:type="spellEnd"/>
      <w:r w:rsidR="00E17F77">
        <w:t>, on</w:t>
      </w:r>
      <w:r>
        <w:t>-</w:t>
      </w:r>
      <w:r w:rsidR="00E17F77">
        <w:t>site residential activities)</w:t>
      </w:r>
      <w:r w:rsidR="00314647" w:rsidRPr="007B4E1D">
        <w:t xml:space="preserve">. </w:t>
      </w:r>
      <w:r w:rsidR="00407535">
        <w:t>Any narrower definition</w:t>
      </w:r>
      <w:r>
        <w:t>s</w:t>
      </w:r>
      <w:r w:rsidR="00407535">
        <w:t xml:space="preserve"> </w:t>
      </w:r>
      <w:r w:rsidR="00314647" w:rsidRPr="007B4E1D">
        <w:t xml:space="preserve">must be consistent with the meaning </w:t>
      </w:r>
      <w:r w:rsidR="007A722C">
        <w:t xml:space="preserve">of </w:t>
      </w:r>
      <w:r w:rsidR="00407535">
        <w:t xml:space="preserve">the main definition </w:t>
      </w:r>
      <w:r w:rsidR="007A722C">
        <w:t>in the planning standards</w:t>
      </w:r>
      <w:r w:rsidR="00314647" w:rsidRPr="007B4E1D">
        <w:t xml:space="preserve">. </w:t>
      </w:r>
    </w:p>
    <w:p w14:paraId="57994808" w14:textId="7428E4ED" w:rsidR="00E17F77" w:rsidRDefault="00E17F77">
      <w:r>
        <w:lastRenderedPageBreak/>
        <w:t>Anothe</w:t>
      </w:r>
      <w:r w:rsidR="00C954CA">
        <w:t xml:space="preserve">r </w:t>
      </w:r>
      <w:proofErr w:type="gramStart"/>
      <w:r w:rsidR="00C954CA">
        <w:t>example</w:t>
      </w:r>
      <w:proofErr w:type="gramEnd"/>
      <w:r w:rsidR="00C954CA">
        <w:t xml:space="preserve"> is </w:t>
      </w:r>
      <w:proofErr w:type="gramStart"/>
      <w:r w:rsidR="00C954CA">
        <w:t>where</w:t>
      </w:r>
      <w:proofErr w:type="gramEnd"/>
      <w:r w:rsidR="00C954CA">
        <w:t xml:space="preserve"> some </w:t>
      </w:r>
      <w:r w:rsidR="00C233BF">
        <w:t>councils</w:t>
      </w:r>
      <w:r>
        <w:t xml:space="preserve"> </w:t>
      </w:r>
      <w:r w:rsidR="00407535">
        <w:t>wish</w:t>
      </w:r>
      <w:r w:rsidR="0076272E">
        <w:t xml:space="preserve"> </w:t>
      </w:r>
      <w:r>
        <w:t>to manage farm quarries separately from quarries generally.</w:t>
      </w:r>
      <w:r w:rsidR="00BD06D5">
        <w:t xml:space="preserve"> </w:t>
      </w:r>
      <w:r>
        <w:t>In this case</w:t>
      </w:r>
      <w:r w:rsidR="00407535">
        <w:t>,</w:t>
      </w:r>
      <w:r w:rsidR="00C954CA">
        <w:t xml:space="preserve"> we suggest </w:t>
      </w:r>
      <w:r w:rsidR="00C233BF">
        <w:t>councils</w:t>
      </w:r>
      <w:r>
        <w:t xml:space="preserve"> create a </w:t>
      </w:r>
      <w:r w:rsidR="0076272E">
        <w:t xml:space="preserve">narrower </w:t>
      </w:r>
      <w:r>
        <w:t xml:space="preserve">definition </w:t>
      </w:r>
      <w:r w:rsidR="0076272E">
        <w:t xml:space="preserve">for </w:t>
      </w:r>
      <w:r>
        <w:t>“farm quarry”.</w:t>
      </w:r>
      <w:r w:rsidR="00BD06D5">
        <w:t xml:space="preserve"> </w:t>
      </w:r>
    </w:p>
    <w:p w14:paraId="556D078F" w14:textId="77777777" w:rsidR="00A42C6E" w:rsidRDefault="00A42C6E" w:rsidP="00A42C6E">
      <w:pPr>
        <w:pStyle w:val="Heading2"/>
      </w:pPr>
      <w:r>
        <w:t>Definitions vs glossary</w:t>
      </w:r>
    </w:p>
    <w:p w14:paraId="43EED00A" w14:textId="32261503" w:rsidR="00E97274" w:rsidRDefault="00E97274" w:rsidP="00E97274">
      <w:pPr>
        <w:pStyle w:val="BodyText"/>
      </w:pPr>
      <w:r>
        <w:t xml:space="preserve">The definitions in the </w:t>
      </w:r>
      <w:r w:rsidRPr="00A42C6E">
        <w:rPr>
          <w:i/>
        </w:rPr>
        <w:t>14. Definition Standard</w:t>
      </w:r>
      <w:r>
        <w:t xml:space="preserve"> include terms </w:t>
      </w:r>
      <w:r w:rsidR="00C9133D">
        <w:t>that</w:t>
      </w:r>
      <w:r>
        <w:t xml:space="preserve"> </w:t>
      </w:r>
      <w:proofErr w:type="gramStart"/>
      <w:r>
        <w:t>must be applied</w:t>
      </w:r>
      <w:proofErr w:type="gramEnd"/>
      <w:r>
        <w:t xml:space="preserve"> in your plan and/or policy statement. Definitions prescribe the meaning of a term </w:t>
      </w:r>
      <w:r w:rsidR="00C9133D">
        <w:t>that</w:t>
      </w:r>
      <w:r>
        <w:t xml:space="preserve"> </w:t>
      </w:r>
      <w:proofErr w:type="gramStart"/>
      <w:r>
        <w:t>must be applied</w:t>
      </w:r>
      <w:proofErr w:type="gramEnd"/>
      <w:r>
        <w:t xml:space="preserve"> where that term is used in the relevant context. The </w:t>
      </w:r>
      <w:r w:rsidRPr="00A42C6E">
        <w:rPr>
          <w:i/>
        </w:rPr>
        <w:t>14. Definitions Standard</w:t>
      </w:r>
      <w:r>
        <w:t xml:space="preserve"> is mandatory.  </w:t>
      </w:r>
    </w:p>
    <w:p w14:paraId="3BAFF2C3" w14:textId="0D62EF31" w:rsidR="00E97274" w:rsidRDefault="000B0094" w:rsidP="00E97274">
      <w:pPr>
        <w:pStyle w:val="BodyText"/>
      </w:pPr>
      <w:r>
        <w:t>A</w:t>
      </w:r>
      <w:r w:rsidR="00E97274">
        <w:t xml:space="preserve"> </w:t>
      </w:r>
      <w:proofErr w:type="gramStart"/>
      <w:r w:rsidR="00E97274">
        <w:t>glossary</w:t>
      </w:r>
      <w:proofErr w:type="gramEnd"/>
      <w:r w:rsidR="00E97274">
        <w:t xml:space="preserve"> is </w:t>
      </w:r>
      <w:proofErr w:type="gramStart"/>
      <w:r w:rsidR="00E97274">
        <w:t>where</w:t>
      </w:r>
      <w:proofErr w:type="gramEnd"/>
      <w:r w:rsidR="00E97274">
        <w:t xml:space="preserve"> terms from a specific subject matter, text or dialect are listed with explanations. It </w:t>
      </w:r>
      <w:r w:rsidR="00C9133D">
        <w:t>explains</w:t>
      </w:r>
      <w:r w:rsidR="00E97274">
        <w:t xml:space="preserve"> </w:t>
      </w:r>
      <w:r>
        <w:t xml:space="preserve">more specialist </w:t>
      </w:r>
      <w:r w:rsidR="00E97274">
        <w:t xml:space="preserve">terms </w:t>
      </w:r>
      <w:r>
        <w:t xml:space="preserve">or ones </w:t>
      </w:r>
      <w:r w:rsidR="00E97274">
        <w:t xml:space="preserve">not easily understood. </w:t>
      </w:r>
      <w:r>
        <w:t>However, a</w:t>
      </w:r>
      <w:r w:rsidR="00E97274">
        <w:t xml:space="preserve"> term must be included in the </w:t>
      </w:r>
      <w:r w:rsidR="00C9133D" w:rsidRPr="008211BA">
        <w:rPr>
          <w:i/>
        </w:rPr>
        <w:t>D</w:t>
      </w:r>
      <w:r w:rsidR="00E97274" w:rsidRPr="008211BA">
        <w:rPr>
          <w:i/>
        </w:rPr>
        <w:t xml:space="preserve">efinitions </w:t>
      </w:r>
      <w:r w:rsidR="00C9133D" w:rsidRPr="008211BA">
        <w:rPr>
          <w:i/>
        </w:rPr>
        <w:t>L</w:t>
      </w:r>
      <w:r w:rsidR="00E97274" w:rsidRPr="008211BA">
        <w:rPr>
          <w:i/>
        </w:rPr>
        <w:t>ist</w:t>
      </w:r>
      <w:r w:rsidR="00E97274">
        <w:t xml:space="preserve"> where </w:t>
      </w:r>
      <w:r w:rsidR="00C9133D">
        <w:t>it</w:t>
      </w:r>
      <w:r w:rsidR="00E97274">
        <w:t xml:space="preserve"> is in a provision </w:t>
      </w:r>
      <w:r w:rsidR="00C9133D">
        <w:t>(</w:t>
      </w:r>
      <w:r w:rsidR="00E97274">
        <w:t>such as an objective, policy and/or rule</w:t>
      </w:r>
      <w:r w:rsidR="00C9133D">
        <w:t>)</w:t>
      </w:r>
      <w:r w:rsidR="00E97274">
        <w:t xml:space="preserve"> and </w:t>
      </w:r>
      <w:r w:rsidR="00C9133D">
        <w:t>its interpretation</w:t>
      </w:r>
      <w:r w:rsidR="00E97274">
        <w:t xml:space="preserve"> is important in determining the activity status of a rule. For example, </w:t>
      </w:r>
      <w:proofErr w:type="spellStart"/>
      <w:proofErr w:type="gramStart"/>
      <w:r w:rsidR="00E97274">
        <w:t>te</w:t>
      </w:r>
      <w:proofErr w:type="spellEnd"/>
      <w:proofErr w:type="gramEnd"/>
      <w:r w:rsidR="00E97274">
        <w:t xml:space="preserve"> reo Māori terms may be listed and explained in a glossary unless </w:t>
      </w:r>
      <w:r w:rsidR="008C525F">
        <w:t>that term is</w:t>
      </w:r>
      <w:r w:rsidR="00E97274">
        <w:t xml:space="preserve"> stated within a provision such as a rule</w:t>
      </w:r>
      <w:r w:rsidR="008C525F">
        <w:t xml:space="preserve">. In this </w:t>
      </w:r>
      <w:r w:rsidR="00E97274">
        <w:t>case</w:t>
      </w:r>
      <w:r w:rsidR="008C525F">
        <w:t>,</w:t>
      </w:r>
      <w:r w:rsidR="00E97274">
        <w:t xml:space="preserve"> </w:t>
      </w:r>
      <w:r w:rsidR="008C525F">
        <w:t xml:space="preserve">the </w:t>
      </w:r>
      <w:proofErr w:type="spellStart"/>
      <w:proofErr w:type="gramStart"/>
      <w:r w:rsidR="008C525F">
        <w:t>te</w:t>
      </w:r>
      <w:proofErr w:type="spellEnd"/>
      <w:proofErr w:type="gramEnd"/>
      <w:r w:rsidR="008C525F">
        <w:t xml:space="preserve"> reo Māori term</w:t>
      </w:r>
      <w:r w:rsidR="00E97274">
        <w:t xml:space="preserve"> must be defined and listed in the definitions chapter. </w:t>
      </w:r>
    </w:p>
    <w:p w14:paraId="7CF846E8" w14:textId="514EE790" w:rsidR="00E97274" w:rsidRPr="007B4E1D" w:rsidRDefault="00E97274" w:rsidP="00E97274">
      <w:pPr>
        <w:pStyle w:val="BodyText"/>
      </w:pPr>
      <w:r>
        <w:t xml:space="preserve">Where not specified in a provision, a glossary </w:t>
      </w:r>
      <w:r w:rsidR="008C525F">
        <w:t xml:space="preserve">allows </w:t>
      </w:r>
      <w:r>
        <w:t xml:space="preserve">councils to use local </w:t>
      </w:r>
      <w:proofErr w:type="spellStart"/>
      <w:proofErr w:type="gramStart"/>
      <w:r>
        <w:t>te</w:t>
      </w:r>
      <w:proofErr w:type="spellEnd"/>
      <w:proofErr w:type="gramEnd"/>
      <w:r>
        <w:t xml:space="preserve"> reo Māori terms where relevant. If these </w:t>
      </w:r>
      <w:proofErr w:type="gramStart"/>
      <w:r>
        <w:t>were listed</w:t>
      </w:r>
      <w:proofErr w:type="gramEnd"/>
      <w:r>
        <w:t xml:space="preserve"> in the definitions chapter </w:t>
      </w:r>
      <w:r w:rsidR="000B0094">
        <w:t xml:space="preserve">instead </w:t>
      </w:r>
      <w:r w:rsidR="008C525F">
        <w:t>of</w:t>
      </w:r>
      <w:r>
        <w:t xml:space="preserve"> the planning standards, </w:t>
      </w:r>
      <w:r w:rsidR="008C525F">
        <w:t>it</w:t>
      </w:r>
      <w:r>
        <w:t xml:space="preserve"> would remov</w:t>
      </w:r>
      <w:r w:rsidR="008C525F">
        <w:t>e</w:t>
      </w:r>
      <w:r>
        <w:t xml:space="preserve"> the ability for local variations or dialect</w:t>
      </w:r>
      <w:r w:rsidR="008C525F">
        <w:t>s</w:t>
      </w:r>
      <w:r>
        <w:t xml:space="preserve"> to be used. Other words of a specialist nature that </w:t>
      </w:r>
      <w:r w:rsidR="008C525F">
        <w:t>need</w:t>
      </w:r>
      <w:r>
        <w:t xml:space="preserve"> an explanation </w:t>
      </w:r>
      <w:proofErr w:type="gramStart"/>
      <w:r>
        <w:t>may also be listed</w:t>
      </w:r>
      <w:proofErr w:type="gramEnd"/>
      <w:r>
        <w:t xml:space="preserve"> in the </w:t>
      </w:r>
      <w:r w:rsidR="008C525F">
        <w:t>g</w:t>
      </w:r>
      <w:r>
        <w:t xml:space="preserve">lossary. The </w:t>
      </w:r>
      <w:r w:rsidR="008C525F">
        <w:t>g</w:t>
      </w:r>
      <w:r>
        <w:t>lossary chapter is optional in the planning standards.</w:t>
      </w:r>
    </w:p>
    <w:p w14:paraId="48FEE75F" w14:textId="7331C1F5" w:rsidR="007B4E1D" w:rsidRPr="007B4E1D" w:rsidRDefault="007B4E1D" w:rsidP="00375AE9">
      <w:pPr>
        <w:pStyle w:val="Heading2"/>
      </w:pPr>
      <w:r w:rsidRPr="007B4E1D">
        <w:t>Definitions in district and regional plans</w:t>
      </w:r>
    </w:p>
    <w:p w14:paraId="75FEF79B" w14:textId="0194DA5A" w:rsidR="007B4E1D" w:rsidRPr="007B4E1D" w:rsidRDefault="007B4E1D" w:rsidP="00375AE9">
      <w:r w:rsidRPr="007B4E1D">
        <w:t xml:space="preserve">The definitions </w:t>
      </w:r>
      <w:proofErr w:type="gramStart"/>
      <w:r w:rsidRPr="007B4E1D">
        <w:t xml:space="preserve">have been </w:t>
      </w:r>
      <w:r w:rsidR="0029042E">
        <w:t>drafted</w:t>
      </w:r>
      <w:proofErr w:type="gramEnd"/>
      <w:r w:rsidRPr="007B4E1D">
        <w:t xml:space="preserve"> broadly so where the meaning of a term is the same or similar</w:t>
      </w:r>
      <w:r w:rsidR="008C525F">
        <w:t>,</w:t>
      </w:r>
      <w:r w:rsidRPr="007B4E1D">
        <w:t xml:space="preserve"> the definition </w:t>
      </w:r>
      <w:r w:rsidR="008C525F">
        <w:t>can be used</w:t>
      </w:r>
      <w:r w:rsidRPr="007B4E1D">
        <w:t xml:space="preserve"> </w:t>
      </w:r>
      <w:r w:rsidR="008C525F">
        <w:t>in</w:t>
      </w:r>
      <w:r w:rsidR="008C525F" w:rsidRPr="007B4E1D">
        <w:t xml:space="preserve"> </w:t>
      </w:r>
      <w:r w:rsidRPr="007B4E1D">
        <w:t>both regional and district plans.</w:t>
      </w:r>
      <w:r w:rsidR="0029042E" w:rsidRPr="0029042E">
        <w:t xml:space="preserve"> </w:t>
      </w:r>
      <w:r w:rsidR="0029042E" w:rsidRPr="007B4E1D">
        <w:t xml:space="preserve">Most definitions </w:t>
      </w:r>
      <w:proofErr w:type="gramStart"/>
      <w:r w:rsidR="0029042E" w:rsidRPr="007B4E1D">
        <w:t>may be used</w:t>
      </w:r>
      <w:proofErr w:type="gramEnd"/>
      <w:r w:rsidR="0029042E" w:rsidRPr="007B4E1D">
        <w:t xml:space="preserve"> by either district or regional plans</w:t>
      </w:r>
      <w:r w:rsidR="008C525F">
        <w:t>,</w:t>
      </w:r>
      <w:r w:rsidR="0029042E" w:rsidRPr="007B4E1D">
        <w:t xml:space="preserve"> where applicable.</w:t>
      </w:r>
    </w:p>
    <w:p w14:paraId="05A3D801" w14:textId="46894CE4" w:rsidR="007B4E1D" w:rsidRPr="007B4E1D" w:rsidRDefault="00BD6D98">
      <w:r>
        <w:t>T</w:t>
      </w:r>
      <w:r w:rsidR="007B4E1D" w:rsidRPr="007B4E1D">
        <w:t xml:space="preserve">he </w:t>
      </w:r>
      <w:r>
        <w:t>terms “site” and “ground level”</w:t>
      </w:r>
      <w:r w:rsidR="007B4E1D" w:rsidRPr="007B4E1D">
        <w:t xml:space="preserve"> are </w:t>
      </w:r>
      <w:r w:rsidR="00407535">
        <w:t xml:space="preserve">the only terms </w:t>
      </w:r>
      <w:r w:rsidR="008C525F">
        <w:t>with</w:t>
      </w:r>
      <w:r w:rsidR="00407535">
        <w:t xml:space="preserve"> a </w:t>
      </w:r>
      <w:r w:rsidR="0076272E">
        <w:t>specified</w:t>
      </w:r>
      <w:r w:rsidR="00407535">
        <w:t xml:space="preserve"> application for use in </w:t>
      </w:r>
      <w:r w:rsidR="007B4E1D" w:rsidRPr="007B4E1D">
        <w:t>district plans and the district plan component of combined plans.</w:t>
      </w:r>
      <w:r w:rsidR="00BD06D5">
        <w:t xml:space="preserve"> </w:t>
      </w:r>
      <w:r w:rsidR="007B4E1D" w:rsidRPr="007B4E1D">
        <w:t xml:space="preserve"> </w:t>
      </w:r>
    </w:p>
    <w:p w14:paraId="79A24134" w14:textId="31098F10" w:rsidR="007B4E1D" w:rsidRPr="007B4E1D" w:rsidRDefault="007B4E1D" w:rsidP="000B4A33">
      <w:pPr>
        <w:pStyle w:val="Heading2"/>
      </w:pPr>
      <w:r w:rsidRPr="007B4E1D">
        <w:t xml:space="preserve">Displaying definitions in </w:t>
      </w:r>
      <w:r w:rsidR="00006AD5">
        <w:t xml:space="preserve">policy statements and </w:t>
      </w:r>
      <w:r w:rsidRPr="007B4E1D">
        <w:t>plans</w:t>
      </w:r>
      <w:r w:rsidR="003870AB" w:rsidRPr="003870AB">
        <w:t xml:space="preserve"> </w:t>
      </w:r>
    </w:p>
    <w:p w14:paraId="32503FC9" w14:textId="75EB02DA" w:rsidR="007B4E1D" w:rsidRPr="007B4E1D" w:rsidRDefault="007B4E1D">
      <w:r w:rsidRPr="007B4E1D">
        <w:t xml:space="preserve">Where the definitions in the </w:t>
      </w:r>
      <w:r w:rsidR="008C525F" w:rsidRPr="008C525F">
        <w:rPr>
          <w:i/>
        </w:rPr>
        <w:t>Definitions List</w:t>
      </w:r>
      <w:r w:rsidRPr="007B4E1D">
        <w:t xml:space="preserve"> </w:t>
      </w:r>
      <w:r w:rsidR="008C525F">
        <w:t>are applied</w:t>
      </w:r>
      <w:r w:rsidRPr="007B4E1D">
        <w:t xml:space="preserve">, the defined term </w:t>
      </w:r>
      <w:proofErr w:type="gramStart"/>
      <w:r w:rsidRPr="007B4E1D">
        <w:t>should be highlighted or marked</w:t>
      </w:r>
      <w:r w:rsidR="00D87AE1">
        <w:t xml:space="preserve"> in accordance with </w:t>
      </w:r>
      <w:r w:rsidR="00D87AE1" w:rsidRPr="00BD6D98">
        <w:rPr>
          <w:i/>
        </w:rPr>
        <w:t>10</w:t>
      </w:r>
      <w:proofErr w:type="gramEnd"/>
      <w:r w:rsidR="00D87AE1" w:rsidRPr="00BD6D98">
        <w:rPr>
          <w:i/>
        </w:rPr>
        <w:t xml:space="preserve">. Format </w:t>
      </w:r>
      <w:r w:rsidR="006D2919" w:rsidRPr="008211BA">
        <w:rPr>
          <w:i/>
        </w:rPr>
        <w:t>S</w:t>
      </w:r>
      <w:r w:rsidR="00D87AE1" w:rsidRPr="008211BA">
        <w:rPr>
          <w:i/>
        </w:rPr>
        <w:t>tandard</w:t>
      </w:r>
      <w:r w:rsidRPr="007B4E1D">
        <w:t xml:space="preserve"> so it is clear to users </w:t>
      </w:r>
      <w:r w:rsidR="000B0094">
        <w:t xml:space="preserve">that </w:t>
      </w:r>
      <w:r w:rsidR="0029042E">
        <w:t xml:space="preserve">a </w:t>
      </w:r>
      <w:r w:rsidRPr="007B4E1D">
        <w:t>defined meaning</w:t>
      </w:r>
      <w:r w:rsidR="0029042E">
        <w:t xml:space="preserve"> applies</w:t>
      </w:r>
      <w:r w:rsidRPr="007B4E1D">
        <w:t>.</w:t>
      </w:r>
      <w:r w:rsidR="00BD06D5">
        <w:t xml:space="preserve"> </w:t>
      </w:r>
      <w:r w:rsidRPr="007B4E1D">
        <w:t>Further directions</w:t>
      </w:r>
      <w:r w:rsidR="002E3039">
        <w:t xml:space="preserve"> on differentiating defined terms in policy statements and plans </w:t>
      </w:r>
      <w:r w:rsidRPr="007B4E1D">
        <w:t xml:space="preserve">are </w:t>
      </w:r>
      <w:r w:rsidR="008C525F">
        <w:t>included</w:t>
      </w:r>
      <w:r w:rsidRPr="007B4E1D">
        <w:t xml:space="preserve"> in directions 11, 12 and 13 </w:t>
      </w:r>
      <w:r w:rsidR="002E3039">
        <w:t>of</w:t>
      </w:r>
      <w:r w:rsidR="00FB5C67">
        <w:t xml:space="preserve"> the</w:t>
      </w:r>
      <w:r w:rsidR="002E3039">
        <w:t xml:space="preserve"> </w:t>
      </w:r>
      <w:r w:rsidR="002E3039" w:rsidRPr="00BD6D98">
        <w:rPr>
          <w:i/>
        </w:rPr>
        <w:t>10.</w:t>
      </w:r>
      <w:r w:rsidRPr="00BD6D98">
        <w:rPr>
          <w:i/>
        </w:rPr>
        <w:t xml:space="preserve"> </w:t>
      </w:r>
      <w:r w:rsidRPr="00C96937">
        <w:rPr>
          <w:i/>
        </w:rPr>
        <w:t xml:space="preserve">Format </w:t>
      </w:r>
      <w:r w:rsidR="006D2919" w:rsidRPr="008211BA">
        <w:rPr>
          <w:i/>
        </w:rPr>
        <w:t>S</w:t>
      </w:r>
      <w:r w:rsidRPr="008211BA">
        <w:rPr>
          <w:i/>
        </w:rPr>
        <w:t>tandard</w:t>
      </w:r>
      <w:r w:rsidRPr="006D2919">
        <w:t>.</w:t>
      </w:r>
      <w:r w:rsidR="00BD06D5">
        <w:t xml:space="preserve"> </w:t>
      </w:r>
    </w:p>
    <w:p w14:paraId="4BABDC4F" w14:textId="004474F7" w:rsidR="007B4E1D" w:rsidRPr="007B4E1D" w:rsidRDefault="007B4E1D">
      <w:pPr>
        <w:pStyle w:val="Heading2"/>
      </w:pPr>
      <w:r w:rsidRPr="007B4E1D">
        <w:t>Defining terms not included in the planning standards</w:t>
      </w:r>
    </w:p>
    <w:p w14:paraId="1B2F97D2" w14:textId="7660805A" w:rsidR="007B4E1D" w:rsidRDefault="000B0094" w:rsidP="003870AB">
      <w:r w:rsidRPr="00032FDB">
        <w:rPr>
          <w:i/>
        </w:rPr>
        <w:t>14. Definitions Standard</w:t>
      </w:r>
      <w:r w:rsidR="007B4E1D" w:rsidRPr="007B4E1D">
        <w:t xml:space="preserve"> do</w:t>
      </w:r>
      <w:r w:rsidR="00E45E3C">
        <w:t>es</w:t>
      </w:r>
      <w:r w:rsidR="007B4E1D" w:rsidRPr="007B4E1D">
        <w:t xml:space="preserve"> not prescribe all definitions that </w:t>
      </w:r>
      <w:r>
        <w:t>you</w:t>
      </w:r>
      <w:r w:rsidRPr="007B4E1D">
        <w:t xml:space="preserve"> </w:t>
      </w:r>
      <w:r w:rsidR="003870AB">
        <w:t xml:space="preserve">may need to </w:t>
      </w:r>
      <w:r w:rsidR="007B4E1D" w:rsidRPr="007B4E1D">
        <w:t xml:space="preserve">use in policy statements and plans. </w:t>
      </w:r>
      <w:r>
        <w:t>You</w:t>
      </w:r>
      <w:r w:rsidRPr="007B4E1D">
        <w:t xml:space="preserve"> </w:t>
      </w:r>
      <w:r w:rsidR="00AA698B" w:rsidRPr="007B4E1D">
        <w:t xml:space="preserve">may define additional terms other than those defined in the </w:t>
      </w:r>
      <w:r w:rsidR="00AA698B">
        <w:t>planning s</w:t>
      </w:r>
      <w:r w:rsidR="00AA698B" w:rsidRPr="007B4E1D">
        <w:t>tandards.</w:t>
      </w:r>
    </w:p>
    <w:p w14:paraId="68E414DB" w14:textId="0669FF61" w:rsidR="00F128A9" w:rsidRPr="00562885" w:rsidRDefault="00F128A9">
      <w:pPr>
        <w:pStyle w:val="Heading2"/>
      </w:pPr>
      <w:r w:rsidRPr="00562885">
        <w:t>Diagrams, nest</w:t>
      </w:r>
      <w:r>
        <w:t>ing</w:t>
      </w:r>
      <w:r w:rsidRPr="00562885">
        <w:t xml:space="preserve"> tables</w:t>
      </w:r>
      <w:r w:rsidR="00317D4F">
        <w:t xml:space="preserve"> or </w:t>
      </w:r>
      <w:proofErr w:type="spellStart"/>
      <w:r w:rsidRPr="00562885">
        <w:t>venn</w:t>
      </w:r>
      <w:proofErr w:type="spellEnd"/>
      <w:r w:rsidRPr="00562885">
        <w:t xml:space="preserve"> diagrams</w:t>
      </w:r>
    </w:p>
    <w:p w14:paraId="55B5E2C3" w14:textId="035F0D9D" w:rsidR="00F128A9" w:rsidRDefault="008C525F" w:rsidP="003870AB">
      <w:r>
        <w:t xml:space="preserve">We expect </w:t>
      </w:r>
      <w:r w:rsidR="000B0094">
        <w:t xml:space="preserve">you </w:t>
      </w:r>
      <w:r>
        <w:t xml:space="preserve">may wish to use </w:t>
      </w:r>
      <w:r w:rsidR="00F128A9">
        <w:t xml:space="preserve">diagrams </w:t>
      </w:r>
      <w:r>
        <w:t xml:space="preserve">and/or nesting tables </w:t>
      </w:r>
      <w:r w:rsidR="00F128A9">
        <w:t>to illustrate complex definitions</w:t>
      </w:r>
      <w:r w:rsidR="00317D4F">
        <w:t>,</w:t>
      </w:r>
      <w:r w:rsidR="00F128A9">
        <w:t xml:space="preserve"> or </w:t>
      </w:r>
      <w:proofErr w:type="spellStart"/>
      <w:r w:rsidR="00F128A9">
        <w:t>venn</w:t>
      </w:r>
      <w:proofErr w:type="spellEnd"/>
      <w:r w:rsidR="00F128A9">
        <w:t xml:space="preserve"> diagrams </w:t>
      </w:r>
      <w:r>
        <w:t xml:space="preserve">to show </w:t>
      </w:r>
      <w:r w:rsidR="00F128A9">
        <w:t xml:space="preserve">the relationship between definitions. The planning standards </w:t>
      </w:r>
      <w:proofErr w:type="gramStart"/>
      <w:r w:rsidR="00317D4F">
        <w:t>don’t</w:t>
      </w:r>
      <w:proofErr w:type="gramEnd"/>
      <w:r w:rsidR="00F128A9">
        <w:t xml:space="preserve"> include these, but </w:t>
      </w:r>
      <w:r w:rsidR="00317D4F">
        <w:t xml:space="preserve">nor do the standards </w:t>
      </w:r>
      <w:r w:rsidR="00F128A9">
        <w:t>preclude their inclusion in policy statements o</w:t>
      </w:r>
      <w:r w:rsidR="00FB5C67">
        <w:t>r</w:t>
      </w:r>
      <w:r w:rsidR="00F128A9">
        <w:t xml:space="preserve"> plans. </w:t>
      </w:r>
    </w:p>
    <w:p w14:paraId="4A41277E" w14:textId="78D5B748" w:rsidR="00562885" w:rsidRPr="00D765C7" w:rsidRDefault="00562885">
      <w:pPr>
        <w:pStyle w:val="Heading2"/>
      </w:pPr>
      <w:r w:rsidRPr="00D765C7">
        <w:lastRenderedPageBreak/>
        <w:t>Scope of consequential changes to plan provisions as a result of new definitions</w:t>
      </w:r>
    </w:p>
    <w:p w14:paraId="50ADB86A" w14:textId="1F740799" w:rsidR="00264D32" w:rsidRPr="000E603F" w:rsidRDefault="00264D32" w:rsidP="00264D32">
      <w:pPr>
        <w:rPr>
          <w:rFonts w:asciiTheme="minorHAnsi" w:hAnsiTheme="minorHAnsi" w:cs="Calibri"/>
        </w:rPr>
      </w:pPr>
      <w:r w:rsidRPr="000E603F">
        <w:rPr>
          <w:rFonts w:asciiTheme="minorHAnsi" w:hAnsiTheme="minorHAnsi" w:cs="Calibri"/>
        </w:rPr>
        <w:t>W</w:t>
      </w:r>
      <w:r>
        <w:rPr>
          <w:rFonts w:asciiTheme="minorHAnsi" w:hAnsiTheme="minorHAnsi" w:cs="Calibri"/>
        </w:rPr>
        <w:t xml:space="preserve">e expect most </w:t>
      </w:r>
      <w:r w:rsidR="00C233BF">
        <w:rPr>
          <w:rFonts w:asciiTheme="minorHAnsi" w:hAnsiTheme="minorHAnsi" w:cs="Calibri"/>
        </w:rPr>
        <w:t>councils</w:t>
      </w:r>
      <w:r w:rsidRPr="000E603F">
        <w:rPr>
          <w:rFonts w:asciiTheme="minorHAnsi" w:hAnsiTheme="minorHAnsi" w:cs="Calibri"/>
        </w:rPr>
        <w:t xml:space="preserve"> will choose to include the definitions </w:t>
      </w:r>
      <w:r w:rsidR="00166ACE">
        <w:rPr>
          <w:rFonts w:asciiTheme="minorHAnsi" w:hAnsiTheme="minorHAnsi" w:cs="Calibri"/>
        </w:rPr>
        <w:t>as part of a fuller plan review process</w:t>
      </w:r>
      <w:r w:rsidR="00317D4F">
        <w:rPr>
          <w:rFonts w:asciiTheme="minorHAnsi" w:hAnsiTheme="minorHAnsi" w:cs="Calibri"/>
        </w:rPr>
        <w:t>. This will make</w:t>
      </w:r>
      <w:r w:rsidR="00166ACE">
        <w:rPr>
          <w:rFonts w:asciiTheme="minorHAnsi" w:hAnsiTheme="minorHAnsi" w:cs="Calibri"/>
        </w:rPr>
        <w:t xml:space="preserve"> the issue of how much of the plan </w:t>
      </w:r>
      <w:proofErr w:type="gramStart"/>
      <w:r w:rsidR="00317D4F">
        <w:rPr>
          <w:rFonts w:asciiTheme="minorHAnsi" w:hAnsiTheme="minorHAnsi" w:cs="Calibri"/>
        </w:rPr>
        <w:t>can</w:t>
      </w:r>
      <w:r w:rsidR="00166ACE">
        <w:rPr>
          <w:rFonts w:asciiTheme="minorHAnsi" w:hAnsiTheme="minorHAnsi" w:cs="Calibri"/>
        </w:rPr>
        <w:t xml:space="preserve"> be amended</w:t>
      </w:r>
      <w:proofErr w:type="gramEnd"/>
      <w:r w:rsidR="00166ACE">
        <w:rPr>
          <w:rFonts w:asciiTheme="minorHAnsi" w:hAnsiTheme="minorHAnsi" w:cs="Calibri"/>
        </w:rPr>
        <w:t xml:space="preserve"> as a consequential change less of </w:t>
      </w:r>
      <w:r w:rsidR="00317D4F">
        <w:rPr>
          <w:rFonts w:asciiTheme="minorHAnsi" w:hAnsiTheme="minorHAnsi" w:cs="Calibri"/>
        </w:rPr>
        <w:t>a concern</w:t>
      </w:r>
      <w:r w:rsidR="00166ACE">
        <w:rPr>
          <w:rFonts w:asciiTheme="minorHAnsi" w:hAnsiTheme="minorHAnsi" w:cs="Calibri"/>
        </w:rPr>
        <w:t>.</w:t>
      </w:r>
      <w:r w:rsidR="00BD06D5">
        <w:rPr>
          <w:rFonts w:asciiTheme="minorHAnsi" w:hAnsiTheme="minorHAnsi" w:cs="Calibri"/>
        </w:rPr>
        <w:t xml:space="preserve"> </w:t>
      </w:r>
      <w:r w:rsidR="00166ACE">
        <w:rPr>
          <w:rFonts w:asciiTheme="minorHAnsi" w:hAnsiTheme="minorHAnsi" w:cs="Calibri"/>
        </w:rPr>
        <w:t>We encourage this approach because it w</w:t>
      </w:r>
      <w:r w:rsidRPr="000E603F">
        <w:rPr>
          <w:rFonts w:asciiTheme="minorHAnsi" w:hAnsiTheme="minorHAnsi" w:cs="Calibri"/>
        </w:rPr>
        <w:t xml:space="preserve">ill enable </w:t>
      </w:r>
      <w:r w:rsidR="008C525F">
        <w:rPr>
          <w:rFonts w:asciiTheme="minorHAnsi" w:hAnsiTheme="minorHAnsi" w:cs="Calibri"/>
        </w:rPr>
        <w:t xml:space="preserve">councils to consider </w:t>
      </w:r>
      <w:r w:rsidRPr="000E603F">
        <w:rPr>
          <w:rFonts w:asciiTheme="minorHAnsi" w:hAnsiTheme="minorHAnsi" w:cs="Calibri"/>
        </w:rPr>
        <w:t xml:space="preserve">changes </w:t>
      </w:r>
      <w:r w:rsidR="0056757C">
        <w:rPr>
          <w:rFonts w:asciiTheme="minorHAnsi" w:hAnsiTheme="minorHAnsi" w:cs="Calibri"/>
        </w:rPr>
        <w:t>at the same time as</w:t>
      </w:r>
      <w:r w:rsidRPr="000E603F">
        <w:rPr>
          <w:rFonts w:asciiTheme="minorHAnsi" w:hAnsiTheme="minorHAnsi" w:cs="Calibri"/>
        </w:rPr>
        <w:t xml:space="preserve"> the initial drafting of the plan and the process of notification, submissions and hearings.</w:t>
      </w:r>
    </w:p>
    <w:p w14:paraId="1B7337B4" w14:textId="3C37CEB1" w:rsidR="00264D32" w:rsidRPr="000E603F" w:rsidRDefault="00C954CA" w:rsidP="00264D32">
      <w:pPr>
        <w:rPr>
          <w:rFonts w:asciiTheme="minorHAnsi" w:hAnsiTheme="minorHAnsi" w:cs="Calibri"/>
        </w:rPr>
      </w:pPr>
      <w:r>
        <w:rPr>
          <w:rFonts w:asciiTheme="minorHAnsi" w:hAnsiTheme="minorHAnsi" w:cs="Calibri"/>
        </w:rPr>
        <w:t xml:space="preserve">However, for </w:t>
      </w:r>
      <w:r w:rsidR="00C233BF">
        <w:rPr>
          <w:rFonts w:asciiTheme="minorHAnsi" w:hAnsiTheme="minorHAnsi" w:cs="Calibri"/>
        </w:rPr>
        <w:t>councils</w:t>
      </w:r>
      <w:r w:rsidR="00166ACE">
        <w:rPr>
          <w:rFonts w:asciiTheme="minorHAnsi" w:hAnsiTheme="minorHAnsi" w:cs="Calibri"/>
        </w:rPr>
        <w:t xml:space="preserve"> intending to implement one or more definitions from the planning standards outside </w:t>
      </w:r>
      <w:r w:rsidR="00C60FE4">
        <w:rPr>
          <w:rFonts w:asciiTheme="minorHAnsi" w:hAnsiTheme="minorHAnsi" w:cs="Calibri"/>
        </w:rPr>
        <w:t>of a broader plan review, there</w:t>
      </w:r>
      <w:r w:rsidR="00264D32" w:rsidRPr="000E603F">
        <w:rPr>
          <w:rFonts w:asciiTheme="minorHAnsi" w:hAnsiTheme="minorHAnsi" w:cs="Calibri"/>
        </w:rPr>
        <w:t xml:space="preserve"> is no intent</w:t>
      </w:r>
      <w:r w:rsidR="00FB5C67">
        <w:rPr>
          <w:rFonts w:asciiTheme="minorHAnsi" w:hAnsiTheme="minorHAnsi" w:cs="Calibri"/>
        </w:rPr>
        <w:t>ion</w:t>
      </w:r>
      <w:r w:rsidR="00264D32" w:rsidRPr="000E603F">
        <w:rPr>
          <w:rFonts w:asciiTheme="minorHAnsi" w:hAnsiTheme="minorHAnsi" w:cs="Calibri"/>
        </w:rPr>
        <w:t xml:space="preserve"> for</w:t>
      </w:r>
      <w:r w:rsidR="006C573E">
        <w:rPr>
          <w:rFonts w:asciiTheme="minorHAnsi" w:hAnsiTheme="minorHAnsi" w:cs="Calibri"/>
        </w:rPr>
        <w:t xml:space="preserve"> any definition</w:t>
      </w:r>
      <w:r w:rsidR="00264D32" w:rsidRPr="000E603F">
        <w:rPr>
          <w:rFonts w:asciiTheme="minorHAnsi" w:hAnsiTheme="minorHAnsi" w:cs="Calibri"/>
        </w:rPr>
        <w:t xml:space="preserve"> to change the meaning or application of rules. Therefore, where changes to plan rules are required to maintain the original meaning and application of the rules once the definitions are included, those changes are likely to </w:t>
      </w:r>
      <w:proofErr w:type="gramStart"/>
      <w:r w:rsidR="00264D32" w:rsidRPr="000E603F">
        <w:rPr>
          <w:rFonts w:asciiTheme="minorHAnsi" w:hAnsiTheme="minorHAnsi" w:cs="Calibri"/>
        </w:rPr>
        <w:t>be considered</w:t>
      </w:r>
      <w:proofErr w:type="gramEnd"/>
      <w:r w:rsidR="00264D32" w:rsidRPr="000E603F">
        <w:rPr>
          <w:rFonts w:asciiTheme="minorHAnsi" w:hAnsiTheme="minorHAnsi" w:cs="Calibri"/>
        </w:rPr>
        <w:t xml:space="preserve"> consequential</w:t>
      </w:r>
      <w:r w:rsidR="00166ACE">
        <w:rPr>
          <w:rFonts w:asciiTheme="minorHAnsi" w:hAnsiTheme="minorHAnsi" w:cs="Calibri"/>
        </w:rPr>
        <w:t xml:space="preserve"> and must be made </w:t>
      </w:r>
      <w:r w:rsidR="00C60FE4">
        <w:rPr>
          <w:rFonts w:asciiTheme="minorHAnsi" w:hAnsiTheme="minorHAnsi" w:cs="Calibri"/>
        </w:rPr>
        <w:t xml:space="preserve">without </w:t>
      </w:r>
      <w:r w:rsidR="00C60FE4" w:rsidRPr="000E603F">
        <w:rPr>
          <w:rFonts w:asciiTheme="minorHAnsi" w:hAnsiTheme="minorHAnsi" w:cs="Calibri"/>
        </w:rPr>
        <w:t>the</w:t>
      </w:r>
      <w:r w:rsidR="00264D32" w:rsidRPr="000E603F">
        <w:rPr>
          <w:rFonts w:asciiTheme="minorHAnsi" w:hAnsiTheme="minorHAnsi" w:cs="Calibri"/>
        </w:rPr>
        <w:t xml:space="preserve"> Schedule 1 process. </w:t>
      </w:r>
      <w:r w:rsidR="00FC3F71">
        <w:rPr>
          <w:rFonts w:asciiTheme="minorHAnsi" w:hAnsiTheme="minorHAnsi" w:cs="Calibri"/>
        </w:rPr>
        <w:t>We will provide f</w:t>
      </w:r>
      <w:r w:rsidR="006C573E">
        <w:rPr>
          <w:rFonts w:asciiTheme="minorHAnsi" w:hAnsiTheme="minorHAnsi" w:cs="Calibri"/>
        </w:rPr>
        <w:t xml:space="preserve">urther guidance about the scope of consequential changes as soon as possible. </w:t>
      </w:r>
    </w:p>
    <w:p w14:paraId="02E5D92D" w14:textId="696E2135" w:rsidR="00264D32" w:rsidRPr="00264D32" w:rsidRDefault="00264D32" w:rsidP="00264D32">
      <w:pPr>
        <w:rPr>
          <w:rFonts w:asciiTheme="minorHAnsi" w:hAnsiTheme="minorHAnsi" w:cstheme="minorHAnsi"/>
        </w:rPr>
      </w:pPr>
      <w:r w:rsidRPr="000E603F">
        <w:rPr>
          <w:rFonts w:asciiTheme="minorHAnsi" w:hAnsiTheme="minorHAnsi" w:cs="Calibri"/>
        </w:rPr>
        <w:t xml:space="preserve">The purpose statement of the </w:t>
      </w:r>
      <w:proofErr w:type="gramStart"/>
      <w:r w:rsidR="00FB5C67" w:rsidRPr="00FB5C67">
        <w:rPr>
          <w:rFonts w:asciiTheme="minorHAnsi" w:hAnsiTheme="minorHAnsi" w:cs="Calibri"/>
          <w:i/>
        </w:rPr>
        <w:t>1</w:t>
      </w:r>
      <w:proofErr w:type="gramEnd"/>
      <w:r w:rsidR="00FB5C67" w:rsidRPr="00FB5C67">
        <w:rPr>
          <w:rFonts w:asciiTheme="minorHAnsi" w:hAnsiTheme="minorHAnsi" w:cs="Calibri"/>
          <w:i/>
        </w:rPr>
        <w:t xml:space="preserve">. </w:t>
      </w:r>
      <w:r w:rsidRPr="00FB5C67">
        <w:rPr>
          <w:rFonts w:asciiTheme="minorHAnsi" w:hAnsiTheme="minorHAnsi" w:cs="Calibri"/>
          <w:i/>
        </w:rPr>
        <w:t>Foundation</w:t>
      </w:r>
      <w:r w:rsidRPr="008211BA">
        <w:rPr>
          <w:rFonts w:asciiTheme="minorHAnsi" w:hAnsiTheme="minorHAnsi" w:cs="Calibri"/>
          <w:i/>
        </w:rPr>
        <w:t xml:space="preserve"> </w:t>
      </w:r>
      <w:r w:rsidR="006D2919" w:rsidRPr="008211BA">
        <w:rPr>
          <w:rFonts w:asciiTheme="minorHAnsi" w:hAnsiTheme="minorHAnsi" w:cs="Calibri"/>
          <w:i/>
        </w:rPr>
        <w:t>S</w:t>
      </w:r>
      <w:r w:rsidRPr="008211BA">
        <w:rPr>
          <w:rFonts w:asciiTheme="minorHAnsi" w:hAnsiTheme="minorHAnsi" w:cs="Calibri"/>
          <w:i/>
        </w:rPr>
        <w:t>tandard</w:t>
      </w:r>
      <w:r w:rsidRPr="000E603F">
        <w:rPr>
          <w:rFonts w:asciiTheme="minorHAnsi" w:hAnsiTheme="minorHAnsi" w:cs="Calibri"/>
        </w:rPr>
        <w:t xml:space="preserve"> </w:t>
      </w:r>
      <w:r>
        <w:rPr>
          <w:rFonts w:asciiTheme="minorHAnsi" w:hAnsiTheme="minorHAnsi" w:cs="Calibri"/>
        </w:rPr>
        <w:t xml:space="preserve">makes it clear </w:t>
      </w:r>
      <w:r w:rsidRPr="000E603F">
        <w:rPr>
          <w:rFonts w:asciiTheme="minorHAnsi" w:hAnsiTheme="minorHAnsi" w:cs="Calibri"/>
        </w:rPr>
        <w:t xml:space="preserve">the planning standards </w:t>
      </w:r>
      <w:proofErr w:type="gramStart"/>
      <w:r w:rsidR="00FC3F71">
        <w:rPr>
          <w:rFonts w:asciiTheme="minorHAnsi" w:hAnsiTheme="minorHAnsi" w:cs="Calibri"/>
        </w:rPr>
        <w:t>don’t</w:t>
      </w:r>
      <w:proofErr w:type="gramEnd"/>
      <w:r w:rsidRPr="000E603F">
        <w:rPr>
          <w:rFonts w:asciiTheme="minorHAnsi" w:hAnsiTheme="minorHAnsi" w:cs="Calibri"/>
        </w:rPr>
        <w:t xml:space="preserve"> alter the effect of policy statement or plan provisions</w:t>
      </w:r>
      <w:r w:rsidR="00223341">
        <w:rPr>
          <w:rFonts w:asciiTheme="minorHAnsi" w:hAnsiTheme="minorHAnsi" w:cs="Calibri"/>
        </w:rPr>
        <w:t>,</w:t>
      </w:r>
      <w:r w:rsidRPr="000E603F">
        <w:rPr>
          <w:rFonts w:asciiTheme="minorHAnsi" w:hAnsiTheme="minorHAnsi" w:cs="Calibri"/>
        </w:rPr>
        <w:t xml:space="preserve"> or outcomes. </w:t>
      </w:r>
      <w:r w:rsidR="00FC3F71">
        <w:rPr>
          <w:rFonts w:asciiTheme="minorHAnsi" w:hAnsiTheme="minorHAnsi" w:cs="Calibri"/>
        </w:rPr>
        <w:t>We expect this</w:t>
      </w:r>
      <w:r>
        <w:rPr>
          <w:rFonts w:asciiTheme="minorHAnsi" w:hAnsiTheme="minorHAnsi" w:cs="Calibri"/>
        </w:rPr>
        <w:t xml:space="preserve"> to </w:t>
      </w:r>
      <w:r w:rsidRPr="000E603F">
        <w:rPr>
          <w:rFonts w:asciiTheme="minorHAnsi" w:hAnsiTheme="minorHAnsi" w:cs="Calibri"/>
        </w:rPr>
        <w:t>reduce the scope of consequential changes.</w:t>
      </w:r>
    </w:p>
    <w:p w14:paraId="79EB98F7" w14:textId="4F9809EA" w:rsidR="00264D32" w:rsidRPr="00C60FE4" w:rsidRDefault="00264D32">
      <w:pPr>
        <w:rPr>
          <w:rFonts w:asciiTheme="minorHAnsi" w:hAnsiTheme="minorHAnsi" w:cs="Calibri"/>
        </w:rPr>
      </w:pPr>
      <w:r w:rsidRPr="000E603F">
        <w:rPr>
          <w:rFonts w:asciiTheme="minorHAnsi" w:hAnsiTheme="minorHAnsi" w:cs="Calibri"/>
        </w:rPr>
        <w:t xml:space="preserve">If </w:t>
      </w:r>
      <w:r w:rsidR="00223341">
        <w:rPr>
          <w:rFonts w:asciiTheme="minorHAnsi" w:hAnsiTheme="minorHAnsi" w:cs="Calibri"/>
        </w:rPr>
        <w:t>you want</w:t>
      </w:r>
      <w:r w:rsidRPr="000E603F">
        <w:rPr>
          <w:rFonts w:asciiTheme="minorHAnsi" w:hAnsiTheme="minorHAnsi" w:cs="Calibri"/>
        </w:rPr>
        <w:t xml:space="preserve"> to make</w:t>
      </w:r>
      <w:r w:rsidR="00FC3F71">
        <w:rPr>
          <w:rFonts w:asciiTheme="minorHAnsi" w:hAnsiTheme="minorHAnsi" w:cs="Calibri"/>
        </w:rPr>
        <w:t xml:space="preserve"> amendments</w:t>
      </w:r>
      <w:r w:rsidRPr="000E603F">
        <w:rPr>
          <w:rFonts w:asciiTheme="minorHAnsi" w:hAnsiTheme="minorHAnsi" w:cs="Calibri"/>
        </w:rPr>
        <w:t xml:space="preserve"> </w:t>
      </w:r>
      <w:r w:rsidR="00FC3F71" w:rsidRPr="000E603F">
        <w:rPr>
          <w:rFonts w:asciiTheme="minorHAnsi" w:hAnsiTheme="minorHAnsi" w:cs="Calibri"/>
        </w:rPr>
        <w:t>outside of a broader plan r</w:t>
      </w:r>
      <w:r w:rsidR="00FC3F71">
        <w:rPr>
          <w:rFonts w:asciiTheme="minorHAnsi" w:hAnsiTheme="minorHAnsi" w:cs="Calibri"/>
        </w:rPr>
        <w:t>eview process</w:t>
      </w:r>
      <w:r w:rsidR="00FC3F71" w:rsidRPr="000E603F">
        <w:rPr>
          <w:rFonts w:asciiTheme="minorHAnsi" w:hAnsiTheme="minorHAnsi" w:cs="Calibri"/>
        </w:rPr>
        <w:t xml:space="preserve"> </w:t>
      </w:r>
      <w:r w:rsidRPr="000E603F">
        <w:rPr>
          <w:rFonts w:asciiTheme="minorHAnsi" w:hAnsiTheme="minorHAnsi" w:cs="Calibri"/>
        </w:rPr>
        <w:t>that go beyond consequential amendments</w:t>
      </w:r>
      <w:r w:rsidR="00FC3F71">
        <w:rPr>
          <w:rFonts w:asciiTheme="minorHAnsi" w:hAnsiTheme="minorHAnsi" w:cs="Calibri"/>
        </w:rPr>
        <w:t>,</w:t>
      </w:r>
      <w:r w:rsidRPr="000E603F">
        <w:rPr>
          <w:rFonts w:asciiTheme="minorHAnsi" w:hAnsiTheme="minorHAnsi" w:cs="Calibri"/>
        </w:rPr>
        <w:t xml:space="preserve"> or </w:t>
      </w:r>
      <w:r w:rsidR="00FC3F71">
        <w:rPr>
          <w:rFonts w:asciiTheme="minorHAnsi" w:hAnsiTheme="minorHAnsi" w:cs="Calibri"/>
        </w:rPr>
        <w:t>correct</w:t>
      </w:r>
      <w:r w:rsidR="00FC3F71" w:rsidRPr="000E603F">
        <w:rPr>
          <w:rFonts w:asciiTheme="minorHAnsi" w:hAnsiTheme="minorHAnsi" w:cs="Calibri"/>
        </w:rPr>
        <w:t xml:space="preserve"> </w:t>
      </w:r>
      <w:r w:rsidRPr="000E603F">
        <w:rPr>
          <w:rFonts w:asciiTheme="minorHAnsi" w:hAnsiTheme="minorHAnsi" w:cs="Calibri"/>
        </w:rPr>
        <w:t>minor errors enabled under Schedule 1 clause 20A</w:t>
      </w:r>
      <w:r w:rsidR="00C96937">
        <w:rPr>
          <w:rFonts w:asciiTheme="minorHAnsi" w:hAnsiTheme="minorHAnsi" w:cs="Calibri"/>
        </w:rPr>
        <w:t xml:space="preserve"> of the RMA</w:t>
      </w:r>
      <w:r w:rsidRPr="000E603F">
        <w:rPr>
          <w:rFonts w:asciiTheme="minorHAnsi" w:hAnsiTheme="minorHAnsi" w:cs="Calibri"/>
        </w:rPr>
        <w:t xml:space="preserve">, </w:t>
      </w:r>
      <w:r w:rsidR="00C954CA">
        <w:rPr>
          <w:rFonts w:asciiTheme="minorHAnsi" w:hAnsiTheme="minorHAnsi" w:cs="Calibri"/>
        </w:rPr>
        <w:t xml:space="preserve">then </w:t>
      </w:r>
      <w:r w:rsidR="00223341">
        <w:rPr>
          <w:rFonts w:asciiTheme="minorHAnsi" w:hAnsiTheme="minorHAnsi" w:cs="Calibri"/>
        </w:rPr>
        <w:t xml:space="preserve">you </w:t>
      </w:r>
      <w:r w:rsidRPr="000E603F">
        <w:rPr>
          <w:rFonts w:asciiTheme="minorHAnsi" w:hAnsiTheme="minorHAnsi" w:cs="Calibri"/>
        </w:rPr>
        <w:t>could consider applying to use the streamlined planning process.</w:t>
      </w:r>
    </w:p>
    <w:p w14:paraId="59F094A3" w14:textId="6975DCF8" w:rsidR="009A50DB" w:rsidRPr="00562885" w:rsidRDefault="00562885">
      <w:pPr>
        <w:pStyle w:val="Heading2"/>
      </w:pPr>
      <w:r w:rsidRPr="00562885">
        <w:t xml:space="preserve">Drafting principles </w:t>
      </w:r>
    </w:p>
    <w:p w14:paraId="7A832F89" w14:textId="7A525C27" w:rsidR="00F128A9" w:rsidRPr="00562885" w:rsidRDefault="008C525F">
      <w:r>
        <w:t>We used t</w:t>
      </w:r>
      <w:r w:rsidR="00562885">
        <w:t xml:space="preserve">he following </w:t>
      </w:r>
      <w:r w:rsidR="00F128A9" w:rsidRPr="00562885">
        <w:t xml:space="preserve">drafting principles </w:t>
      </w:r>
      <w:r w:rsidR="00562885" w:rsidRPr="00562885">
        <w:t xml:space="preserve">in preparing the final form </w:t>
      </w:r>
      <w:r w:rsidR="00F128A9" w:rsidRPr="00562885">
        <w:t xml:space="preserve">of the definitions included in the </w:t>
      </w:r>
      <w:r w:rsidR="00562885">
        <w:t>planning standards</w:t>
      </w:r>
      <w:r w:rsidR="00223341">
        <w:t>’</w:t>
      </w:r>
      <w:r w:rsidR="00562885">
        <w:t xml:space="preserve"> </w:t>
      </w:r>
      <w:r w:rsidRPr="008C525F">
        <w:rPr>
          <w:i/>
        </w:rPr>
        <w:t>Definitions List</w:t>
      </w:r>
      <w:r w:rsidR="00C954CA">
        <w:t>.</w:t>
      </w:r>
      <w:r w:rsidR="00BD06D5">
        <w:t xml:space="preserve"> </w:t>
      </w:r>
      <w:r w:rsidR="00C954CA">
        <w:t xml:space="preserve">We recommend </w:t>
      </w:r>
      <w:r w:rsidR="00223341">
        <w:t>you</w:t>
      </w:r>
      <w:r w:rsidR="00223341" w:rsidRPr="00562885">
        <w:t xml:space="preserve"> </w:t>
      </w:r>
      <w:r w:rsidR="00562885" w:rsidRPr="00562885">
        <w:t xml:space="preserve">apply these </w:t>
      </w:r>
      <w:r w:rsidR="00E677A0">
        <w:t xml:space="preserve">principles </w:t>
      </w:r>
      <w:r w:rsidR="00562885" w:rsidRPr="00562885">
        <w:t xml:space="preserve">when drafting other definitions required in </w:t>
      </w:r>
      <w:r w:rsidR="00223341">
        <w:t>your</w:t>
      </w:r>
      <w:r w:rsidR="00223341" w:rsidRPr="00562885">
        <w:t xml:space="preserve"> </w:t>
      </w:r>
      <w:r w:rsidR="00562885" w:rsidRPr="00562885">
        <w:t>plan</w:t>
      </w:r>
      <w:r w:rsidR="00FC3F71">
        <w:t xml:space="preserve">. We also recommend </w:t>
      </w:r>
      <w:r w:rsidR="00223341">
        <w:t xml:space="preserve">you </w:t>
      </w:r>
      <w:r w:rsidR="00FC3F71">
        <w:t xml:space="preserve">consider </w:t>
      </w:r>
      <w:r w:rsidR="0076272E">
        <w:t xml:space="preserve">the advice on the Quality Planning website </w:t>
      </w:r>
      <w:r w:rsidR="00FC3F71">
        <w:t xml:space="preserve">for </w:t>
      </w:r>
      <w:r w:rsidR="0076272E">
        <w:t>definitions</w:t>
      </w:r>
      <w:r w:rsidR="00E677A0">
        <w:t>, that is</w:t>
      </w:r>
      <w:r w:rsidR="00F128A9" w:rsidRPr="00562885">
        <w:t>:</w:t>
      </w:r>
    </w:p>
    <w:p w14:paraId="15C39A60" w14:textId="7EF61F16" w:rsidR="00F128A9" w:rsidRPr="003870AB" w:rsidRDefault="00F128A9" w:rsidP="003870AB">
      <w:pPr>
        <w:pStyle w:val="Bullet"/>
      </w:pPr>
      <w:r w:rsidRPr="003870AB">
        <w:t xml:space="preserve">any definition already contained within the RMA, a </w:t>
      </w:r>
      <w:r w:rsidR="00FC3F71">
        <w:t>n</w:t>
      </w:r>
      <w:r w:rsidRPr="003870AB">
        <w:t xml:space="preserve">ational </w:t>
      </w:r>
      <w:r w:rsidR="00FC3F71">
        <w:t>p</w:t>
      </w:r>
      <w:r w:rsidRPr="003870AB">
        <w:t xml:space="preserve">olicy </w:t>
      </w:r>
      <w:r w:rsidR="00FC3F71">
        <w:t>s</w:t>
      </w:r>
      <w:r w:rsidRPr="003870AB">
        <w:t xml:space="preserve">tatement, </w:t>
      </w:r>
      <w:r w:rsidR="00FC3F71">
        <w:t>n</w:t>
      </w:r>
      <w:r w:rsidRPr="003870AB">
        <w:t xml:space="preserve">ational </w:t>
      </w:r>
      <w:r w:rsidR="00FC3F71">
        <w:t>e</w:t>
      </w:r>
      <w:r w:rsidRPr="003870AB">
        <w:t xml:space="preserve">nvironmental </w:t>
      </w:r>
      <w:r w:rsidR="00FC3F71">
        <w:t>s</w:t>
      </w:r>
      <w:r w:rsidRPr="003870AB">
        <w:t>tandard or regulation under the RMA</w:t>
      </w:r>
      <w:r w:rsidR="00E677A0">
        <w:t>,</w:t>
      </w:r>
      <w:r w:rsidRPr="003870AB">
        <w:t xml:space="preserve"> should be applied in the </w:t>
      </w:r>
      <w:r w:rsidR="00FC3F71">
        <w:t>n</w:t>
      </w:r>
      <w:r w:rsidRPr="003870AB">
        <w:t xml:space="preserve">ational </w:t>
      </w:r>
      <w:r w:rsidR="00FC3F71">
        <w:t>p</w:t>
      </w:r>
      <w:r w:rsidRPr="003870AB">
        <w:t xml:space="preserve">lanning </w:t>
      </w:r>
      <w:r w:rsidR="00FC3F71">
        <w:t>s</w:t>
      </w:r>
      <w:r w:rsidRPr="003870AB">
        <w:t xml:space="preserve">tandard where it is fit for purpose </w:t>
      </w:r>
    </w:p>
    <w:p w14:paraId="0C06153E" w14:textId="73363408" w:rsidR="00F128A9" w:rsidRPr="00FB1B27" w:rsidRDefault="00F128A9">
      <w:pPr>
        <w:pStyle w:val="Bullet"/>
      </w:pPr>
      <w:r w:rsidRPr="00FB1B27">
        <w:t>where a term is also defined in a statute, regulation or New Zealand Standard (NZS) outside of the RMA, the proposed definition should copy verbatim the text of the statutory, regulatory or NZS definition where it is fit for purpose</w:t>
      </w:r>
      <w:r w:rsidR="00E677A0">
        <w:t>. T</w:t>
      </w:r>
      <w:r w:rsidRPr="00FB1B27">
        <w:t xml:space="preserve">his will effectively set the definition in time and avoid any unforeseen consequences that future amendments may have on plan provisions </w:t>
      </w:r>
    </w:p>
    <w:p w14:paraId="6069A01F" w14:textId="77777777" w:rsidR="00F128A9" w:rsidRPr="00FB1B27" w:rsidRDefault="00F128A9">
      <w:pPr>
        <w:pStyle w:val="Bullet"/>
      </w:pPr>
      <w:r w:rsidRPr="00FB1B27">
        <w:t xml:space="preserve">definitions should avoid containing (or becoming) de facto rules </w:t>
      </w:r>
    </w:p>
    <w:p w14:paraId="4F30B2BB" w14:textId="247F0BB9" w:rsidR="00F128A9" w:rsidRPr="00FB1B27" w:rsidRDefault="00F128A9">
      <w:pPr>
        <w:pStyle w:val="Bullet"/>
      </w:pPr>
      <w:r w:rsidRPr="00FB1B27">
        <w:t xml:space="preserve">definitions should avoid using subjective language such as </w:t>
      </w:r>
      <w:r w:rsidR="00E677A0">
        <w:t>‘</w:t>
      </w:r>
      <w:r w:rsidRPr="00FB1B27">
        <w:t>high quality</w:t>
      </w:r>
      <w:r w:rsidR="00E677A0">
        <w:t>’</w:t>
      </w:r>
      <w:r w:rsidRPr="00FB1B27">
        <w:t xml:space="preserve">, </w:t>
      </w:r>
      <w:r w:rsidR="00E677A0">
        <w:t>‘</w:t>
      </w:r>
      <w:r w:rsidRPr="00FB1B27">
        <w:t>appropriate</w:t>
      </w:r>
      <w:r w:rsidR="00E677A0">
        <w:t>’</w:t>
      </w:r>
      <w:r w:rsidRPr="00FB1B27">
        <w:t xml:space="preserve"> or </w:t>
      </w:r>
      <w:r w:rsidR="00E677A0">
        <w:t>‘</w:t>
      </w:r>
      <w:r w:rsidRPr="00FB1B27">
        <w:t>approximate</w:t>
      </w:r>
      <w:r w:rsidR="00E677A0">
        <w:t>’</w:t>
      </w:r>
      <w:r w:rsidRPr="00FB1B27">
        <w:t xml:space="preserve"> </w:t>
      </w:r>
    </w:p>
    <w:p w14:paraId="1A45983D" w14:textId="77777777" w:rsidR="00F128A9" w:rsidRPr="00FB1B27" w:rsidRDefault="00F128A9">
      <w:pPr>
        <w:pStyle w:val="Bullet"/>
      </w:pPr>
      <w:proofErr w:type="gramStart"/>
      <w:r w:rsidRPr="00FB1B27">
        <w:t>where</w:t>
      </w:r>
      <w:proofErr w:type="gramEnd"/>
      <w:r w:rsidRPr="00FB1B27">
        <w:t xml:space="preserve"> possible, the definitions should be drafted in a clear and concise manner. For example: </w:t>
      </w:r>
    </w:p>
    <w:p w14:paraId="7AEE09A3" w14:textId="77777777" w:rsidR="00F128A9" w:rsidRPr="00FB1B27" w:rsidRDefault="00F128A9" w:rsidP="007D0AC2">
      <w:pPr>
        <w:pStyle w:val="Sub-list"/>
      </w:pPr>
      <w:r w:rsidRPr="00FB1B27">
        <w:t xml:space="preserve">the language used should be clear, straightforward and provide the plan user with certainty as to the scope of the definition </w:t>
      </w:r>
    </w:p>
    <w:p w14:paraId="18F4BC3C" w14:textId="77777777" w:rsidR="00F128A9" w:rsidRPr="00FB1B27" w:rsidRDefault="00F128A9" w:rsidP="007D0AC2">
      <w:pPr>
        <w:pStyle w:val="Sub-list"/>
      </w:pPr>
      <w:r w:rsidRPr="00FB1B27">
        <w:t xml:space="preserve">sentences should be short and avoid unnecessary words and jargon </w:t>
      </w:r>
    </w:p>
    <w:p w14:paraId="7FE613BF" w14:textId="77B1051D" w:rsidR="00F128A9" w:rsidRPr="00FB1B27" w:rsidRDefault="00F128A9">
      <w:pPr>
        <w:pStyle w:val="Bullet"/>
      </w:pPr>
      <w:r w:rsidRPr="00FB1B27">
        <w:t xml:space="preserve">where a definition contains the word </w:t>
      </w:r>
      <w:r w:rsidR="00E677A0">
        <w:t>‘</w:t>
      </w:r>
      <w:r w:rsidRPr="00FB1B27">
        <w:t>includes</w:t>
      </w:r>
      <w:r w:rsidR="00E677A0">
        <w:t>’</w:t>
      </w:r>
      <w:r w:rsidRPr="00FB1B27">
        <w:t xml:space="preserve"> and is followed by a list, the list shall be non-exhaustive; conversely, if a definition </w:t>
      </w:r>
      <w:r w:rsidR="00E677A0">
        <w:t>‘</w:t>
      </w:r>
      <w:r w:rsidRPr="00FB1B27">
        <w:t>excludes</w:t>
      </w:r>
      <w:r w:rsidR="00E677A0">
        <w:t>’</w:t>
      </w:r>
      <w:r w:rsidRPr="00FB1B27">
        <w:t xml:space="preserve"> a list of matters, this shall be treated as exhaustive </w:t>
      </w:r>
    </w:p>
    <w:p w14:paraId="3890914E" w14:textId="0D1DAE2F" w:rsidR="00032FDB" w:rsidRDefault="00F128A9">
      <w:pPr>
        <w:pStyle w:val="Bullet"/>
      </w:pPr>
      <w:proofErr w:type="gramStart"/>
      <w:r w:rsidRPr="00FB1B27">
        <w:lastRenderedPageBreak/>
        <w:t>definitions</w:t>
      </w:r>
      <w:proofErr w:type="gramEnd"/>
      <w:r w:rsidRPr="00FB1B27">
        <w:t xml:space="preserve"> should not give interpretation rights exclusively to one person or organisation (</w:t>
      </w:r>
      <w:proofErr w:type="spellStart"/>
      <w:r w:rsidRPr="00FB1B27">
        <w:t>eg</w:t>
      </w:r>
      <w:proofErr w:type="spellEnd"/>
      <w:r w:rsidRPr="00FB1B27">
        <w:t xml:space="preserve">, </w:t>
      </w:r>
      <w:r w:rsidR="00E677A0">
        <w:t>‘</w:t>
      </w:r>
      <w:r w:rsidRPr="00FB1B27">
        <w:t>which in the opinion of council is…</w:t>
      </w:r>
      <w:r w:rsidR="00E677A0">
        <w:t>’</w:t>
      </w:r>
      <w:r w:rsidRPr="00FB1B27">
        <w:t xml:space="preserve">). </w:t>
      </w:r>
    </w:p>
    <w:p w14:paraId="46AFFCCB" w14:textId="77777777" w:rsidR="008009B8" w:rsidRDefault="008009B8" w:rsidP="008009B8">
      <w:pPr>
        <w:pStyle w:val="Bullet"/>
        <w:numPr>
          <w:ilvl w:val="0"/>
          <w:numId w:val="0"/>
        </w:numPr>
        <w:ind w:left="397"/>
      </w:pPr>
    </w:p>
    <w:p w14:paraId="7FD42ABF" w14:textId="77777777" w:rsidR="008009B8" w:rsidRPr="002D5068" w:rsidRDefault="008009B8" w:rsidP="008009B8">
      <w:pPr>
        <w:pStyle w:val="H3Guidance"/>
        <w:pBdr>
          <w:top w:val="single" w:sz="2" w:space="1" w:color="auto"/>
          <w:left w:val="single" w:sz="2" w:space="4" w:color="auto"/>
          <w:bottom w:val="single" w:sz="2" w:space="1" w:color="auto"/>
          <w:right w:val="single" w:sz="2" w:space="4" w:color="auto"/>
        </w:pBdr>
      </w:pPr>
      <w:r w:rsidRPr="00731C85">
        <w:rPr>
          <w:sz w:val="24"/>
          <w:szCs w:val="24"/>
        </w:rPr>
        <w:t xml:space="preserve">Disclaimer </w:t>
      </w:r>
    </w:p>
    <w:p w14:paraId="0978EC29" w14:textId="77777777" w:rsidR="008009B8" w:rsidRDefault="008009B8" w:rsidP="008009B8">
      <w:pPr>
        <w:pStyle w:val="Disclaimer"/>
        <w:pBdr>
          <w:top w:val="single" w:sz="2" w:space="1" w:color="auto"/>
          <w:left w:val="single" w:sz="2" w:space="4" w:color="auto"/>
          <w:bottom w:val="single" w:sz="2" w:space="1" w:color="auto"/>
          <w:right w:val="single" w:sz="2" w:space="4" w:color="auto"/>
        </w:pBdr>
      </w:pPr>
      <w:r>
        <w:t xml:space="preserve">The information in this publication is, according to the Ministry for the Environment’s best efforts, accurate at the time of publication. The Ministry will make every reasonable effort to keep it current and accurate. However, users of this publication </w:t>
      </w:r>
      <w:proofErr w:type="gramStart"/>
      <w:r>
        <w:t>are advised</w:t>
      </w:r>
      <w:proofErr w:type="gramEnd"/>
      <w:r>
        <w:t xml:space="preserve"> that: </w:t>
      </w:r>
    </w:p>
    <w:p w14:paraId="7F08945E" w14:textId="77777777" w:rsidR="008009B8" w:rsidRDefault="008009B8" w:rsidP="008009B8">
      <w:pPr>
        <w:pStyle w:val="Disclaimer"/>
        <w:pBdr>
          <w:top w:val="single" w:sz="2" w:space="1" w:color="auto"/>
          <w:left w:val="single" w:sz="2" w:space="4" w:color="auto"/>
          <w:bottom w:val="single" w:sz="2" w:space="1" w:color="auto"/>
          <w:right w:val="single" w:sz="2" w:space="4" w:color="auto"/>
        </w:pBdr>
        <w:ind w:firstLine="720"/>
      </w:pPr>
    </w:p>
    <w:p w14:paraId="0730D230" w14:textId="77777777" w:rsidR="008009B8" w:rsidRPr="00D010C5" w:rsidRDefault="008009B8" w:rsidP="008009B8">
      <w:pPr>
        <w:pStyle w:val="Bulletedlistguidance"/>
        <w:numPr>
          <w:ilvl w:val="0"/>
          <w:numId w:val="1"/>
        </w:numPr>
        <w:pBdr>
          <w:top w:val="single" w:sz="2" w:space="1" w:color="auto"/>
          <w:left w:val="single" w:sz="2" w:space="4" w:color="auto"/>
          <w:bottom w:val="single" w:sz="2" w:space="1" w:color="auto"/>
          <w:right w:val="single" w:sz="2" w:space="4" w:color="auto"/>
        </w:pBdr>
        <w:ind w:left="397" w:hanging="397"/>
        <w:rPr>
          <w:sz w:val="18"/>
          <w:szCs w:val="18"/>
        </w:rPr>
      </w:pPr>
      <w:r w:rsidRPr="00D010C5">
        <w:rPr>
          <w:sz w:val="18"/>
          <w:szCs w:val="18"/>
        </w:rPr>
        <w:t xml:space="preserve">The information provided has no official status and does not alter the laws of New Zealand, other official guidelines or requirements. </w:t>
      </w:r>
    </w:p>
    <w:p w14:paraId="76FC2E9C" w14:textId="77777777" w:rsidR="008009B8" w:rsidRPr="00D010C5" w:rsidRDefault="008009B8" w:rsidP="008009B8">
      <w:pPr>
        <w:pStyle w:val="Bulletedlistguidance"/>
        <w:numPr>
          <w:ilvl w:val="0"/>
          <w:numId w:val="1"/>
        </w:numPr>
        <w:pBdr>
          <w:top w:val="single" w:sz="2" w:space="1" w:color="auto"/>
          <w:left w:val="single" w:sz="2" w:space="4" w:color="auto"/>
          <w:bottom w:val="single" w:sz="2" w:space="1" w:color="auto"/>
          <w:right w:val="single" w:sz="2" w:space="4" w:color="auto"/>
        </w:pBdr>
        <w:ind w:left="397" w:hanging="397"/>
        <w:rPr>
          <w:sz w:val="18"/>
          <w:szCs w:val="18"/>
        </w:rPr>
      </w:pPr>
      <w:r w:rsidRPr="00D010C5">
        <w:rPr>
          <w:sz w:val="18"/>
          <w:szCs w:val="18"/>
        </w:rPr>
        <w:t xml:space="preserve">It does not constitute legal advice, and users should take specific advice from qualified professionals before taking any action </w:t>
      </w:r>
      <w:proofErr w:type="gramStart"/>
      <w:r w:rsidRPr="00D010C5">
        <w:rPr>
          <w:sz w:val="18"/>
          <w:szCs w:val="18"/>
        </w:rPr>
        <w:t>as a result</w:t>
      </w:r>
      <w:proofErr w:type="gramEnd"/>
      <w:r w:rsidRPr="00D010C5">
        <w:rPr>
          <w:sz w:val="18"/>
          <w:szCs w:val="18"/>
        </w:rPr>
        <w:t xml:space="preserve"> of information obtained from this publication. </w:t>
      </w:r>
    </w:p>
    <w:p w14:paraId="43951932" w14:textId="77777777" w:rsidR="008009B8" w:rsidRPr="00D010C5" w:rsidRDefault="008009B8" w:rsidP="008009B8">
      <w:pPr>
        <w:pStyle w:val="Bulletedlistguidance"/>
        <w:numPr>
          <w:ilvl w:val="0"/>
          <w:numId w:val="1"/>
        </w:numPr>
        <w:pBdr>
          <w:top w:val="single" w:sz="2" w:space="1" w:color="auto"/>
          <w:left w:val="single" w:sz="2" w:space="4" w:color="auto"/>
          <w:bottom w:val="single" w:sz="2" w:space="1" w:color="auto"/>
          <w:right w:val="single" w:sz="2" w:space="4" w:color="auto"/>
        </w:pBdr>
        <w:ind w:left="397" w:hanging="397"/>
        <w:rPr>
          <w:sz w:val="18"/>
          <w:szCs w:val="18"/>
        </w:rPr>
      </w:pPr>
      <w:proofErr w:type="gramStart"/>
      <w:r w:rsidRPr="00D010C5">
        <w:rPr>
          <w:sz w:val="18"/>
          <w:szCs w:val="18"/>
        </w:rPr>
        <w:t>The Ministry for the Environment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provided in this publication.</w:t>
      </w:r>
      <w:proofErr w:type="gramEnd"/>
      <w:r w:rsidRPr="00D010C5">
        <w:rPr>
          <w:sz w:val="18"/>
          <w:szCs w:val="18"/>
        </w:rPr>
        <w:t xml:space="preserve"> </w:t>
      </w:r>
    </w:p>
    <w:p w14:paraId="49F47D30" w14:textId="77777777" w:rsidR="008009B8" w:rsidRPr="00D010C5" w:rsidRDefault="008009B8" w:rsidP="008009B8">
      <w:pPr>
        <w:pStyle w:val="Bulletedlistguidance"/>
        <w:numPr>
          <w:ilvl w:val="0"/>
          <w:numId w:val="1"/>
        </w:numPr>
        <w:pBdr>
          <w:top w:val="single" w:sz="2" w:space="1" w:color="auto"/>
          <w:left w:val="single" w:sz="2" w:space="4" w:color="auto"/>
          <w:bottom w:val="single" w:sz="2" w:space="1" w:color="auto"/>
          <w:right w:val="single" w:sz="2" w:space="4" w:color="auto"/>
        </w:pBdr>
        <w:ind w:left="397" w:hanging="397"/>
        <w:rPr>
          <w:sz w:val="18"/>
          <w:szCs w:val="18"/>
        </w:rPr>
      </w:pPr>
      <w:r w:rsidRPr="00D010C5">
        <w:rPr>
          <w:sz w:val="18"/>
          <w:szCs w:val="18"/>
        </w:rPr>
        <w:t xml:space="preserve">All references to websites, organisations or people not within the Ministry for the Environment </w:t>
      </w:r>
      <w:proofErr w:type="gramStart"/>
      <w:r w:rsidRPr="00D010C5">
        <w:rPr>
          <w:sz w:val="18"/>
          <w:szCs w:val="18"/>
        </w:rPr>
        <w:t>are provided</w:t>
      </w:r>
      <w:proofErr w:type="gramEnd"/>
      <w:r w:rsidRPr="00D010C5">
        <w:rPr>
          <w:sz w:val="18"/>
          <w:szCs w:val="18"/>
        </w:rPr>
        <w:t xml:space="preserve"> for convenience only and should not be taken as endorsement of those websites or information contained in those websites nor of organisations or people referred to. </w:t>
      </w:r>
    </w:p>
    <w:p w14:paraId="4373751A" w14:textId="77777777" w:rsidR="008009B8" w:rsidRPr="006B77BB" w:rsidRDefault="008009B8" w:rsidP="008009B8">
      <w:pPr>
        <w:pStyle w:val="Imprint"/>
      </w:pPr>
    </w:p>
    <w:p w14:paraId="3F60380B" w14:textId="77777777" w:rsidR="008009B8" w:rsidRPr="00D010C5" w:rsidRDefault="008009B8" w:rsidP="008009B8">
      <w:pPr>
        <w:pStyle w:val="Imprint"/>
        <w:spacing w:after="0" w:line="240" w:lineRule="auto"/>
        <w:rPr>
          <w:sz w:val="18"/>
          <w:szCs w:val="18"/>
        </w:rPr>
      </w:pPr>
      <w:r w:rsidRPr="00D010C5">
        <w:rPr>
          <w:sz w:val="18"/>
          <w:szCs w:val="18"/>
        </w:rPr>
        <w:t>Published in April 2019</w:t>
      </w:r>
      <w:r>
        <w:rPr>
          <w:sz w:val="18"/>
          <w:szCs w:val="18"/>
        </w:rPr>
        <w:br/>
        <w:t>Updated in September 2020</w:t>
      </w:r>
      <w:r>
        <w:rPr>
          <w:sz w:val="18"/>
          <w:szCs w:val="18"/>
        </w:rPr>
        <w:br/>
      </w:r>
      <w:r w:rsidRPr="00D010C5">
        <w:rPr>
          <w:sz w:val="18"/>
          <w:szCs w:val="18"/>
        </w:rPr>
        <w:t>by the</w:t>
      </w:r>
      <w:r>
        <w:rPr>
          <w:sz w:val="18"/>
          <w:szCs w:val="18"/>
        </w:rPr>
        <w:t xml:space="preserve"> </w:t>
      </w:r>
      <w:r w:rsidRPr="00D010C5">
        <w:rPr>
          <w:sz w:val="18"/>
          <w:szCs w:val="18"/>
        </w:rPr>
        <w:t xml:space="preserve">Ministry for the Environment </w:t>
      </w:r>
      <w:r w:rsidRPr="00D010C5">
        <w:rPr>
          <w:sz w:val="18"/>
          <w:szCs w:val="18"/>
        </w:rPr>
        <w:br/>
      </w:r>
      <w:r>
        <w:rPr>
          <w:sz w:val="18"/>
          <w:szCs w:val="18"/>
        </w:rPr>
        <w:t xml:space="preserve">Publication number: </w:t>
      </w:r>
      <w:r w:rsidRPr="00D010C5">
        <w:rPr>
          <w:sz w:val="18"/>
          <w:szCs w:val="18"/>
        </w:rPr>
        <w:t>INFO</w:t>
      </w:r>
      <w:r>
        <w:rPr>
          <w:sz w:val="18"/>
          <w:szCs w:val="18"/>
        </w:rPr>
        <w:t xml:space="preserve"> 981</w:t>
      </w:r>
    </w:p>
    <w:p w14:paraId="6952D06A" w14:textId="77777777" w:rsidR="008009B8" w:rsidRDefault="008009B8" w:rsidP="008009B8">
      <w:pPr>
        <w:pStyle w:val="Imprint"/>
        <w:spacing w:before="240" w:after="0"/>
      </w:pPr>
      <w:r>
        <w:rPr>
          <w:noProof/>
        </w:rPr>
        <w:drawing>
          <wp:anchor distT="0" distB="0" distL="114300" distR="114300" simplePos="0" relativeHeight="251660800" behindDoc="1" locked="0" layoutInCell="1" allowOverlap="1" wp14:anchorId="44499EB5" wp14:editId="575A54E1">
            <wp:simplePos x="0" y="0"/>
            <wp:positionH relativeFrom="column">
              <wp:posOffset>4023995</wp:posOffset>
            </wp:positionH>
            <wp:positionV relativeFrom="paragraph">
              <wp:posOffset>736600</wp:posOffset>
            </wp:positionV>
            <wp:extent cx="1924050" cy="412115"/>
            <wp:effectExtent l="0" t="0" r="0" b="6985"/>
            <wp:wrapTight wrapText="bothSides">
              <wp:wrapPolygon edited="0">
                <wp:start x="0" y="0"/>
                <wp:lineTo x="0" y="20968"/>
                <wp:lineTo x="21386" y="20968"/>
                <wp:lineTo x="21386" y="0"/>
                <wp:lineTo x="0" y="0"/>
              </wp:wrapPolygon>
            </wp:wrapTight>
            <wp:docPr id="2" name="Picture 2"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of-govt_NZ_Gov"/>
                    <pic:cNvPicPr>
                      <a:picLocks noChangeAspect="1" noChangeArrowheads="1"/>
                    </pic:cNvPicPr>
                  </pic:nvPicPr>
                  <pic:blipFill>
                    <a:blip r:embed="rId10" cstate="print">
                      <a:extLst>
                        <a:ext uri="{28A0092B-C50C-407E-A947-70E740481C1C}">
                          <a14:useLocalDpi xmlns:a14="http://schemas.microsoft.com/office/drawing/2010/main" val="0"/>
                        </a:ext>
                      </a:extLst>
                    </a:blip>
                    <a:srcRect l="6377" b="21339"/>
                    <a:stretch>
                      <a:fillRect/>
                    </a:stretch>
                  </pic:blipFill>
                  <pic:spPr bwMode="auto">
                    <a:xfrm>
                      <a:off x="0" y="0"/>
                      <a:ext cx="192405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F770E62" wp14:editId="556FACDA">
            <wp:extent cx="2824788" cy="121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266" cy="1220701"/>
                    </a:xfrm>
                    <a:prstGeom prst="rect">
                      <a:avLst/>
                    </a:prstGeom>
                    <a:noFill/>
                  </pic:spPr>
                </pic:pic>
              </a:graphicData>
            </a:graphic>
          </wp:inline>
        </w:drawing>
      </w:r>
    </w:p>
    <w:p w14:paraId="29126B38" w14:textId="77777777" w:rsidR="008009B8" w:rsidRDefault="008009B8" w:rsidP="008009B8">
      <w:pPr>
        <w:pStyle w:val="Imprint"/>
      </w:pPr>
    </w:p>
    <w:p w14:paraId="4328FFB5" w14:textId="1CABC17C" w:rsidR="00FB1B27" w:rsidRDefault="00FB1B27">
      <w:pPr>
        <w:rPr>
          <w:rFonts w:eastAsiaTheme="minorHAnsi" w:cs="Calibri"/>
          <w:color w:val="000000"/>
          <w:lang w:eastAsia="en-US"/>
        </w:rPr>
      </w:pPr>
    </w:p>
    <w:p w14:paraId="083A2574" w14:textId="180BB489" w:rsidR="00083E84" w:rsidRPr="00557EA3" w:rsidRDefault="00083E84">
      <w:pPr>
        <w:pStyle w:val="Imprint"/>
      </w:pPr>
    </w:p>
    <w:sectPr w:rsidR="00083E84" w:rsidRPr="00557EA3" w:rsidSect="00C74D5B">
      <w:footerReference w:type="even" r:id="rId12"/>
      <w:footerReference w:type="default" r:id="rId13"/>
      <w:pgSz w:w="11906" w:h="16838" w:code="9"/>
      <w:pgMar w:top="1440" w:right="1440" w:bottom="1135"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E8038" w14:textId="77777777" w:rsidR="00B24409" w:rsidRDefault="00B24409" w:rsidP="00FB1B27">
      <w:r>
        <w:separator/>
      </w:r>
    </w:p>
  </w:endnote>
  <w:endnote w:type="continuationSeparator" w:id="0">
    <w:p w14:paraId="7D44B836" w14:textId="77777777" w:rsidR="00B24409" w:rsidRDefault="00B24409" w:rsidP="00FB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931724"/>
      <w:docPartObj>
        <w:docPartGallery w:val="Page Numbers (Bottom of Page)"/>
        <w:docPartUnique/>
      </w:docPartObj>
    </w:sdtPr>
    <w:sdtEndPr>
      <w:rPr>
        <w:noProof/>
        <w:sz w:val="18"/>
        <w:szCs w:val="18"/>
      </w:rPr>
    </w:sdtEndPr>
    <w:sdtContent>
      <w:p w14:paraId="1ECAD147" w14:textId="236D323E" w:rsidR="0056757C" w:rsidRDefault="008009B8" w:rsidP="008009B8">
        <w:pPr>
          <w:pStyle w:val="Footer"/>
          <w:tabs>
            <w:tab w:val="left" w:pos="4253"/>
          </w:tabs>
          <w:jc w:val="center"/>
        </w:pPr>
        <w:r>
          <w:rPr>
            <w:noProof/>
            <w:sz w:val="18"/>
            <w:szCs w:val="18"/>
          </w:rPr>
          <w:t xml:space="preserve">National Planning Standards: </w:t>
        </w:r>
        <w:r w:rsidRPr="00BD06D5">
          <w:rPr>
            <w:sz w:val="18"/>
            <w:szCs w:val="18"/>
          </w:rPr>
          <w:t>Guidance for Definitions Standard</w:t>
        </w:r>
        <w:r>
          <w:rPr>
            <w:sz w:val="18"/>
            <w:szCs w:val="18"/>
          </w:rPr>
          <w:tab/>
        </w:r>
        <w:r>
          <w:rPr>
            <w:sz w:val="18"/>
            <w:szCs w:val="18"/>
          </w:rPr>
          <w:tab/>
        </w:r>
        <w:r w:rsidRPr="008009B8">
          <w:rPr>
            <w:sz w:val="18"/>
            <w:szCs w:val="18"/>
          </w:rPr>
          <w:t xml:space="preserve"> </w:t>
        </w:r>
        <w:r w:rsidRPr="008009B8">
          <w:rPr>
            <w:sz w:val="18"/>
            <w:szCs w:val="18"/>
          </w:rPr>
          <w:fldChar w:fldCharType="begin"/>
        </w:r>
        <w:r w:rsidRPr="008009B8">
          <w:rPr>
            <w:sz w:val="18"/>
            <w:szCs w:val="18"/>
          </w:rPr>
          <w:instrText xml:space="preserve"> PAGE   \* MERGEFORMAT </w:instrText>
        </w:r>
        <w:r w:rsidRPr="008009B8">
          <w:rPr>
            <w:sz w:val="18"/>
            <w:szCs w:val="18"/>
          </w:rPr>
          <w:fldChar w:fldCharType="separate"/>
        </w:r>
        <w:r w:rsidR="00033A07">
          <w:rPr>
            <w:noProof/>
            <w:sz w:val="18"/>
            <w:szCs w:val="18"/>
          </w:rPr>
          <w:t>4</w:t>
        </w:r>
        <w:r w:rsidRPr="008009B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32858"/>
      <w:docPartObj>
        <w:docPartGallery w:val="Page Numbers (Bottom of Page)"/>
        <w:docPartUnique/>
      </w:docPartObj>
    </w:sdtPr>
    <w:sdtEndPr>
      <w:rPr>
        <w:noProof/>
      </w:rPr>
    </w:sdtEndPr>
    <w:sdtContent>
      <w:p w14:paraId="2D228D4A" w14:textId="21AA2C21" w:rsidR="00BD06D5" w:rsidRDefault="008009B8" w:rsidP="008009B8">
        <w:pPr>
          <w:pStyle w:val="Footer"/>
          <w:tabs>
            <w:tab w:val="clear" w:pos="9689"/>
            <w:tab w:val="right" w:pos="9356"/>
          </w:tabs>
          <w:jc w:val="right"/>
        </w:pPr>
        <w:r>
          <w:rPr>
            <w:noProof/>
            <w:sz w:val="18"/>
            <w:szCs w:val="18"/>
          </w:rPr>
          <w:t xml:space="preserve">National Planning Standards: </w:t>
        </w:r>
        <w:r w:rsidRPr="00BD06D5">
          <w:rPr>
            <w:sz w:val="18"/>
            <w:szCs w:val="18"/>
          </w:rPr>
          <w:t>Guidance for Definitions Standard</w:t>
        </w:r>
        <w:r w:rsidR="00BD06D5">
          <w:rPr>
            <w:sz w:val="18"/>
            <w:szCs w:val="18"/>
          </w:rPr>
          <w:tab/>
        </w:r>
        <w:r w:rsidR="00BD06D5">
          <w:rPr>
            <w:sz w:val="18"/>
            <w:szCs w:val="18"/>
          </w:rPr>
          <w:tab/>
        </w:r>
        <w:r w:rsidR="00BD06D5" w:rsidRPr="00BD06D5">
          <w:rPr>
            <w:sz w:val="18"/>
            <w:szCs w:val="18"/>
          </w:rPr>
          <w:t xml:space="preserve"> </w:t>
        </w:r>
        <w:r w:rsidR="00BD06D5" w:rsidRPr="00BD06D5">
          <w:rPr>
            <w:sz w:val="18"/>
            <w:szCs w:val="18"/>
          </w:rPr>
          <w:fldChar w:fldCharType="begin"/>
        </w:r>
        <w:r w:rsidR="00BD06D5" w:rsidRPr="00BD06D5">
          <w:rPr>
            <w:sz w:val="18"/>
            <w:szCs w:val="18"/>
          </w:rPr>
          <w:instrText xml:space="preserve"> PAGE   \* MERGEFORMAT </w:instrText>
        </w:r>
        <w:r w:rsidR="00BD06D5" w:rsidRPr="00BD06D5">
          <w:rPr>
            <w:sz w:val="18"/>
            <w:szCs w:val="18"/>
          </w:rPr>
          <w:fldChar w:fldCharType="separate"/>
        </w:r>
        <w:r w:rsidR="00033A07">
          <w:rPr>
            <w:noProof/>
            <w:sz w:val="18"/>
            <w:szCs w:val="18"/>
          </w:rPr>
          <w:t>3</w:t>
        </w:r>
        <w:r w:rsidR="00BD06D5" w:rsidRPr="00BD06D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0140B" w14:textId="77777777" w:rsidR="00B24409" w:rsidRDefault="00B24409" w:rsidP="00FB1B27">
      <w:r>
        <w:separator/>
      </w:r>
    </w:p>
  </w:footnote>
  <w:footnote w:type="continuationSeparator" w:id="0">
    <w:p w14:paraId="06A21084" w14:textId="77777777" w:rsidR="00B24409" w:rsidRDefault="00B24409" w:rsidP="00FB1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4148"/>
    <w:multiLevelType w:val="hybridMultilevel"/>
    <w:tmpl w:val="6E067B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FD1308"/>
    <w:multiLevelType w:val="hybridMultilevel"/>
    <w:tmpl w:val="AB345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42D7A2C"/>
    <w:multiLevelType w:val="hybridMultilevel"/>
    <w:tmpl w:val="F588259C"/>
    <w:lvl w:ilvl="0" w:tplc="646879E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7877569"/>
    <w:multiLevelType w:val="hybridMultilevel"/>
    <w:tmpl w:val="EEE0BA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D465A16"/>
    <w:multiLevelType w:val="multilevel"/>
    <w:tmpl w:val="C600A56E"/>
    <w:lvl w:ilvl="0">
      <w:start w:val="1"/>
      <w:numFmt w:val="bullet"/>
      <w:pStyle w:val="Bullet"/>
      <w:lvlText w:val=""/>
      <w:lvlJc w:val="left"/>
      <w:pPr>
        <w:tabs>
          <w:tab w:val="num" w:pos="397"/>
        </w:tabs>
        <w:ind w:left="397" w:hanging="397"/>
      </w:pPr>
      <w:rPr>
        <w:rFonts w:ascii="Symbol" w:hAnsi="Symbol" w:hint="default"/>
        <w:color w:val="auto"/>
        <w:sz w:val="18"/>
        <w:szCs w:val="20"/>
      </w:rPr>
    </w:lvl>
    <w:lvl w:ilvl="1">
      <w:numFmt w:val="bullet"/>
      <w:lvlText w:val="–"/>
      <w:lvlJc w:val="left"/>
      <w:pPr>
        <w:ind w:left="1440" w:hanging="360"/>
      </w:pPr>
      <w:rPr>
        <w:rFonts w:ascii="Calibri" w:eastAsia="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733B7C"/>
    <w:multiLevelType w:val="hybridMultilevel"/>
    <w:tmpl w:val="0E8450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75"/>
    <w:rsid w:val="000004C5"/>
    <w:rsid w:val="000035FE"/>
    <w:rsid w:val="00006AD5"/>
    <w:rsid w:val="00011DCF"/>
    <w:rsid w:val="0001529F"/>
    <w:rsid w:val="00020EF1"/>
    <w:rsid w:val="00024C33"/>
    <w:rsid w:val="0003014F"/>
    <w:rsid w:val="0003236C"/>
    <w:rsid w:val="00032FDB"/>
    <w:rsid w:val="00033A07"/>
    <w:rsid w:val="00040EC7"/>
    <w:rsid w:val="00042460"/>
    <w:rsid w:val="000438EE"/>
    <w:rsid w:val="00044790"/>
    <w:rsid w:val="00044E05"/>
    <w:rsid w:val="00045118"/>
    <w:rsid w:val="00045D7C"/>
    <w:rsid w:val="00046BCD"/>
    <w:rsid w:val="00046FAF"/>
    <w:rsid w:val="00047278"/>
    <w:rsid w:val="00047700"/>
    <w:rsid w:val="00050637"/>
    <w:rsid w:val="000510CB"/>
    <w:rsid w:val="000567C6"/>
    <w:rsid w:val="00060761"/>
    <w:rsid w:val="00063B97"/>
    <w:rsid w:val="00067224"/>
    <w:rsid w:val="000713CD"/>
    <w:rsid w:val="000724E0"/>
    <w:rsid w:val="00072AA0"/>
    <w:rsid w:val="00072CE4"/>
    <w:rsid w:val="00075A9F"/>
    <w:rsid w:val="00076F81"/>
    <w:rsid w:val="00080881"/>
    <w:rsid w:val="00083E84"/>
    <w:rsid w:val="00090334"/>
    <w:rsid w:val="00091F2B"/>
    <w:rsid w:val="00093AD7"/>
    <w:rsid w:val="00096981"/>
    <w:rsid w:val="00096D89"/>
    <w:rsid w:val="000B0094"/>
    <w:rsid w:val="000B1EF1"/>
    <w:rsid w:val="000B4A33"/>
    <w:rsid w:val="000B7015"/>
    <w:rsid w:val="000C007D"/>
    <w:rsid w:val="000C2DCA"/>
    <w:rsid w:val="000C57F8"/>
    <w:rsid w:val="000C5C12"/>
    <w:rsid w:val="000C5EAB"/>
    <w:rsid w:val="000C7064"/>
    <w:rsid w:val="000D428B"/>
    <w:rsid w:val="000E039F"/>
    <w:rsid w:val="000E2349"/>
    <w:rsid w:val="000E620B"/>
    <w:rsid w:val="000E7C16"/>
    <w:rsid w:val="000F0E8E"/>
    <w:rsid w:val="000F779D"/>
    <w:rsid w:val="00101BC7"/>
    <w:rsid w:val="00112230"/>
    <w:rsid w:val="0011639E"/>
    <w:rsid w:val="0012001D"/>
    <w:rsid w:val="0012605E"/>
    <w:rsid w:val="00127A73"/>
    <w:rsid w:val="001325B8"/>
    <w:rsid w:val="00134291"/>
    <w:rsid w:val="0013667E"/>
    <w:rsid w:val="00137209"/>
    <w:rsid w:val="00145EE8"/>
    <w:rsid w:val="00147BBF"/>
    <w:rsid w:val="001514C3"/>
    <w:rsid w:val="00153048"/>
    <w:rsid w:val="00166ACE"/>
    <w:rsid w:val="00166F50"/>
    <w:rsid w:val="00166FCF"/>
    <w:rsid w:val="00174EAC"/>
    <w:rsid w:val="001751D4"/>
    <w:rsid w:val="00175AAD"/>
    <w:rsid w:val="00187210"/>
    <w:rsid w:val="001906A0"/>
    <w:rsid w:val="00190862"/>
    <w:rsid w:val="00193140"/>
    <w:rsid w:val="00197CA5"/>
    <w:rsid w:val="001A04E2"/>
    <w:rsid w:val="001A22D5"/>
    <w:rsid w:val="001A2C34"/>
    <w:rsid w:val="001A5F66"/>
    <w:rsid w:val="001B118D"/>
    <w:rsid w:val="001B5565"/>
    <w:rsid w:val="001B694F"/>
    <w:rsid w:val="001C2C2A"/>
    <w:rsid w:val="001C356A"/>
    <w:rsid w:val="001D2B74"/>
    <w:rsid w:val="001D72E6"/>
    <w:rsid w:val="001E5A2F"/>
    <w:rsid w:val="001E7128"/>
    <w:rsid w:val="001E7221"/>
    <w:rsid w:val="001F0955"/>
    <w:rsid w:val="001F1F5E"/>
    <w:rsid w:val="001F37D9"/>
    <w:rsid w:val="001F457F"/>
    <w:rsid w:val="001F55DC"/>
    <w:rsid w:val="001F56C2"/>
    <w:rsid w:val="001F6D3F"/>
    <w:rsid w:val="00200976"/>
    <w:rsid w:val="00210B5E"/>
    <w:rsid w:val="0021393E"/>
    <w:rsid w:val="00213FD8"/>
    <w:rsid w:val="002163D1"/>
    <w:rsid w:val="00220464"/>
    <w:rsid w:val="00223341"/>
    <w:rsid w:val="002310F3"/>
    <w:rsid w:val="002313D8"/>
    <w:rsid w:val="00232624"/>
    <w:rsid w:val="00233438"/>
    <w:rsid w:val="00243113"/>
    <w:rsid w:val="0025088B"/>
    <w:rsid w:val="00252578"/>
    <w:rsid w:val="00253B03"/>
    <w:rsid w:val="002558FB"/>
    <w:rsid w:val="002646BA"/>
    <w:rsid w:val="00264991"/>
    <w:rsid w:val="00264D32"/>
    <w:rsid w:val="002713CF"/>
    <w:rsid w:val="00272AAE"/>
    <w:rsid w:val="00275D17"/>
    <w:rsid w:val="0027674F"/>
    <w:rsid w:val="00276C91"/>
    <w:rsid w:val="00282410"/>
    <w:rsid w:val="00283BD2"/>
    <w:rsid w:val="002858D6"/>
    <w:rsid w:val="00285B20"/>
    <w:rsid w:val="002869FE"/>
    <w:rsid w:val="0029042E"/>
    <w:rsid w:val="00290879"/>
    <w:rsid w:val="0029102E"/>
    <w:rsid w:val="00291089"/>
    <w:rsid w:val="00293A8C"/>
    <w:rsid w:val="002A26F9"/>
    <w:rsid w:val="002A5D6C"/>
    <w:rsid w:val="002A70A4"/>
    <w:rsid w:val="002A74BE"/>
    <w:rsid w:val="002B283F"/>
    <w:rsid w:val="002B31E7"/>
    <w:rsid w:val="002B3DF4"/>
    <w:rsid w:val="002B416B"/>
    <w:rsid w:val="002B6E9F"/>
    <w:rsid w:val="002C0A82"/>
    <w:rsid w:val="002C0ED2"/>
    <w:rsid w:val="002C212F"/>
    <w:rsid w:val="002C44F6"/>
    <w:rsid w:val="002C60AC"/>
    <w:rsid w:val="002D0275"/>
    <w:rsid w:val="002D2D23"/>
    <w:rsid w:val="002D4712"/>
    <w:rsid w:val="002D78AC"/>
    <w:rsid w:val="002E3039"/>
    <w:rsid w:val="002E383D"/>
    <w:rsid w:val="002E3C89"/>
    <w:rsid w:val="002E706B"/>
    <w:rsid w:val="002E76BB"/>
    <w:rsid w:val="002E7DF8"/>
    <w:rsid w:val="002F2A0A"/>
    <w:rsid w:val="003015FA"/>
    <w:rsid w:val="00310D94"/>
    <w:rsid w:val="00310DDE"/>
    <w:rsid w:val="00312FD1"/>
    <w:rsid w:val="00314647"/>
    <w:rsid w:val="00314EF1"/>
    <w:rsid w:val="00317D4F"/>
    <w:rsid w:val="00322CE9"/>
    <w:rsid w:val="00323CF6"/>
    <w:rsid w:val="00325DFF"/>
    <w:rsid w:val="003366BC"/>
    <w:rsid w:val="00342DA9"/>
    <w:rsid w:val="00346265"/>
    <w:rsid w:val="003513F9"/>
    <w:rsid w:val="0035349B"/>
    <w:rsid w:val="003535FA"/>
    <w:rsid w:val="00354EEA"/>
    <w:rsid w:val="003558F5"/>
    <w:rsid w:val="003572D1"/>
    <w:rsid w:val="003601C5"/>
    <w:rsid w:val="00360AF9"/>
    <w:rsid w:val="0036124F"/>
    <w:rsid w:val="00364EB7"/>
    <w:rsid w:val="00367833"/>
    <w:rsid w:val="0037474D"/>
    <w:rsid w:val="00375AE9"/>
    <w:rsid w:val="00376F64"/>
    <w:rsid w:val="00384474"/>
    <w:rsid w:val="003870AB"/>
    <w:rsid w:val="003926D7"/>
    <w:rsid w:val="00395B84"/>
    <w:rsid w:val="00397735"/>
    <w:rsid w:val="003A1423"/>
    <w:rsid w:val="003A371C"/>
    <w:rsid w:val="003A4639"/>
    <w:rsid w:val="003A6F50"/>
    <w:rsid w:val="003B3227"/>
    <w:rsid w:val="003B4786"/>
    <w:rsid w:val="003B4824"/>
    <w:rsid w:val="003B6120"/>
    <w:rsid w:val="003C2D3A"/>
    <w:rsid w:val="003C4C6B"/>
    <w:rsid w:val="003C67DC"/>
    <w:rsid w:val="003D04D5"/>
    <w:rsid w:val="003D0BBB"/>
    <w:rsid w:val="003D13E0"/>
    <w:rsid w:val="003D334D"/>
    <w:rsid w:val="003E00C3"/>
    <w:rsid w:val="003E293E"/>
    <w:rsid w:val="003E49F3"/>
    <w:rsid w:val="003E55AA"/>
    <w:rsid w:val="003F2CD6"/>
    <w:rsid w:val="003F582E"/>
    <w:rsid w:val="003F7387"/>
    <w:rsid w:val="003F76B9"/>
    <w:rsid w:val="00404BDE"/>
    <w:rsid w:val="00405424"/>
    <w:rsid w:val="00407535"/>
    <w:rsid w:val="00412936"/>
    <w:rsid w:val="00415C00"/>
    <w:rsid w:val="004346B9"/>
    <w:rsid w:val="00435FC2"/>
    <w:rsid w:val="004438DF"/>
    <w:rsid w:val="004461BB"/>
    <w:rsid w:val="00450889"/>
    <w:rsid w:val="004517BC"/>
    <w:rsid w:val="00454738"/>
    <w:rsid w:val="00454896"/>
    <w:rsid w:val="0045689A"/>
    <w:rsid w:val="0046133C"/>
    <w:rsid w:val="004624FF"/>
    <w:rsid w:val="004637DF"/>
    <w:rsid w:val="00473D03"/>
    <w:rsid w:val="00476923"/>
    <w:rsid w:val="00483588"/>
    <w:rsid w:val="004836C2"/>
    <w:rsid w:val="004921EB"/>
    <w:rsid w:val="004975A0"/>
    <w:rsid w:val="004B37EE"/>
    <w:rsid w:val="004B3A71"/>
    <w:rsid w:val="004B4599"/>
    <w:rsid w:val="004B77A2"/>
    <w:rsid w:val="004C084F"/>
    <w:rsid w:val="004C352C"/>
    <w:rsid w:val="004D14F7"/>
    <w:rsid w:val="004D2D79"/>
    <w:rsid w:val="004D3018"/>
    <w:rsid w:val="004D47CE"/>
    <w:rsid w:val="004D4B87"/>
    <w:rsid w:val="004D64B2"/>
    <w:rsid w:val="004D6992"/>
    <w:rsid w:val="004D6FD7"/>
    <w:rsid w:val="004D7725"/>
    <w:rsid w:val="004E04A7"/>
    <w:rsid w:val="004E4429"/>
    <w:rsid w:val="004F0A68"/>
    <w:rsid w:val="004F2C0F"/>
    <w:rsid w:val="004F4A8A"/>
    <w:rsid w:val="004F510C"/>
    <w:rsid w:val="004F6CF1"/>
    <w:rsid w:val="004F6F67"/>
    <w:rsid w:val="00503A32"/>
    <w:rsid w:val="00504DB7"/>
    <w:rsid w:val="00505B53"/>
    <w:rsid w:val="00505E2B"/>
    <w:rsid w:val="0050684D"/>
    <w:rsid w:val="00506ACF"/>
    <w:rsid w:val="005121FD"/>
    <w:rsid w:val="005170F2"/>
    <w:rsid w:val="00520B62"/>
    <w:rsid w:val="0052370D"/>
    <w:rsid w:val="00527730"/>
    <w:rsid w:val="00531F51"/>
    <w:rsid w:val="005334F2"/>
    <w:rsid w:val="0053725E"/>
    <w:rsid w:val="005401D1"/>
    <w:rsid w:val="005421DD"/>
    <w:rsid w:val="0054339E"/>
    <w:rsid w:val="005443FA"/>
    <w:rsid w:val="00544C7A"/>
    <w:rsid w:val="00545E5A"/>
    <w:rsid w:val="005507F6"/>
    <w:rsid w:val="005533C5"/>
    <w:rsid w:val="0055461F"/>
    <w:rsid w:val="00557EA3"/>
    <w:rsid w:val="00560079"/>
    <w:rsid w:val="00560EC0"/>
    <w:rsid w:val="005626EC"/>
    <w:rsid w:val="00562885"/>
    <w:rsid w:val="00563B7A"/>
    <w:rsid w:val="00565E62"/>
    <w:rsid w:val="0056757C"/>
    <w:rsid w:val="00567A52"/>
    <w:rsid w:val="00570E14"/>
    <w:rsid w:val="00572365"/>
    <w:rsid w:val="00572639"/>
    <w:rsid w:val="00572A44"/>
    <w:rsid w:val="00574AA8"/>
    <w:rsid w:val="0057773E"/>
    <w:rsid w:val="00584483"/>
    <w:rsid w:val="00585404"/>
    <w:rsid w:val="00586794"/>
    <w:rsid w:val="005900C4"/>
    <w:rsid w:val="00590A47"/>
    <w:rsid w:val="00595596"/>
    <w:rsid w:val="005975C3"/>
    <w:rsid w:val="005A4971"/>
    <w:rsid w:val="005A6BB1"/>
    <w:rsid w:val="005A7072"/>
    <w:rsid w:val="005B02CA"/>
    <w:rsid w:val="005B2544"/>
    <w:rsid w:val="005B2624"/>
    <w:rsid w:val="005B4EA8"/>
    <w:rsid w:val="005E0D77"/>
    <w:rsid w:val="005E7CDC"/>
    <w:rsid w:val="005F4138"/>
    <w:rsid w:val="0060376F"/>
    <w:rsid w:val="00604AE0"/>
    <w:rsid w:val="00606AFA"/>
    <w:rsid w:val="00610B08"/>
    <w:rsid w:val="00612CBD"/>
    <w:rsid w:val="00615814"/>
    <w:rsid w:val="0061750C"/>
    <w:rsid w:val="00622C6C"/>
    <w:rsid w:val="00625D32"/>
    <w:rsid w:val="00626C7B"/>
    <w:rsid w:val="00630BAD"/>
    <w:rsid w:val="00632DB8"/>
    <w:rsid w:val="00637D46"/>
    <w:rsid w:val="006405CC"/>
    <w:rsid w:val="00641F70"/>
    <w:rsid w:val="00652345"/>
    <w:rsid w:val="0065350F"/>
    <w:rsid w:val="006555C8"/>
    <w:rsid w:val="006568DA"/>
    <w:rsid w:val="00657824"/>
    <w:rsid w:val="006600FA"/>
    <w:rsid w:val="006652AC"/>
    <w:rsid w:val="00667D3C"/>
    <w:rsid w:val="0067296B"/>
    <w:rsid w:val="00672E88"/>
    <w:rsid w:val="006748A5"/>
    <w:rsid w:val="00676AC0"/>
    <w:rsid w:val="00683B94"/>
    <w:rsid w:val="006938CA"/>
    <w:rsid w:val="006A379D"/>
    <w:rsid w:val="006A634E"/>
    <w:rsid w:val="006B23EF"/>
    <w:rsid w:val="006B3398"/>
    <w:rsid w:val="006B72E3"/>
    <w:rsid w:val="006C050B"/>
    <w:rsid w:val="006C415C"/>
    <w:rsid w:val="006C4E08"/>
    <w:rsid w:val="006C573E"/>
    <w:rsid w:val="006C5AFE"/>
    <w:rsid w:val="006D2919"/>
    <w:rsid w:val="006D514A"/>
    <w:rsid w:val="006D7DD2"/>
    <w:rsid w:val="006F40C3"/>
    <w:rsid w:val="006F449D"/>
    <w:rsid w:val="006F4F72"/>
    <w:rsid w:val="00701941"/>
    <w:rsid w:val="00704D0D"/>
    <w:rsid w:val="00705865"/>
    <w:rsid w:val="00714089"/>
    <w:rsid w:val="007233A6"/>
    <w:rsid w:val="0072512D"/>
    <w:rsid w:val="0072723F"/>
    <w:rsid w:val="0072766E"/>
    <w:rsid w:val="00727A78"/>
    <w:rsid w:val="007320FC"/>
    <w:rsid w:val="007327A4"/>
    <w:rsid w:val="00737C61"/>
    <w:rsid w:val="00740996"/>
    <w:rsid w:val="00744F11"/>
    <w:rsid w:val="007466E7"/>
    <w:rsid w:val="0075319B"/>
    <w:rsid w:val="0075443C"/>
    <w:rsid w:val="0075765E"/>
    <w:rsid w:val="0076272E"/>
    <w:rsid w:val="00763748"/>
    <w:rsid w:val="00765C99"/>
    <w:rsid w:val="007713FB"/>
    <w:rsid w:val="00771F52"/>
    <w:rsid w:val="00775F40"/>
    <w:rsid w:val="007765FA"/>
    <w:rsid w:val="00776B1C"/>
    <w:rsid w:val="0078134C"/>
    <w:rsid w:val="00782A2E"/>
    <w:rsid w:val="007850CB"/>
    <w:rsid w:val="00791CF3"/>
    <w:rsid w:val="0079702F"/>
    <w:rsid w:val="007A0A48"/>
    <w:rsid w:val="007A722C"/>
    <w:rsid w:val="007B2768"/>
    <w:rsid w:val="007B293D"/>
    <w:rsid w:val="007B2EDF"/>
    <w:rsid w:val="007B4E1D"/>
    <w:rsid w:val="007B7BEF"/>
    <w:rsid w:val="007C0FEC"/>
    <w:rsid w:val="007C7A64"/>
    <w:rsid w:val="007D0AC2"/>
    <w:rsid w:val="007D4F90"/>
    <w:rsid w:val="007E1B2C"/>
    <w:rsid w:val="007E7200"/>
    <w:rsid w:val="007E720F"/>
    <w:rsid w:val="007F5773"/>
    <w:rsid w:val="007F63A9"/>
    <w:rsid w:val="008009B8"/>
    <w:rsid w:val="008019B7"/>
    <w:rsid w:val="008044D8"/>
    <w:rsid w:val="00804668"/>
    <w:rsid w:val="0080575B"/>
    <w:rsid w:val="0080784E"/>
    <w:rsid w:val="008102E7"/>
    <w:rsid w:val="00820B76"/>
    <w:rsid w:val="008211BA"/>
    <w:rsid w:val="00823F4D"/>
    <w:rsid w:val="008266E0"/>
    <w:rsid w:val="0083003C"/>
    <w:rsid w:val="00831D9D"/>
    <w:rsid w:val="00834AC9"/>
    <w:rsid w:val="00837C2B"/>
    <w:rsid w:val="00841895"/>
    <w:rsid w:val="00842217"/>
    <w:rsid w:val="0084295F"/>
    <w:rsid w:val="008466CC"/>
    <w:rsid w:val="00850B2B"/>
    <w:rsid w:val="008550FB"/>
    <w:rsid w:val="00875684"/>
    <w:rsid w:val="0088409B"/>
    <w:rsid w:val="00884805"/>
    <w:rsid w:val="00884984"/>
    <w:rsid w:val="00884EF5"/>
    <w:rsid w:val="00885A8B"/>
    <w:rsid w:val="00891780"/>
    <w:rsid w:val="00891CE9"/>
    <w:rsid w:val="0089377E"/>
    <w:rsid w:val="00897D8B"/>
    <w:rsid w:val="008A1376"/>
    <w:rsid w:val="008A1F51"/>
    <w:rsid w:val="008A4741"/>
    <w:rsid w:val="008A5539"/>
    <w:rsid w:val="008A7BA2"/>
    <w:rsid w:val="008C0EB0"/>
    <w:rsid w:val="008C34D6"/>
    <w:rsid w:val="008C3E57"/>
    <w:rsid w:val="008C4FE3"/>
    <w:rsid w:val="008C525F"/>
    <w:rsid w:val="008C5848"/>
    <w:rsid w:val="008D2813"/>
    <w:rsid w:val="008D4F7D"/>
    <w:rsid w:val="008D7792"/>
    <w:rsid w:val="008E0445"/>
    <w:rsid w:val="008E0B6C"/>
    <w:rsid w:val="008E6689"/>
    <w:rsid w:val="008E7F3C"/>
    <w:rsid w:val="0090014B"/>
    <w:rsid w:val="00904CA5"/>
    <w:rsid w:val="00913749"/>
    <w:rsid w:val="00920D5C"/>
    <w:rsid w:val="00927DD8"/>
    <w:rsid w:val="00931B97"/>
    <w:rsid w:val="00932FE7"/>
    <w:rsid w:val="00934B49"/>
    <w:rsid w:val="00937871"/>
    <w:rsid w:val="0094172B"/>
    <w:rsid w:val="00953F2D"/>
    <w:rsid w:val="009558BF"/>
    <w:rsid w:val="0096633F"/>
    <w:rsid w:val="00972389"/>
    <w:rsid w:val="009746B5"/>
    <w:rsid w:val="009810F6"/>
    <w:rsid w:val="00983F29"/>
    <w:rsid w:val="00994CB1"/>
    <w:rsid w:val="0099573D"/>
    <w:rsid w:val="009971C7"/>
    <w:rsid w:val="009A50DB"/>
    <w:rsid w:val="009B03A2"/>
    <w:rsid w:val="009B27C1"/>
    <w:rsid w:val="009B2AF3"/>
    <w:rsid w:val="009B7CD1"/>
    <w:rsid w:val="009C0644"/>
    <w:rsid w:val="009C45E7"/>
    <w:rsid w:val="009C68C7"/>
    <w:rsid w:val="009C6E3A"/>
    <w:rsid w:val="009C7537"/>
    <w:rsid w:val="009D0CB7"/>
    <w:rsid w:val="009D1275"/>
    <w:rsid w:val="009D1D3F"/>
    <w:rsid w:val="009D32F8"/>
    <w:rsid w:val="009D5656"/>
    <w:rsid w:val="009D6ED8"/>
    <w:rsid w:val="009D7746"/>
    <w:rsid w:val="009E69CD"/>
    <w:rsid w:val="009F12C3"/>
    <w:rsid w:val="009F1FFC"/>
    <w:rsid w:val="009F641B"/>
    <w:rsid w:val="00A014A0"/>
    <w:rsid w:val="00A03250"/>
    <w:rsid w:val="00A12307"/>
    <w:rsid w:val="00A14CDF"/>
    <w:rsid w:val="00A15218"/>
    <w:rsid w:val="00A212B9"/>
    <w:rsid w:val="00A21F2E"/>
    <w:rsid w:val="00A22933"/>
    <w:rsid w:val="00A26546"/>
    <w:rsid w:val="00A30435"/>
    <w:rsid w:val="00A37A1C"/>
    <w:rsid w:val="00A40C82"/>
    <w:rsid w:val="00A42C6E"/>
    <w:rsid w:val="00A5003C"/>
    <w:rsid w:val="00A55304"/>
    <w:rsid w:val="00A62B5F"/>
    <w:rsid w:val="00A6488A"/>
    <w:rsid w:val="00A64F42"/>
    <w:rsid w:val="00A75D5B"/>
    <w:rsid w:val="00A827C2"/>
    <w:rsid w:val="00A8426A"/>
    <w:rsid w:val="00A84A9B"/>
    <w:rsid w:val="00A939D4"/>
    <w:rsid w:val="00A96771"/>
    <w:rsid w:val="00A97D9A"/>
    <w:rsid w:val="00AA698B"/>
    <w:rsid w:val="00AA6FC8"/>
    <w:rsid w:val="00AA7380"/>
    <w:rsid w:val="00AC7CA2"/>
    <w:rsid w:val="00AD2C42"/>
    <w:rsid w:val="00AD3F13"/>
    <w:rsid w:val="00AE3BAF"/>
    <w:rsid w:val="00AE4AC9"/>
    <w:rsid w:val="00AE52C0"/>
    <w:rsid w:val="00AF10F9"/>
    <w:rsid w:val="00AF5B49"/>
    <w:rsid w:val="00B00DE4"/>
    <w:rsid w:val="00B01FF5"/>
    <w:rsid w:val="00B022DF"/>
    <w:rsid w:val="00B076BA"/>
    <w:rsid w:val="00B154E0"/>
    <w:rsid w:val="00B1720F"/>
    <w:rsid w:val="00B239E9"/>
    <w:rsid w:val="00B24409"/>
    <w:rsid w:val="00B25F3D"/>
    <w:rsid w:val="00B30441"/>
    <w:rsid w:val="00B306A2"/>
    <w:rsid w:val="00B32F4D"/>
    <w:rsid w:val="00B34E89"/>
    <w:rsid w:val="00B35442"/>
    <w:rsid w:val="00B36253"/>
    <w:rsid w:val="00B44A9B"/>
    <w:rsid w:val="00B45032"/>
    <w:rsid w:val="00B53A02"/>
    <w:rsid w:val="00B65276"/>
    <w:rsid w:val="00B65E4D"/>
    <w:rsid w:val="00B66951"/>
    <w:rsid w:val="00B739A8"/>
    <w:rsid w:val="00B73DAF"/>
    <w:rsid w:val="00B75F9A"/>
    <w:rsid w:val="00B76CFC"/>
    <w:rsid w:val="00B77DA1"/>
    <w:rsid w:val="00B84B1F"/>
    <w:rsid w:val="00B86DE9"/>
    <w:rsid w:val="00B87F0F"/>
    <w:rsid w:val="00B932C7"/>
    <w:rsid w:val="00B957D1"/>
    <w:rsid w:val="00B96308"/>
    <w:rsid w:val="00B969C9"/>
    <w:rsid w:val="00B96F27"/>
    <w:rsid w:val="00B9735C"/>
    <w:rsid w:val="00BA3E2E"/>
    <w:rsid w:val="00BA4A80"/>
    <w:rsid w:val="00BA5139"/>
    <w:rsid w:val="00BA6E68"/>
    <w:rsid w:val="00BB0F12"/>
    <w:rsid w:val="00BB53F2"/>
    <w:rsid w:val="00BB70DE"/>
    <w:rsid w:val="00BB7D1F"/>
    <w:rsid w:val="00BC6965"/>
    <w:rsid w:val="00BD046F"/>
    <w:rsid w:val="00BD06D5"/>
    <w:rsid w:val="00BD2A8F"/>
    <w:rsid w:val="00BD4377"/>
    <w:rsid w:val="00BD4D25"/>
    <w:rsid w:val="00BD68AE"/>
    <w:rsid w:val="00BD6D98"/>
    <w:rsid w:val="00BE0361"/>
    <w:rsid w:val="00BE1AE9"/>
    <w:rsid w:val="00BE3704"/>
    <w:rsid w:val="00BE4157"/>
    <w:rsid w:val="00BE6386"/>
    <w:rsid w:val="00BF448A"/>
    <w:rsid w:val="00BF5160"/>
    <w:rsid w:val="00C01487"/>
    <w:rsid w:val="00C020E6"/>
    <w:rsid w:val="00C02774"/>
    <w:rsid w:val="00C03CE5"/>
    <w:rsid w:val="00C04483"/>
    <w:rsid w:val="00C07218"/>
    <w:rsid w:val="00C10E24"/>
    <w:rsid w:val="00C13C98"/>
    <w:rsid w:val="00C1442E"/>
    <w:rsid w:val="00C21456"/>
    <w:rsid w:val="00C224B9"/>
    <w:rsid w:val="00C233BF"/>
    <w:rsid w:val="00C23C8E"/>
    <w:rsid w:val="00C27598"/>
    <w:rsid w:val="00C279C4"/>
    <w:rsid w:val="00C3153E"/>
    <w:rsid w:val="00C36C57"/>
    <w:rsid w:val="00C37B8D"/>
    <w:rsid w:val="00C37CA8"/>
    <w:rsid w:val="00C40336"/>
    <w:rsid w:val="00C438FF"/>
    <w:rsid w:val="00C5011C"/>
    <w:rsid w:val="00C503CC"/>
    <w:rsid w:val="00C50E05"/>
    <w:rsid w:val="00C5177D"/>
    <w:rsid w:val="00C518BA"/>
    <w:rsid w:val="00C60FE4"/>
    <w:rsid w:val="00C70911"/>
    <w:rsid w:val="00C71FBF"/>
    <w:rsid w:val="00C74079"/>
    <w:rsid w:val="00C74D5B"/>
    <w:rsid w:val="00C75AF4"/>
    <w:rsid w:val="00C83B77"/>
    <w:rsid w:val="00C863CF"/>
    <w:rsid w:val="00C86B1B"/>
    <w:rsid w:val="00C87FC1"/>
    <w:rsid w:val="00C9133D"/>
    <w:rsid w:val="00C954CA"/>
    <w:rsid w:val="00C96937"/>
    <w:rsid w:val="00C96D12"/>
    <w:rsid w:val="00CA633B"/>
    <w:rsid w:val="00CA711E"/>
    <w:rsid w:val="00CA745E"/>
    <w:rsid w:val="00CA7E2E"/>
    <w:rsid w:val="00CC408D"/>
    <w:rsid w:val="00CC55AB"/>
    <w:rsid w:val="00CC5E9E"/>
    <w:rsid w:val="00CC6F5E"/>
    <w:rsid w:val="00CD7347"/>
    <w:rsid w:val="00CE0EF9"/>
    <w:rsid w:val="00CE0F8E"/>
    <w:rsid w:val="00CE4428"/>
    <w:rsid w:val="00CE4FF5"/>
    <w:rsid w:val="00CF100C"/>
    <w:rsid w:val="00CF3237"/>
    <w:rsid w:val="00CF3E20"/>
    <w:rsid w:val="00CF5F64"/>
    <w:rsid w:val="00CF63B4"/>
    <w:rsid w:val="00D01682"/>
    <w:rsid w:val="00D0486B"/>
    <w:rsid w:val="00D060FA"/>
    <w:rsid w:val="00D11045"/>
    <w:rsid w:val="00D11CBC"/>
    <w:rsid w:val="00D125B2"/>
    <w:rsid w:val="00D1791D"/>
    <w:rsid w:val="00D20178"/>
    <w:rsid w:val="00D210B5"/>
    <w:rsid w:val="00D22ACE"/>
    <w:rsid w:val="00D2368B"/>
    <w:rsid w:val="00D23971"/>
    <w:rsid w:val="00D3713D"/>
    <w:rsid w:val="00D37D75"/>
    <w:rsid w:val="00D37F66"/>
    <w:rsid w:val="00D50255"/>
    <w:rsid w:val="00D514E4"/>
    <w:rsid w:val="00D523FF"/>
    <w:rsid w:val="00D52D91"/>
    <w:rsid w:val="00D54933"/>
    <w:rsid w:val="00D616A0"/>
    <w:rsid w:val="00D7059B"/>
    <w:rsid w:val="00D71A38"/>
    <w:rsid w:val="00D744F0"/>
    <w:rsid w:val="00D75C10"/>
    <w:rsid w:val="00D765C7"/>
    <w:rsid w:val="00D81D95"/>
    <w:rsid w:val="00D86736"/>
    <w:rsid w:val="00D8703B"/>
    <w:rsid w:val="00D87AE1"/>
    <w:rsid w:val="00D87BFF"/>
    <w:rsid w:val="00D87E87"/>
    <w:rsid w:val="00D9089B"/>
    <w:rsid w:val="00D97DF6"/>
    <w:rsid w:val="00DA47BD"/>
    <w:rsid w:val="00DA6E08"/>
    <w:rsid w:val="00DB44A0"/>
    <w:rsid w:val="00DB4CEE"/>
    <w:rsid w:val="00DC0A3A"/>
    <w:rsid w:val="00DC546C"/>
    <w:rsid w:val="00DD0850"/>
    <w:rsid w:val="00DD0D30"/>
    <w:rsid w:val="00DD2EE6"/>
    <w:rsid w:val="00DD5468"/>
    <w:rsid w:val="00DE1DA7"/>
    <w:rsid w:val="00DE1FFD"/>
    <w:rsid w:val="00DE7052"/>
    <w:rsid w:val="00DE7814"/>
    <w:rsid w:val="00DF0369"/>
    <w:rsid w:val="00DF52D3"/>
    <w:rsid w:val="00DF5A5E"/>
    <w:rsid w:val="00DF6AB0"/>
    <w:rsid w:val="00E048B8"/>
    <w:rsid w:val="00E07020"/>
    <w:rsid w:val="00E07199"/>
    <w:rsid w:val="00E07507"/>
    <w:rsid w:val="00E17F77"/>
    <w:rsid w:val="00E203FA"/>
    <w:rsid w:val="00E24E1C"/>
    <w:rsid w:val="00E33CCC"/>
    <w:rsid w:val="00E4044F"/>
    <w:rsid w:val="00E45E3C"/>
    <w:rsid w:val="00E47D4C"/>
    <w:rsid w:val="00E50C0D"/>
    <w:rsid w:val="00E510FC"/>
    <w:rsid w:val="00E51152"/>
    <w:rsid w:val="00E52E67"/>
    <w:rsid w:val="00E57B2A"/>
    <w:rsid w:val="00E6299C"/>
    <w:rsid w:val="00E6458A"/>
    <w:rsid w:val="00E6512D"/>
    <w:rsid w:val="00E65401"/>
    <w:rsid w:val="00E66003"/>
    <w:rsid w:val="00E677A0"/>
    <w:rsid w:val="00E7305D"/>
    <w:rsid w:val="00E7614D"/>
    <w:rsid w:val="00E76790"/>
    <w:rsid w:val="00E80491"/>
    <w:rsid w:val="00E83E15"/>
    <w:rsid w:val="00E83FF4"/>
    <w:rsid w:val="00E9394E"/>
    <w:rsid w:val="00E93A7E"/>
    <w:rsid w:val="00E97274"/>
    <w:rsid w:val="00E9735F"/>
    <w:rsid w:val="00E97513"/>
    <w:rsid w:val="00EA5597"/>
    <w:rsid w:val="00EB0F04"/>
    <w:rsid w:val="00EB4AA8"/>
    <w:rsid w:val="00EC0043"/>
    <w:rsid w:val="00EC0AFE"/>
    <w:rsid w:val="00EC5A84"/>
    <w:rsid w:val="00EC6E8D"/>
    <w:rsid w:val="00ED1150"/>
    <w:rsid w:val="00ED1D36"/>
    <w:rsid w:val="00EE1C08"/>
    <w:rsid w:val="00EE3CF0"/>
    <w:rsid w:val="00EF1FB6"/>
    <w:rsid w:val="00EF35B5"/>
    <w:rsid w:val="00EF66CF"/>
    <w:rsid w:val="00F01B18"/>
    <w:rsid w:val="00F02872"/>
    <w:rsid w:val="00F0378F"/>
    <w:rsid w:val="00F0553D"/>
    <w:rsid w:val="00F07EBF"/>
    <w:rsid w:val="00F128A9"/>
    <w:rsid w:val="00F14798"/>
    <w:rsid w:val="00F15689"/>
    <w:rsid w:val="00F1783A"/>
    <w:rsid w:val="00F17977"/>
    <w:rsid w:val="00F17CBF"/>
    <w:rsid w:val="00F243AD"/>
    <w:rsid w:val="00F24F6C"/>
    <w:rsid w:val="00F2548E"/>
    <w:rsid w:val="00F25718"/>
    <w:rsid w:val="00F31BCD"/>
    <w:rsid w:val="00F3247F"/>
    <w:rsid w:val="00F32BEB"/>
    <w:rsid w:val="00F32DFB"/>
    <w:rsid w:val="00F3418F"/>
    <w:rsid w:val="00F41DCD"/>
    <w:rsid w:val="00F439D9"/>
    <w:rsid w:val="00F53CE5"/>
    <w:rsid w:val="00F74B2C"/>
    <w:rsid w:val="00F7620E"/>
    <w:rsid w:val="00F76F16"/>
    <w:rsid w:val="00F776CB"/>
    <w:rsid w:val="00F83E2F"/>
    <w:rsid w:val="00F86E74"/>
    <w:rsid w:val="00FA26E6"/>
    <w:rsid w:val="00FB0275"/>
    <w:rsid w:val="00FB1B27"/>
    <w:rsid w:val="00FB5C67"/>
    <w:rsid w:val="00FC2BBB"/>
    <w:rsid w:val="00FC3F71"/>
    <w:rsid w:val="00FC573A"/>
    <w:rsid w:val="00FE13AA"/>
    <w:rsid w:val="00FE1898"/>
    <w:rsid w:val="00FE3165"/>
    <w:rsid w:val="00FE7D75"/>
    <w:rsid w:val="00FF12D5"/>
    <w:rsid w:val="00FF3EFD"/>
    <w:rsid w:val="00FF4623"/>
    <w:rsid w:val="00FF5045"/>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A52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FB1B27"/>
    <w:pPr>
      <w:spacing w:before="120" w:after="120" w:line="280" w:lineRule="atLeast"/>
    </w:pPr>
    <w:rPr>
      <w:rFonts w:ascii="Calibri" w:eastAsiaTheme="minorEastAsia" w:hAnsi="Calibri" w:cstheme="minorBidi"/>
      <w:sz w:val="22"/>
      <w:szCs w:val="22"/>
      <w:lang w:val="en-NZ" w:eastAsia="en-NZ"/>
    </w:rPr>
  </w:style>
  <w:style w:type="paragraph" w:styleId="Heading1">
    <w:name w:val="heading 1"/>
    <w:basedOn w:val="Normal"/>
    <w:next w:val="Normal"/>
    <w:link w:val="Heading1Char"/>
    <w:qFormat/>
    <w:rsid w:val="008009B8"/>
    <w:pPr>
      <w:keepNext/>
      <w:tabs>
        <w:tab w:val="left" w:pos="851"/>
      </w:tabs>
      <w:spacing w:after="360"/>
      <w:outlineLvl w:val="0"/>
    </w:pPr>
    <w:rPr>
      <w:rFonts w:eastAsiaTheme="majorEastAsia" w:cstheme="majorBidi"/>
      <w:b/>
      <w:color w:val="2C9986"/>
      <w:sz w:val="48"/>
      <w:szCs w:val="28"/>
    </w:rPr>
  </w:style>
  <w:style w:type="paragraph" w:styleId="Heading2">
    <w:name w:val="heading 2"/>
    <w:basedOn w:val="Normal"/>
    <w:next w:val="BodyText"/>
    <w:link w:val="Heading2Char"/>
    <w:qFormat/>
    <w:rsid w:val="008009B8"/>
    <w:pPr>
      <w:keepNext/>
      <w:tabs>
        <w:tab w:val="left" w:pos="851"/>
      </w:tabs>
      <w:spacing w:before="360"/>
      <w:outlineLvl w:val="1"/>
    </w:pPr>
    <w:rPr>
      <w:rFonts w:eastAsiaTheme="majorEastAsia" w:cstheme="majorBidi"/>
      <w:b/>
      <w:bCs/>
      <w:color w:val="6FC7B7"/>
      <w:sz w:val="36"/>
      <w:szCs w:val="26"/>
    </w:rPr>
  </w:style>
  <w:style w:type="paragraph" w:styleId="Heading4">
    <w:name w:val="heading 4"/>
    <w:basedOn w:val="Normal"/>
    <w:next w:val="Normal"/>
    <w:qFormat/>
    <w:rsid w:val="00EA559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withindentation">
    <w:name w:val="Heading 4 with indentation"/>
    <w:basedOn w:val="Heading4"/>
    <w:rsid w:val="00EA5597"/>
    <w:pPr>
      <w:ind w:left="720"/>
    </w:pPr>
  </w:style>
  <w:style w:type="paragraph" w:customStyle="1" w:styleId="BodytextforH4withindentation">
    <w:name w:val="Body text for H4 with indentation"/>
    <w:basedOn w:val="BodyTextIndent"/>
    <w:rsid w:val="00EA5597"/>
  </w:style>
  <w:style w:type="paragraph" w:styleId="BodyTextIndent">
    <w:name w:val="Body Text Indent"/>
    <w:basedOn w:val="Normal"/>
    <w:rsid w:val="00EA5597"/>
    <w:pPr>
      <w:ind w:left="360"/>
    </w:pPr>
  </w:style>
  <w:style w:type="paragraph" w:styleId="Header">
    <w:name w:val="header"/>
    <w:basedOn w:val="Normal"/>
    <w:link w:val="HeaderChar"/>
    <w:rsid w:val="00FE7D75"/>
    <w:pPr>
      <w:tabs>
        <w:tab w:val="center" w:pos="4844"/>
        <w:tab w:val="right" w:pos="9689"/>
      </w:tabs>
    </w:pPr>
  </w:style>
  <w:style w:type="character" w:customStyle="1" w:styleId="HeaderChar">
    <w:name w:val="Header Char"/>
    <w:basedOn w:val="DefaultParagraphFont"/>
    <w:link w:val="Header"/>
    <w:rsid w:val="00FE7D75"/>
    <w:rPr>
      <w:sz w:val="24"/>
      <w:szCs w:val="24"/>
    </w:rPr>
  </w:style>
  <w:style w:type="paragraph" w:styleId="Footer">
    <w:name w:val="footer"/>
    <w:basedOn w:val="Normal"/>
    <w:link w:val="FooterChar"/>
    <w:uiPriority w:val="99"/>
    <w:rsid w:val="00FE7D75"/>
    <w:pPr>
      <w:tabs>
        <w:tab w:val="center" w:pos="4844"/>
        <w:tab w:val="right" w:pos="9689"/>
      </w:tabs>
    </w:pPr>
  </w:style>
  <w:style w:type="character" w:customStyle="1" w:styleId="FooterChar">
    <w:name w:val="Footer Char"/>
    <w:basedOn w:val="DefaultParagraphFont"/>
    <w:link w:val="Footer"/>
    <w:uiPriority w:val="99"/>
    <w:rsid w:val="00FE7D75"/>
    <w:rPr>
      <w:sz w:val="24"/>
      <w:szCs w:val="24"/>
    </w:rPr>
  </w:style>
  <w:style w:type="character" w:customStyle="1" w:styleId="Heading1Char">
    <w:name w:val="Heading 1 Char"/>
    <w:basedOn w:val="DefaultParagraphFont"/>
    <w:link w:val="Heading1"/>
    <w:rsid w:val="008009B8"/>
    <w:rPr>
      <w:rFonts w:ascii="Calibri" w:eastAsiaTheme="majorEastAsia" w:hAnsi="Calibri" w:cstheme="majorBidi"/>
      <w:b/>
      <w:color w:val="2C9986"/>
      <w:sz w:val="48"/>
      <w:szCs w:val="28"/>
      <w:lang w:val="en-NZ" w:eastAsia="en-NZ"/>
    </w:rPr>
  </w:style>
  <w:style w:type="paragraph" w:customStyle="1" w:styleId="Default">
    <w:name w:val="Default"/>
    <w:rsid w:val="00557EA3"/>
    <w:pPr>
      <w:autoSpaceDE w:val="0"/>
      <w:autoSpaceDN w:val="0"/>
      <w:adjustRightInd w:val="0"/>
    </w:pPr>
    <w:rPr>
      <w:rFonts w:ascii="Calibri" w:eastAsiaTheme="minorHAnsi" w:hAnsi="Calibri" w:cs="Calibri"/>
      <w:color w:val="000000"/>
      <w:sz w:val="24"/>
      <w:szCs w:val="24"/>
      <w:lang w:val="en-NZ"/>
    </w:rPr>
  </w:style>
  <w:style w:type="character" w:styleId="Hyperlink">
    <w:name w:val="Hyperlink"/>
    <w:basedOn w:val="DefaultParagraphFont"/>
    <w:uiPriority w:val="99"/>
    <w:unhideWhenUsed/>
    <w:rsid w:val="00557EA3"/>
    <w:rPr>
      <w:color w:val="1F497D" w:themeColor="text2"/>
      <w:u w:val="single"/>
    </w:rPr>
  </w:style>
  <w:style w:type="paragraph" w:customStyle="1" w:styleId="Imprint">
    <w:name w:val="Imprint"/>
    <w:basedOn w:val="Normal"/>
    <w:uiPriority w:val="3"/>
    <w:rsid w:val="00557EA3"/>
  </w:style>
  <w:style w:type="paragraph" w:styleId="BodyText">
    <w:name w:val="Body Text"/>
    <w:basedOn w:val="Normal"/>
    <w:link w:val="BodyTextChar"/>
    <w:unhideWhenUsed/>
    <w:rsid w:val="00557EA3"/>
  </w:style>
  <w:style w:type="character" w:customStyle="1" w:styleId="BodyTextChar">
    <w:name w:val="Body Text Char"/>
    <w:basedOn w:val="DefaultParagraphFont"/>
    <w:link w:val="BodyText"/>
    <w:rsid w:val="00557EA3"/>
    <w:rPr>
      <w:sz w:val="24"/>
      <w:szCs w:val="24"/>
    </w:rPr>
  </w:style>
  <w:style w:type="paragraph" w:styleId="Subtitle">
    <w:name w:val="Subtitle"/>
    <w:basedOn w:val="Title"/>
    <w:link w:val="SubtitleChar"/>
    <w:uiPriority w:val="2"/>
    <w:rsid w:val="00557EA3"/>
    <w:pPr>
      <w:spacing w:before="600"/>
      <w:contextualSpacing w:val="0"/>
      <w:jc w:val="center"/>
    </w:pPr>
    <w:rPr>
      <w:rFonts w:ascii="Calibri" w:eastAsiaTheme="minorEastAsia" w:hAnsi="Calibri" w:cstheme="minorBidi"/>
      <w:b/>
      <w:color w:val="17556C"/>
      <w:spacing w:val="0"/>
      <w:kern w:val="0"/>
      <w:sz w:val="36"/>
      <w:szCs w:val="36"/>
    </w:rPr>
  </w:style>
  <w:style w:type="character" w:customStyle="1" w:styleId="SubtitleChar">
    <w:name w:val="Subtitle Char"/>
    <w:basedOn w:val="DefaultParagraphFont"/>
    <w:link w:val="Subtitle"/>
    <w:uiPriority w:val="2"/>
    <w:rsid w:val="00557EA3"/>
    <w:rPr>
      <w:rFonts w:ascii="Calibri" w:eastAsiaTheme="minorEastAsia" w:hAnsi="Calibri" w:cstheme="minorBidi"/>
      <w:b/>
      <w:color w:val="17556C"/>
      <w:sz w:val="36"/>
      <w:szCs w:val="36"/>
      <w:lang w:val="en-NZ" w:eastAsia="en-NZ"/>
    </w:rPr>
  </w:style>
  <w:style w:type="paragraph" w:styleId="ListParagraph">
    <w:name w:val="List Paragraph"/>
    <w:basedOn w:val="Normal"/>
    <w:uiPriority w:val="34"/>
    <w:qFormat/>
    <w:rsid w:val="00557EA3"/>
    <w:pPr>
      <w:ind w:left="720"/>
      <w:contextualSpacing/>
    </w:pPr>
  </w:style>
  <w:style w:type="paragraph" w:styleId="Title">
    <w:name w:val="Title"/>
    <w:basedOn w:val="Normal"/>
    <w:next w:val="Normal"/>
    <w:link w:val="TitleChar"/>
    <w:qFormat/>
    <w:rsid w:val="00557E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57EA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006AD5"/>
    <w:rPr>
      <w:sz w:val="16"/>
      <w:szCs w:val="16"/>
    </w:rPr>
  </w:style>
  <w:style w:type="paragraph" w:styleId="CommentText">
    <w:name w:val="annotation text"/>
    <w:basedOn w:val="Normal"/>
    <w:link w:val="CommentTextChar"/>
    <w:unhideWhenUsed/>
    <w:rsid w:val="00006AD5"/>
    <w:rPr>
      <w:sz w:val="20"/>
      <w:szCs w:val="20"/>
    </w:rPr>
  </w:style>
  <w:style w:type="character" w:customStyle="1" w:styleId="CommentTextChar">
    <w:name w:val="Comment Text Char"/>
    <w:basedOn w:val="DefaultParagraphFont"/>
    <w:link w:val="CommentText"/>
    <w:rsid w:val="00006AD5"/>
  </w:style>
  <w:style w:type="paragraph" w:styleId="CommentSubject">
    <w:name w:val="annotation subject"/>
    <w:basedOn w:val="CommentText"/>
    <w:next w:val="CommentText"/>
    <w:link w:val="CommentSubjectChar"/>
    <w:semiHidden/>
    <w:unhideWhenUsed/>
    <w:rsid w:val="00006AD5"/>
    <w:rPr>
      <w:b/>
      <w:bCs/>
    </w:rPr>
  </w:style>
  <w:style w:type="character" w:customStyle="1" w:styleId="CommentSubjectChar">
    <w:name w:val="Comment Subject Char"/>
    <w:basedOn w:val="CommentTextChar"/>
    <w:link w:val="CommentSubject"/>
    <w:semiHidden/>
    <w:rsid w:val="00006AD5"/>
    <w:rPr>
      <w:b/>
      <w:bCs/>
    </w:rPr>
  </w:style>
  <w:style w:type="paragraph" w:styleId="BalloonText">
    <w:name w:val="Balloon Text"/>
    <w:basedOn w:val="Normal"/>
    <w:link w:val="BalloonTextChar"/>
    <w:semiHidden/>
    <w:unhideWhenUsed/>
    <w:rsid w:val="00006AD5"/>
    <w:rPr>
      <w:rFonts w:ascii="Segoe UI" w:hAnsi="Segoe UI" w:cs="Segoe UI"/>
      <w:sz w:val="18"/>
      <w:szCs w:val="18"/>
    </w:rPr>
  </w:style>
  <w:style w:type="character" w:customStyle="1" w:styleId="BalloonTextChar">
    <w:name w:val="Balloon Text Char"/>
    <w:basedOn w:val="DefaultParagraphFont"/>
    <w:link w:val="BalloonText"/>
    <w:semiHidden/>
    <w:rsid w:val="00006AD5"/>
    <w:rPr>
      <w:rFonts w:ascii="Segoe UI" w:hAnsi="Segoe UI" w:cs="Segoe UI"/>
      <w:sz w:val="18"/>
      <w:szCs w:val="18"/>
    </w:rPr>
  </w:style>
  <w:style w:type="paragraph" w:customStyle="1" w:styleId="Bullet">
    <w:name w:val="Bullet"/>
    <w:basedOn w:val="Normal"/>
    <w:link w:val="BulletChar"/>
    <w:qFormat/>
    <w:rsid w:val="00F128A9"/>
    <w:pPr>
      <w:numPr>
        <w:numId w:val="5"/>
      </w:numPr>
      <w:spacing w:line="280" w:lineRule="exact"/>
    </w:pPr>
    <w:rPr>
      <w:szCs w:val="20"/>
    </w:rPr>
  </w:style>
  <w:style w:type="character" w:customStyle="1" w:styleId="BulletChar">
    <w:name w:val="Bullet Char"/>
    <w:link w:val="Bullet"/>
    <w:locked/>
    <w:rsid w:val="00F128A9"/>
    <w:rPr>
      <w:rFonts w:ascii="Calibri" w:hAnsi="Calibri"/>
      <w:sz w:val="22"/>
      <w:lang w:val="en-NZ" w:eastAsia="en-NZ"/>
    </w:rPr>
  </w:style>
  <w:style w:type="paragraph" w:customStyle="1" w:styleId="Sub-list">
    <w:name w:val="Sub-list"/>
    <w:basedOn w:val="Normal"/>
    <w:qFormat/>
    <w:rsid w:val="00F128A9"/>
    <w:pPr>
      <w:numPr>
        <w:numId w:val="6"/>
      </w:numPr>
      <w:tabs>
        <w:tab w:val="clear" w:pos="397"/>
        <w:tab w:val="left" w:pos="794"/>
      </w:tabs>
      <w:ind w:left="794" w:hanging="397"/>
    </w:pPr>
  </w:style>
  <w:style w:type="character" w:customStyle="1" w:styleId="Heading2Char">
    <w:name w:val="Heading 2 Char"/>
    <w:basedOn w:val="DefaultParagraphFont"/>
    <w:link w:val="Heading2"/>
    <w:rsid w:val="008009B8"/>
    <w:rPr>
      <w:rFonts w:ascii="Calibri" w:eastAsiaTheme="majorEastAsia" w:hAnsi="Calibri" w:cstheme="majorBidi"/>
      <w:b/>
      <w:bCs/>
      <w:color w:val="6FC7B7"/>
      <w:sz w:val="36"/>
      <w:szCs w:val="26"/>
      <w:lang w:val="en-NZ" w:eastAsia="en-NZ"/>
    </w:rPr>
  </w:style>
  <w:style w:type="character" w:styleId="FollowedHyperlink">
    <w:name w:val="FollowedHyperlink"/>
    <w:basedOn w:val="DefaultParagraphFont"/>
    <w:semiHidden/>
    <w:unhideWhenUsed/>
    <w:rsid w:val="00264D32"/>
    <w:rPr>
      <w:color w:val="800080" w:themeColor="followedHyperlink"/>
      <w:u w:val="single"/>
    </w:rPr>
  </w:style>
  <w:style w:type="paragraph" w:customStyle="1" w:styleId="Bulletedlistguidance">
    <w:name w:val="Bulleted list guidance"/>
    <w:basedOn w:val="ListParagraph"/>
    <w:link w:val="BulletedlistguidanceChar"/>
    <w:qFormat/>
    <w:rsid w:val="00804668"/>
    <w:pPr>
      <w:spacing w:before="0" w:line="280" w:lineRule="exact"/>
      <w:ind w:left="397" w:hanging="397"/>
      <w:contextualSpacing w:val="0"/>
    </w:pPr>
    <w:rPr>
      <w:rFonts w:asciiTheme="minorHAnsi" w:eastAsia="Times New Roman" w:hAnsiTheme="minorHAnsi" w:cstheme="minorHAnsi"/>
      <w:lang w:eastAsia="en-US"/>
    </w:rPr>
  </w:style>
  <w:style w:type="paragraph" w:customStyle="1" w:styleId="Disclaimer">
    <w:name w:val="Disclaimer"/>
    <w:basedOn w:val="Default"/>
    <w:link w:val="DisclaimerChar"/>
    <w:qFormat/>
    <w:rsid w:val="00804668"/>
    <w:rPr>
      <w:sz w:val="18"/>
      <w:szCs w:val="22"/>
    </w:rPr>
  </w:style>
  <w:style w:type="character" w:customStyle="1" w:styleId="BulletedlistguidanceChar">
    <w:name w:val="Bulleted list guidance Char"/>
    <w:basedOn w:val="DefaultParagraphFont"/>
    <w:link w:val="Bulletedlistguidance"/>
    <w:rsid w:val="00804668"/>
    <w:rPr>
      <w:rFonts w:asciiTheme="minorHAnsi" w:hAnsiTheme="minorHAnsi" w:cstheme="minorHAnsi"/>
      <w:sz w:val="22"/>
      <w:szCs w:val="22"/>
      <w:lang w:val="en-NZ"/>
    </w:rPr>
  </w:style>
  <w:style w:type="paragraph" w:customStyle="1" w:styleId="H3Guidance">
    <w:name w:val="H3 Guidance"/>
    <w:basedOn w:val="Default"/>
    <w:link w:val="H3GuidanceChar"/>
    <w:qFormat/>
    <w:rsid w:val="00804668"/>
    <w:pPr>
      <w:spacing w:before="120" w:after="120"/>
    </w:pPr>
    <w:rPr>
      <w:b/>
      <w:bCs/>
      <w:sz w:val="28"/>
      <w:szCs w:val="22"/>
    </w:rPr>
  </w:style>
  <w:style w:type="character" w:customStyle="1" w:styleId="DisclaimerChar">
    <w:name w:val="Disclaimer Char"/>
    <w:basedOn w:val="DefaultParagraphFont"/>
    <w:link w:val="Disclaimer"/>
    <w:rsid w:val="00804668"/>
    <w:rPr>
      <w:rFonts w:ascii="Calibri" w:eastAsiaTheme="minorHAnsi" w:hAnsi="Calibri" w:cs="Calibri"/>
      <w:color w:val="000000"/>
      <w:sz w:val="18"/>
      <w:szCs w:val="22"/>
      <w:lang w:val="en-NZ"/>
    </w:rPr>
  </w:style>
  <w:style w:type="character" w:customStyle="1" w:styleId="H3GuidanceChar">
    <w:name w:val="H3 Guidance Char"/>
    <w:basedOn w:val="DefaultParagraphFont"/>
    <w:link w:val="H3Guidance"/>
    <w:rsid w:val="00804668"/>
    <w:rPr>
      <w:rFonts w:ascii="Calibri" w:eastAsiaTheme="minorHAnsi" w:hAnsi="Calibri" w:cs="Calibri"/>
      <w:b/>
      <w:bCs/>
      <w:color w:val="000000"/>
      <w:sz w:val="28"/>
      <w:szCs w:val="22"/>
      <w:lang w:val="en-NZ"/>
    </w:rPr>
  </w:style>
  <w:style w:type="paragraph" w:styleId="Revision">
    <w:name w:val="Revision"/>
    <w:hidden/>
    <w:uiPriority w:val="99"/>
    <w:semiHidden/>
    <w:rsid w:val="00317D4F"/>
    <w:rPr>
      <w:rFonts w:ascii="Calibri" w:eastAsiaTheme="minorEastAsia" w:hAnsi="Calibri" w:cstheme="minorBidi"/>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0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mfe.govt.nz/Node/248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F55BC-F99A-42F7-95DC-AC16FDF6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2020-09-08T04:34:00Z</dcterms:created>
  <dcterms:modified xsi:type="dcterms:W3CDTF">2020-09-09T00:09:00Z</dcterms:modified>
</cp:coreProperties>
</file>