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08534" w14:textId="0D6B1AE4" w:rsidR="0003640E" w:rsidRPr="00DF004C" w:rsidRDefault="00076000" w:rsidP="0080531E">
      <w:pPr>
        <w:jc w:val="left"/>
        <w:rPr>
          <w:color w:val="FF0000"/>
        </w:rPr>
        <w:sectPr w:rsidR="0003640E" w:rsidRPr="00DF004C" w:rsidSect="0036151C">
          <w:headerReference w:type="default" r:id="rId8"/>
          <w:footerReference w:type="default" r:id="rId9"/>
          <w:pgSz w:w="11907" w:h="16840" w:code="9"/>
          <w:pgMar w:top="5670" w:right="1418" w:bottom="1701" w:left="1418" w:header="567" w:footer="1134" w:gutter="0"/>
          <w:cols w:space="720"/>
        </w:sectPr>
      </w:pPr>
      <w:r>
        <w:rPr>
          <w:noProof/>
          <w:color w:val="FF0000"/>
        </w:rPr>
        <w:drawing>
          <wp:anchor distT="0" distB="0" distL="114300" distR="114300" simplePos="0" relativeHeight="251658240" behindDoc="0" locked="0" layoutInCell="1" allowOverlap="1" wp14:anchorId="60F365F5" wp14:editId="2C3BE9CA">
            <wp:simplePos x="0" y="0"/>
            <wp:positionH relativeFrom="page">
              <wp:align>right</wp:align>
            </wp:positionH>
            <wp:positionV relativeFrom="paragraph">
              <wp:posOffset>-3574073</wp:posOffset>
            </wp:positionV>
            <wp:extent cx="7549662" cy="10668222"/>
            <wp:effectExtent l="0" t="0" r="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0"/>
                    <a:stretch>
                      <a:fillRect/>
                    </a:stretch>
                  </pic:blipFill>
                  <pic:spPr>
                    <a:xfrm>
                      <a:off x="0" y="0"/>
                      <a:ext cx="7549662" cy="10668222"/>
                    </a:xfrm>
                    <a:prstGeom prst="rect">
                      <a:avLst/>
                    </a:prstGeom>
                  </pic:spPr>
                </pic:pic>
              </a:graphicData>
            </a:graphic>
            <wp14:sizeRelH relativeFrom="page">
              <wp14:pctWidth>0</wp14:pctWidth>
            </wp14:sizeRelH>
            <wp14:sizeRelV relativeFrom="page">
              <wp14:pctHeight>0</wp14:pctHeight>
            </wp14:sizeRelV>
          </wp:anchor>
        </w:drawing>
      </w:r>
    </w:p>
    <w:p w14:paraId="4B82F4C1" w14:textId="2881AD59" w:rsidR="00452EC4" w:rsidRPr="00DF004C" w:rsidRDefault="00452EC4" w:rsidP="00775F57">
      <w:pPr>
        <w:pStyle w:val="Imprint"/>
        <w:spacing w:before="0" w:after="0"/>
        <w:rPr>
          <w:b/>
        </w:rPr>
      </w:pPr>
      <w:r w:rsidRPr="00DF004C">
        <w:rPr>
          <w:b/>
        </w:rPr>
        <w:lastRenderedPageBreak/>
        <w:t>Disclaimer</w:t>
      </w:r>
    </w:p>
    <w:p w14:paraId="15DE7200" w14:textId="62F9D4B8" w:rsidR="0055378A" w:rsidRPr="00DF004C" w:rsidRDefault="0055378A" w:rsidP="0055378A">
      <w:pPr>
        <w:pStyle w:val="Imprint"/>
      </w:pPr>
      <w:r w:rsidRPr="00DF004C">
        <w:t xml:space="preserve">The information in this publication is, according to the Ministry for the Environment’s best efforts, accurate at the time of publication. The information provided does not alter the laws of New Zealand and/or other official guidelines or requirements. Users should take specific advice from qualified professional people before undertaking any action </w:t>
      </w:r>
      <w:proofErr w:type="gramStart"/>
      <w:r w:rsidRPr="00DF004C">
        <w:t>as a result of</w:t>
      </w:r>
      <w:proofErr w:type="gramEnd"/>
      <w:r w:rsidRPr="00DF004C">
        <w:t xml:space="preserve"> information obtained from this publication. </w:t>
      </w:r>
    </w:p>
    <w:p w14:paraId="44F76158" w14:textId="3BD451BB" w:rsidR="00452EC4" w:rsidRPr="00DF004C" w:rsidRDefault="0055378A" w:rsidP="0055378A">
      <w:pPr>
        <w:pStyle w:val="Imprint"/>
      </w:pPr>
      <w:r w:rsidRPr="00DF004C">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615E357F" w14:textId="5A568A67" w:rsidR="00452EC4" w:rsidRPr="00DF004C" w:rsidRDefault="00452EC4" w:rsidP="00452EC4">
      <w:pPr>
        <w:pStyle w:val="Imprint"/>
      </w:pPr>
      <w:r w:rsidRPr="00DF004C">
        <w:t xml:space="preserve">This </w:t>
      </w:r>
      <w:r w:rsidR="00775F57" w:rsidRPr="00DF004C">
        <w:t>document</w:t>
      </w:r>
      <w:r w:rsidRPr="00DF004C">
        <w:t xml:space="preserve"> may be cited as:</w:t>
      </w:r>
      <w:r w:rsidR="00775F57" w:rsidRPr="00DF004C">
        <w:t xml:space="preserve"> Ministry for the Environment. </w:t>
      </w:r>
      <w:r w:rsidR="000320D8" w:rsidRPr="00DF004C">
        <w:t>2020</w:t>
      </w:r>
      <w:r w:rsidR="00775F57" w:rsidRPr="00DF004C">
        <w:t xml:space="preserve">. </w:t>
      </w:r>
      <w:r w:rsidR="009813A7" w:rsidRPr="00DF004C">
        <w:rPr>
          <w:i/>
        </w:rPr>
        <w:t>Evidence-based decision-making under the National Policy Statement on Urban Development</w:t>
      </w:r>
      <w:r w:rsidR="00775F57" w:rsidRPr="00DF004C">
        <w:t>. Wellington: Ministry for the Environment.</w:t>
      </w:r>
    </w:p>
    <w:p w14:paraId="759BFB2F" w14:textId="77777777" w:rsidR="0080531E" w:rsidRPr="00DF004C" w:rsidRDefault="0080531E" w:rsidP="0080531E">
      <w:pPr>
        <w:pStyle w:val="Imprint"/>
      </w:pPr>
    </w:p>
    <w:p w14:paraId="7C001EED" w14:textId="26D68F80" w:rsidR="0080531E" w:rsidRPr="00DF004C" w:rsidRDefault="0080531E" w:rsidP="0080531E">
      <w:pPr>
        <w:pStyle w:val="Imprint"/>
      </w:pPr>
    </w:p>
    <w:p w14:paraId="2BAF56D2" w14:textId="00023A79" w:rsidR="0080531E" w:rsidRPr="00DF004C" w:rsidRDefault="0080531E" w:rsidP="0080531E">
      <w:pPr>
        <w:pStyle w:val="Imprint"/>
      </w:pPr>
    </w:p>
    <w:p w14:paraId="00A27F59" w14:textId="77A3F169" w:rsidR="0080531E" w:rsidRPr="00DF004C" w:rsidRDefault="0080531E" w:rsidP="0080531E">
      <w:pPr>
        <w:pStyle w:val="Imprint"/>
      </w:pPr>
    </w:p>
    <w:p w14:paraId="74FC30A0" w14:textId="54857ECC" w:rsidR="00663783" w:rsidRPr="00DF004C" w:rsidRDefault="00663783" w:rsidP="0080531E">
      <w:pPr>
        <w:pStyle w:val="Imprint"/>
      </w:pPr>
    </w:p>
    <w:p w14:paraId="09E26C48" w14:textId="0DD03FA3" w:rsidR="00760C00" w:rsidRDefault="00760C00" w:rsidP="00C807C8">
      <w:pPr>
        <w:pStyle w:val="Imprint"/>
        <w:spacing w:before="240"/>
      </w:pPr>
    </w:p>
    <w:p w14:paraId="15CCE918" w14:textId="77777777" w:rsidR="00076000" w:rsidRPr="00DF004C" w:rsidRDefault="00076000" w:rsidP="00C807C8">
      <w:pPr>
        <w:pStyle w:val="Imprint"/>
        <w:spacing w:before="240"/>
      </w:pPr>
    </w:p>
    <w:p w14:paraId="4E60B270" w14:textId="0D33DFAE" w:rsidR="0080531E" w:rsidRPr="00DF004C" w:rsidRDefault="0080531E" w:rsidP="0080531E">
      <w:pPr>
        <w:pStyle w:val="Imprint"/>
      </w:pPr>
      <w:r w:rsidRPr="00DF004C">
        <w:t xml:space="preserve">Published in </w:t>
      </w:r>
      <w:r w:rsidR="009813A7" w:rsidRPr="00DF004C">
        <w:t>December 2020</w:t>
      </w:r>
      <w:r w:rsidRPr="00DF004C">
        <w:t xml:space="preserve"> by the</w:t>
      </w:r>
      <w:r w:rsidRPr="00DF004C">
        <w:br/>
        <w:t xml:space="preserve">Ministry for the Environment </w:t>
      </w:r>
      <w:r w:rsidRPr="00DF004C">
        <w:br/>
      </w:r>
      <w:proofErr w:type="spellStart"/>
      <w:r w:rsidRPr="00DF004C">
        <w:t>Manatū</w:t>
      </w:r>
      <w:proofErr w:type="spellEnd"/>
      <w:r w:rsidRPr="00DF004C">
        <w:t xml:space="preserve"> </w:t>
      </w:r>
      <w:proofErr w:type="spellStart"/>
      <w:r w:rsidRPr="00DF004C">
        <w:t>Mō</w:t>
      </w:r>
      <w:proofErr w:type="spellEnd"/>
      <w:r w:rsidRPr="00DF004C">
        <w:t xml:space="preserve"> </w:t>
      </w:r>
      <w:proofErr w:type="spellStart"/>
      <w:r w:rsidRPr="00DF004C">
        <w:t>Te</w:t>
      </w:r>
      <w:proofErr w:type="spellEnd"/>
      <w:r w:rsidRPr="00DF004C">
        <w:t xml:space="preserve"> </w:t>
      </w:r>
      <w:proofErr w:type="spellStart"/>
      <w:r w:rsidRPr="00DF004C">
        <w:t>Taiao</w:t>
      </w:r>
      <w:proofErr w:type="spellEnd"/>
      <w:r w:rsidRPr="00DF004C">
        <w:br/>
        <w:t>PO Box 10362, Wellington 6143, New Zealand</w:t>
      </w:r>
    </w:p>
    <w:p w14:paraId="6EAA59F0" w14:textId="34AF5E0A" w:rsidR="0080531E" w:rsidRPr="00DF004C" w:rsidRDefault="0080531E" w:rsidP="0080531E">
      <w:pPr>
        <w:pStyle w:val="Imprint"/>
        <w:tabs>
          <w:tab w:val="left" w:pos="720"/>
        </w:tabs>
        <w:ind w:left="720" w:hanging="720"/>
      </w:pPr>
      <w:r w:rsidRPr="00DF004C">
        <w:t xml:space="preserve">ISBN: </w:t>
      </w:r>
      <w:r w:rsidR="008C6A54" w:rsidRPr="008C6A54">
        <w:t>978-1-99-003340-7</w:t>
      </w:r>
      <w:r w:rsidRPr="00DF004C">
        <w:t xml:space="preserve"> </w:t>
      </w:r>
    </w:p>
    <w:p w14:paraId="18493191" w14:textId="0D589B25" w:rsidR="0080531E" w:rsidRPr="00DF004C" w:rsidRDefault="0080531E" w:rsidP="0080531E">
      <w:pPr>
        <w:pStyle w:val="Imprint"/>
        <w:ind w:left="720" w:hanging="720"/>
      </w:pPr>
      <w:r w:rsidRPr="00DF004C">
        <w:t xml:space="preserve">Publication </w:t>
      </w:r>
      <w:r w:rsidRPr="008C6A54">
        <w:t xml:space="preserve">number: ME </w:t>
      </w:r>
      <w:r w:rsidR="008C6A54">
        <w:t>1550</w:t>
      </w:r>
    </w:p>
    <w:p w14:paraId="4AFF5860" w14:textId="21527991" w:rsidR="0080531E" w:rsidRPr="00DF004C" w:rsidRDefault="0080531E" w:rsidP="00593E94">
      <w:pPr>
        <w:pStyle w:val="Imprint"/>
        <w:spacing w:after="80"/>
      </w:pPr>
      <w:r w:rsidRPr="00DF004C">
        <w:t xml:space="preserve">© Crown copyright New Zealand </w:t>
      </w:r>
      <w:r w:rsidR="009813A7" w:rsidRPr="00DF004C">
        <w:t>2020</w:t>
      </w:r>
    </w:p>
    <w:p w14:paraId="40EE2667" w14:textId="4390B0FD" w:rsidR="00C04705" w:rsidRPr="00DF004C" w:rsidRDefault="0080531E" w:rsidP="00593E94">
      <w:pPr>
        <w:pStyle w:val="Imprint"/>
        <w:spacing w:before="240" w:after="0"/>
        <w:rPr>
          <w:rStyle w:val="Hyperlink"/>
          <w:color w:val="auto"/>
        </w:rPr>
      </w:pPr>
      <w:r w:rsidRPr="00DF004C">
        <w:t>This document is available on the Ministry for</w:t>
      </w:r>
      <w:r w:rsidR="004C4E8A" w:rsidRPr="00DF004C">
        <w:t xml:space="preserve"> the Environment </w:t>
      </w:r>
      <w:r w:rsidR="00CB557F" w:rsidRPr="00DF004C">
        <w:t>website</w:t>
      </w:r>
      <w:r w:rsidRPr="00DF004C">
        <w:t xml:space="preserve">: </w:t>
      </w:r>
      <w:hyperlink r:id="rId11" w:history="1">
        <w:r w:rsidRPr="00DF004C">
          <w:rPr>
            <w:rStyle w:val="Hyperlink"/>
          </w:rPr>
          <w:t>www.mfe.govt.nz</w:t>
        </w:r>
      </w:hyperlink>
      <w:r w:rsidR="00B51610" w:rsidRPr="00DF004C">
        <w:rPr>
          <w:rStyle w:val="Hyperlink"/>
          <w:color w:val="auto"/>
        </w:rPr>
        <w:t>.</w:t>
      </w:r>
    </w:p>
    <w:p w14:paraId="0B441ADB" w14:textId="20E2B241" w:rsidR="00A84FE1" w:rsidRPr="00DF004C" w:rsidRDefault="00076000" w:rsidP="00A84FE1">
      <w:pPr>
        <w:pStyle w:val="Imprint"/>
        <w:spacing w:before="240" w:after="0"/>
      </w:pPr>
      <w:r>
        <w:rPr>
          <w:noProof/>
        </w:rPr>
        <w:drawing>
          <wp:anchor distT="0" distB="0" distL="114300" distR="114300" simplePos="0" relativeHeight="251659264" behindDoc="0" locked="0" layoutInCell="1" allowOverlap="1" wp14:anchorId="5707CD72" wp14:editId="48E13ABD">
            <wp:simplePos x="0" y="0"/>
            <wp:positionH relativeFrom="margin">
              <wp:posOffset>3026410</wp:posOffset>
            </wp:positionH>
            <wp:positionV relativeFrom="paragraph">
              <wp:posOffset>560363</wp:posOffset>
            </wp:positionV>
            <wp:extent cx="3144841" cy="918601"/>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a:stretch>
                      <a:fillRect/>
                    </a:stretch>
                  </pic:blipFill>
                  <pic:spPr>
                    <a:xfrm>
                      <a:off x="0" y="0"/>
                      <a:ext cx="3144841" cy="918601"/>
                    </a:xfrm>
                    <a:prstGeom prst="rect">
                      <a:avLst/>
                    </a:prstGeom>
                  </pic:spPr>
                </pic:pic>
              </a:graphicData>
            </a:graphic>
            <wp14:sizeRelH relativeFrom="page">
              <wp14:pctWidth>0</wp14:pctWidth>
            </wp14:sizeRelH>
            <wp14:sizeRelV relativeFrom="page">
              <wp14:pctHeight>0</wp14:pctHeight>
            </wp14:sizeRelV>
          </wp:anchor>
        </w:drawing>
      </w:r>
      <w:r w:rsidR="00A84FE1" w:rsidRPr="00DF004C">
        <w:rPr>
          <w:noProof/>
        </w:rPr>
        <w:drawing>
          <wp:inline distT="0" distB="0" distL="0" distR="0" wp14:anchorId="112CA675" wp14:editId="78FA852E">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4EC70A71" w14:textId="09E72461" w:rsidR="0080531E" w:rsidRPr="00DF004C" w:rsidRDefault="0080531E" w:rsidP="00A84FE1">
      <w:pPr>
        <w:sectPr w:rsidR="0080531E" w:rsidRPr="00DF004C" w:rsidSect="0036151C">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14:paraId="44E86472" w14:textId="77777777" w:rsidR="0080531E" w:rsidRPr="00DF004C" w:rsidRDefault="0080531E" w:rsidP="008B68EC">
      <w:pPr>
        <w:pStyle w:val="Heading"/>
      </w:pPr>
      <w:r w:rsidRPr="00DF004C">
        <w:lastRenderedPageBreak/>
        <w:t>Contents</w:t>
      </w:r>
    </w:p>
    <w:p w14:paraId="0316DBFF" w14:textId="0A50BEFB" w:rsidR="00076000" w:rsidRDefault="00775F57">
      <w:pPr>
        <w:pStyle w:val="TOC1"/>
        <w:rPr>
          <w:rFonts w:asciiTheme="minorHAnsi" w:hAnsiTheme="minorHAnsi"/>
          <w:noProof/>
        </w:rPr>
      </w:pPr>
      <w:r w:rsidRPr="00DF004C">
        <w:rPr>
          <w:color w:val="0092CF"/>
        </w:rPr>
        <w:fldChar w:fldCharType="begin"/>
      </w:r>
      <w:r w:rsidRPr="00DF004C">
        <w:rPr>
          <w:color w:val="0092CF"/>
        </w:rPr>
        <w:instrText xml:space="preserve"> TOC \h \z \t "Heading 1,1,Heading 2,2" </w:instrText>
      </w:r>
      <w:r w:rsidRPr="00DF004C">
        <w:rPr>
          <w:color w:val="0092CF"/>
        </w:rPr>
        <w:fldChar w:fldCharType="separate"/>
      </w:r>
      <w:hyperlink w:anchor="_Toc57803209" w:history="1">
        <w:r w:rsidR="00076000" w:rsidRPr="002C53BE">
          <w:rPr>
            <w:rStyle w:val="Hyperlink"/>
            <w:noProof/>
          </w:rPr>
          <w:t>1</w:t>
        </w:r>
        <w:r w:rsidR="00076000">
          <w:rPr>
            <w:rFonts w:asciiTheme="minorHAnsi" w:hAnsiTheme="minorHAnsi"/>
            <w:noProof/>
          </w:rPr>
          <w:tab/>
        </w:r>
        <w:r w:rsidR="00076000" w:rsidRPr="002C53BE">
          <w:rPr>
            <w:rStyle w:val="Hyperlink"/>
            <w:noProof/>
          </w:rPr>
          <w:t>Introduction</w:t>
        </w:r>
        <w:r w:rsidR="00076000">
          <w:rPr>
            <w:noProof/>
            <w:webHidden/>
          </w:rPr>
          <w:tab/>
        </w:r>
        <w:r w:rsidR="00076000">
          <w:rPr>
            <w:noProof/>
            <w:webHidden/>
          </w:rPr>
          <w:fldChar w:fldCharType="begin"/>
        </w:r>
        <w:r w:rsidR="00076000">
          <w:rPr>
            <w:noProof/>
            <w:webHidden/>
          </w:rPr>
          <w:instrText xml:space="preserve"> PAGEREF _Toc57803209 \h </w:instrText>
        </w:r>
        <w:r w:rsidR="00076000">
          <w:rPr>
            <w:noProof/>
            <w:webHidden/>
          </w:rPr>
        </w:r>
        <w:r w:rsidR="00076000">
          <w:rPr>
            <w:noProof/>
            <w:webHidden/>
          </w:rPr>
          <w:fldChar w:fldCharType="separate"/>
        </w:r>
        <w:r w:rsidR="00076000">
          <w:rPr>
            <w:noProof/>
            <w:webHidden/>
          </w:rPr>
          <w:t>4</w:t>
        </w:r>
        <w:r w:rsidR="00076000">
          <w:rPr>
            <w:noProof/>
            <w:webHidden/>
          </w:rPr>
          <w:fldChar w:fldCharType="end"/>
        </w:r>
      </w:hyperlink>
    </w:p>
    <w:p w14:paraId="1F027A9D" w14:textId="65FEB5CC" w:rsidR="00076000" w:rsidRDefault="00476580">
      <w:pPr>
        <w:pStyle w:val="TOC2"/>
        <w:tabs>
          <w:tab w:val="left" w:pos="1134"/>
        </w:tabs>
        <w:rPr>
          <w:rFonts w:asciiTheme="minorHAnsi" w:hAnsiTheme="minorHAnsi"/>
          <w:noProof/>
        </w:rPr>
      </w:pPr>
      <w:hyperlink w:anchor="_Toc57803210" w:history="1">
        <w:r w:rsidR="00076000" w:rsidRPr="002C53BE">
          <w:rPr>
            <w:rStyle w:val="Hyperlink"/>
            <w:rFonts w:cs="Arial"/>
            <w:noProof/>
          </w:rPr>
          <w:t>1.1</w:t>
        </w:r>
        <w:r w:rsidR="00076000">
          <w:rPr>
            <w:rFonts w:asciiTheme="minorHAnsi" w:hAnsiTheme="minorHAnsi"/>
            <w:noProof/>
          </w:rPr>
          <w:tab/>
        </w:r>
        <w:r w:rsidR="00076000" w:rsidRPr="002C53BE">
          <w:rPr>
            <w:rStyle w:val="Hyperlink"/>
            <w:noProof/>
          </w:rPr>
          <w:t>Purpose</w:t>
        </w:r>
        <w:r w:rsidR="00076000">
          <w:rPr>
            <w:noProof/>
            <w:webHidden/>
          </w:rPr>
          <w:tab/>
        </w:r>
        <w:r w:rsidR="00076000">
          <w:rPr>
            <w:noProof/>
            <w:webHidden/>
          </w:rPr>
          <w:fldChar w:fldCharType="begin"/>
        </w:r>
        <w:r w:rsidR="00076000">
          <w:rPr>
            <w:noProof/>
            <w:webHidden/>
          </w:rPr>
          <w:instrText xml:space="preserve"> PAGEREF _Toc57803210 \h </w:instrText>
        </w:r>
        <w:r w:rsidR="00076000">
          <w:rPr>
            <w:noProof/>
            <w:webHidden/>
          </w:rPr>
        </w:r>
        <w:r w:rsidR="00076000">
          <w:rPr>
            <w:noProof/>
            <w:webHidden/>
          </w:rPr>
          <w:fldChar w:fldCharType="separate"/>
        </w:r>
        <w:r w:rsidR="00076000">
          <w:rPr>
            <w:noProof/>
            <w:webHidden/>
          </w:rPr>
          <w:t>4</w:t>
        </w:r>
        <w:r w:rsidR="00076000">
          <w:rPr>
            <w:noProof/>
            <w:webHidden/>
          </w:rPr>
          <w:fldChar w:fldCharType="end"/>
        </w:r>
      </w:hyperlink>
    </w:p>
    <w:p w14:paraId="3D269CA0" w14:textId="13DD8A74" w:rsidR="00076000" w:rsidRDefault="00476580">
      <w:pPr>
        <w:pStyle w:val="TOC2"/>
        <w:tabs>
          <w:tab w:val="left" w:pos="1134"/>
        </w:tabs>
        <w:rPr>
          <w:rFonts w:asciiTheme="minorHAnsi" w:hAnsiTheme="minorHAnsi"/>
          <w:noProof/>
        </w:rPr>
      </w:pPr>
      <w:hyperlink w:anchor="_Toc57803211" w:history="1">
        <w:r w:rsidR="00076000" w:rsidRPr="002C53BE">
          <w:rPr>
            <w:rStyle w:val="Hyperlink"/>
            <w:rFonts w:cs="Arial"/>
            <w:noProof/>
          </w:rPr>
          <w:t>1.2</w:t>
        </w:r>
        <w:r w:rsidR="00076000">
          <w:rPr>
            <w:rFonts w:asciiTheme="minorHAnsi" w:hAnsiTheme="minorHAnsi"/>
            <w:noProof/>
          </w:rPr>
          <w:tab/>
        </w:r>
        <w:r w:rsidR="00076000" w:rsidRPr="002C53BE">
          <w:rPr>
            <w:rStyle w:val="Hyperlink"/>
            <w:noProof/>
          </w:rPr>
          <w:t>Scope</w:t>
        </w:r>
        <w:r w:rsidR="00076000">
          <w:rPr>
            <w:noProof/>
            <w:webHidden/>
          </w:rPr>
          <w:tab/>
        </w:r>
        <w:r w:rsidR="00076000">
          <w:rPr>
            <w:noProof/>
            <w:webHidden/>
          </w:rPr>
          <w:fldChar w:fldCharType="begin"/>
        </w:r>
        <w:r w:rsidR="00076000">
          <w:rPr>
            <w:noProof/>
            <w:webHidden/>
          </w:rPr>
          <w:instrText xml:space="preserve"> PAGEREF _Toc57803211 \h </w:instrText>
        </w:r>
        <w:r w:rsidR="00076000">
          <w:rPr>
            <w:noProof/>
            <w:webHidden/>
          </w:rPr>
        </w:r>
        <w:r w:rsidR="00076000">
          <w:rPr>
            <w:noProof/>
            <w:webHidden/>
          </w:rPr>
          <w:fldChar w:fldCharType="separate"/>
        </w:r>
        <w:r w:rsidR="00076000">
          <w:rPr>
            <w:noProof/>
            <w:webHidden/>
          </w:rPr>
          <w:t>5</w:t>
        </w:r>
        <w:r w:rsidR="00076000">
          <w:rPr>
            <w:noProof/>
            <w:webHidden/>
          </w:rPr>
          <w:fldChar w:fldCharType="end"/>
        </w:r>
      </w:hyperlink>
    </w:p>
    <w:p w14:paraId="0D536A77" w14:textId="528EE2FD" w:rsidR="00076000" w:rsidRDefault="00476580">
      <w:pPr>
        <w:pStyle w:val="TOC2"/>
        <w:tabs>
          <w:tab w:val="left" w:pos="1134"/>
        </w:tabs>
        <w:rPr>
          <w:rFonts w:asciiTheme="minorHAnsi" w:hAnsiTheme="minorHAnsi"/>
          <w:noProof/>
        </w:rPr>
      </w:pPr>
      <w:hyperlink w:anchor="_Toc57803212" w:history="1">
        <w:r w:rsidR="00076000" w:rsidRPr="002C53BE">
          <w:rPr>
            <w:rStyle w:val="Hyperlink"/>
            <w:rFonts w:cs="Arial"/>
            <w:noProof/>
          </w:rPr>
          <w:t>1.3</w:t>
        </w:r>
        <w:r w:rsidR="00076000">
          <w:rPr>
            <w:rFonts w:asciiTheme="minorHAnsi" w:hAnsiTheme="minorHAnsi"/>
            <w:noProof/>
          </w:rPr>
          <w:tab/>
        </w:r>
        <w:r w:rsidR="00076000" w:rsidRPr="002C53BE">
          <w:rPr>
            <w:rStyle w:val="Hyperlink"/>
            <w:noProof/>
          </w:rPr>
          <w:t>Relevant objectives and policies</w:t>
        </w:r>
        <w:r w:rsidR="00076000">
          <w:rPr>
            <w:noProof/>
            <w:webHidden/>
          </w:rPr>
          <w:tab/>
        </w:r>
        <w:r w:rsidR="00076000">
          <w:rPr>
            <w:noProof/>
            <w:webHidden/>
          </w:rPr>
          <w:fldChar w:fldCharType="begin"/>
        </w:r>
        <w:r w:rsidR="00076000">
          <w:rPr>
            <w:noProof/>
            <w:webHidden/>
          </w:rPr>
          <w:instrText xml:space="preserve"> PAGEREF _Toc57803212 \h </w:instrText>
        </w:r>
        <w:r w:rsidR="00076000">
          <w:rPr>
            <w:noProof/>
            <w:webHidden/>
          </w:rPr>
        </w:r>
        <w:r w:rsidR="00076000">
          <w:rPr>
            <w:noProof/>
            <w:webHidden/>
          </w:rPr>
          <w:fldChar w:fldCharType="separate"/>
        </w:r>
        <w:r w:rsidR="00076000">
          <w:rPr>
            <w:noProof/>
            <w:webHidden/>
          </w:rPr>
          <w:t>5</w:t>
        </w:r>
        <w:r w:rsidR="00076000">
          <w:rPr>
            <w:noProof/>
            <w:webHidden/>
          </w:rPr>
          <w:fldChar w:fldCharType="end"/>
        </w:r>
      </w:hyperlink>
    </w:p>
    <w:p w14:paraId="5427FD85" w14:textId="6AE702E8" w:rsidR="00076000" w:rsidRDefault="00476580">
      <w:pPr>
        <w:pStyle w:val="TOC1"/>
        <w:rPr>
          <w:rFonts w:asciiTheme="minorHAnsi" w:hAnsiTheme="minorHAnsi"/>
          <w:noProof/>
        </w:rPr>
      </w:pPr>
      <w:hyperlink w:anchor="_Toc57803213" w:history="1">
        <w:r w:rsidR="00076000" w:rsidRPr="002C53BE">
          <w:rPr>
            <w:rStyle w:val="Hyperlink"/>
            <w:noProof/>
          </w:rPr>
          <w:t>2</w:t>
        </w:r>
        <w:r w:rsidR="00076000">
          <w:rPr>
            <w:rFonts w:asciiTheme="minorHAnsi" w:hAnsiTheme="minorHAnsi"/>
            <w:noProof/>
          </w:rPr>
          <w:tab/>
        </w:r>
        <w:r w:rsidR="00076000" w:rsidRPr="002C53BE">
          <w:rPr>
            <w:rStyle w:val="Hyperlink"/>
            <w:noProof/>
          </w:rPr>
          <w:t>Monitoring and publishing requirements (clause 3.9)</w:t>
        </w:r>
        <w:r w:rsidR="00076000">
          <w:rPr>
            <w:noProof/>
            <w:webHidden/>
          </w:rPr>
          <w:tab/>
        </w:r>
        <w:r w:rsidR="00076000">
          <w:rPr>
            <w:noProof/>
            <w:webHidden/>
          </w:rPr>
          <w:fldChar w:fldCharType="begin"/>
        </w:r>
        <w:r w:rsidR="00076000">
          <w:rPr>
            <w:noProof/>
            <w:webHidden/>
          </w:rPr>
          <w:instrText xml:space="preserve"> PAGEREF _Toc57803213 \h </w:instrText>
        </w:r>
        <w:r w:rsidR="00076000">
          <w:rPr>
            <w:noProof/>
            <w:webHidden/>
          </w:rPr>
        </w:r>
        <w:r w:rsidR="00076000">
          <w:rPr>
            <w:noProof/>
            <w:webHidden/>
          </w:rPr>
          <w:fldChar w:fldCharType="separate"/>
        </w:r>
        <w:r w:rsidR="00076000">
          <w:rPr>
            <w:noProof/>
            <w:webHidden/>
          </w:rPr>
          <w:t>6</w:t>
        </w:r>
        <w:r w:rsidR="00076000">
          <w:rPr>
            <w:noProof/>
            <w:webHidden/>
          </w:rPr>
          <w:fldChar w:fldCharType="end"/>
        </w:r>
      </w:hyperlink>
    </w:p>
    <w:p w14:paraId="1D35AA31" w14:textId="349736D1" w:rsidR="00076000" w:rsidRDefault="00476580">
      <w:pPr>
        <w:pStyle w:val="TOC2"/>
        <w:tabs>
          <w:tab w:val="left" w:pos="1134"/>
        </w:tabs>
        <w:rPr>
          <w:rFonts w:asciiTheme="minorHAnsi" w:hAnsiTheme="minorHAnsi"/>
          <w:noProof/>
        </w:rPr>
      </w:pPr>
      <w:hyperlink w:anchor="_Toc57803214" w:history="1">
        <w:r w:rsidR="00076000" w:rsidRPr="002C53BE">
          <w:rPr>
            <w:rStyle w:val="Hyperlink"/>
            <w:noProof/>
          </w:rPr>
          <w:t>2.1</w:t>
        </w:r>
        <w:r w:rsidR="00076000">
          <w:rPr>
            <w:rFonts w:asciiTheme="minorHAnsi" w:hAnsiTheme="minorHAnsi"/>
            <w:noProof/>
          </w:rPr>
          <w:tab/>
        </w:r>
        <w:r w:rsidR="00076000" w:rsidRPr="002C53BE">
          <w:rPr>
            <w:rStyle w:val="Hyperlink"/>
            <w:noProof/>
          </w:rPr>
          <w:t>Publishing methods</w:t>
        </w:r>
        <w:r w:rsidR="00076000">
          <w:rPr>
            <w:noProof/>
            <w:webHidden/>
          </w:rPr>
          <w:tab/>
        </w:r>
        <w:r w:rsidR="00076000">
          <w:rPr>
            <w:noProof/>
            <w:webHidden/>
          </w:rPr>
          <w:fldChar w:fldCharType="begin"/>
        </w:r>
        <w:r w:rsidR="00076000">
          <w:rPr>
            <w:noProof/>
            <w:webHidden/>
          </w:rPr>
          <w:instrText xml:space="preserve"> PAGEREF _Toc57803214 \h </w:instrText>
        </w:r>
        <w:r w:rsidR="00076000">
          <w:rPr>
            <w:noProof/>
            <w:webHidden/>
          </w:rPr>
        </w:r>
        <w:r w:rsidR="00076000">
          <w:rPr>
            <w:noProof/>
            <w:webHidden/>
          </w:rPr>
          <w:fldChar w:fldCharType="separate"/>
        </w:r>
        <w:r w:rsidR="00076000">
          <w:rPr>
            <w:noProof/>
            <w:webHidden/>
          </w:rPr>
          <w:t>6</w:t>
        </w:r>
        <w:r w:rsidR="00076000">
          <w:rPr>
            <w:noProof/>
            <w:webHidden/>
          </w:rPr>
          <w:fldChar w:fldCharType="end"/>
        </w:r>
      </w:hyperlink>
    </w:p>
    <w:p w14:paraId="2ECEC93B" w14:textId="6B09F7E7" w:rsidR="00076000" w:rsidRDefault="00476580">
      <w:pPr>
        <w:pStyle w:val="TOC2"/>
        <w:tabs>
          <w:tab w:val="left" w:pos="1134"/>
        </w:tabs>
        <w:rPr>
          <w:rFonts w:asciiTheme="minorHAnsi" w:hAnsiTheme="minorHAnsi"/>
          <w:noProof/>
        </w:rPr>
      </w:pPr>
      <w:hyperlink w:anchor="_Toc57803215" w:history="1">
        <w:r w:rsidR="00076000" w:rsidRPr="002C53BE">
          <w:rPr>
            <w:rStyle w:val="Hyperlink"/>
            <w:noProof/>
          </w:rPr>
          <w:t>2.2</w:t>
        </w:r>
        <w:r w:rsidR="00076000">
          <w:rPr>
            <w:rFonts w:asciiTheme="minorHAnsi" w:hAnsiTheme="minorHAnsi"/>
            <w:noProof/>
          </w:rPr>
          <w:tab/>
        </w:r>
        <w:r w:rsidR="00076000" w:rsidRPr="002C53BE">
          <w:rPr>
            <w:rStyle w:val="Hyperlink"/>
            <w:noProof/>
          </w:rPr>
          <w:t>Choosing indicators (clause 3.9(1))</w:t>
        </w:r>
        <w:r w:rsidR="00076000">
          <w:rPr>
            <w:noProof/>
            <w:webHidden/>
          </w:rPr>
          <w:tab/>
        </w:r>
        <w:r w:rsidR="00076000">
          <w:rPr>
            <w:noProof/>
            <w:webHidden/>
          </w:rPr>
          <w:fldChar w:fldCharType="begin"/>
        </w:r>
        <w:r w:rsidR="00076000">
          <w:rPr>
            <w:noProof/>
            <w:webHidden/>
          </w:rPr>
          <w:instrText xml:space="preserve"> PAGEREF _Toc57803215 \h </w:instrText>
        </w:r>
        <w:r w:rsidR="00076000">
          <w:rPr>
            <w:noProof/>
            <w:webHidden/>
          </w:rPr>
        </w:r>
        <w:r w:rsidR="00076000">
          <w:rPr>
            <w:noProof/>
            <w:webHidden/>
          </w:rPr>
          <w:fldChar w:fldCharType="separate"/>
        </w:r>
        <w:r w:rsidR="00076000">
          <w:rPr>
            <w:noProof/>
            <w:webHidden/>
          </w:rPr>
          <w:t>7</w:t>
        </w:r>
        <w:r w:rsidR="00076000">
          <w:rPr>
            <w:noProof/>
            <w:webHidden/>
          </w:rPr>
          <w:fldChar w:fldCharType="end"/>
        </w:r>
      </w:hyperlink>
    </w:p>
    <w:p w14:paraId="4E0AB573" w14:textId="28C4B477" w:rsidR="00076000" w:rsidRDefault="00476580">
      <w:pPr>
        <w:pStyle w:val="TOC2"/>
        <w:tabs>
          <w:tab w:val="left" w:pos="1134"/>
        </w:tabs>
        <w:rPr>
          <w:rFonts w:asciiTheme="minorHAnsi" w:hAnsiTheme="minorHAnsi"/>
          <w:noProof/>
        </w:rPr>
      </w:pPr>
      <w:hyperlink w:anchor="_Toc57803216" w:history="1">
        <w:r w:rsidR="00076000" w:rsidRPr="002C53BE">
          <w:rPr>
            <w:rStyle w:val="Hyperlink"/>
            <w:noProof/>
          </w:rPr>
          <w:t>2.3</w:t>
        </w:r>
        <w:r w:rsidR="00076000">
          <w:rPr>
            <w:rFonts w:asciiTheme="minorHAnsi" w:hAnsiTheme="minorHAnsi"/>
            <w:noProof/>
          </w:rPr>
          <w:tab/>
        </w:r>
        <w:r w:rsidR="00076000" w:rsidRPr="002C53BE">
          <w:rPr>
            <w:rStyle w:val="Hyperlink"/>
            <w:noProof/>
          </w:rPr>
          <w:t>Tier 1 monitoring development outcomes requirement (clause 3.9(2))</w:t>
        </w:r>
        <w:r w:rsidR="00076000">
          <w:rPr>
            <w:noProof/>
            <w:webHidden/>
          </w:rPr>
          <w:tab/>
        </w:r>
        <w:r w:rsidR="00076000">
          <w:rPr>
            <w:noProof/>
            <w:webHidden/>
          </w:rPr>
          <w:fldChar w:fldCharType="begin"/>
        </w:r>
        <w:r w:rsidR="00076000">
          <w:rPr>
            <w:noProof/>
            <w:webHidden/>
          </w:rPr>
          <w:instrText xml:space="preserve"> PAGEREF _Toc57803216 \h </w:instrText>
        </w:r>
        <w:r w:rsidR="00076000">
          <w:rPr>
            <w:noProof/>
            <w:webHidden/>
          </w:rPr>
        </w:r>
        <w:r w:rsidR="00076000">
          <w:rPr>
            <w:noProof/>
            <w:webHidden/>
          </w:rPr>
          <w:fldChar w:fldCharType="separate"/>
        </w:r>
        <w:r w:rsidR="00076000">
          <w:rPr>
            <w:noProof/>
            <w:webHidden/>
          </w:rPr>
          <w:t>7</w:t>
        </w:r>
        <w:r w:rsidR="00076000">
          <w:rPr>
            <w:noProof/>
            <w:webHidden/>
          </w:rPr>
          <w:fldChar w:fldCharType="end"/>
        </w:r>
      </w:hyperlink>
    </w:p>
    <w:p w14:paraId="0BDFCE87" w14:textId="0CC0A306" w:rsidR="00076000" w:rsidRDefault="00476580">
      <w:pPr>
        <w:pStyle w:val="TOC1"/>
        <w:rPr>
          <w:rFonts w:asciiTheme="minorHAnsi" w:hAnsiTheme="minorHAnsi"/>
          <w:noProof/>
        </w:rPr>
      </w:pPr>
      <w:hyperlink w:anchor="_Toc57803217" w:history="1">
        <w:r w:rsidR="00076000" w:rsidRPr="002C53BE">
          <w:rPr>
            <w:rStyle w:val="Hyperlink"/>
            <w:noProof/>
          </w:rPr>
          <w:t>3</w:t>
        </w:r>
        <w:r w:rsidR="00076000">
          <w:rPr>
            <w:rFonts w:asciiTheme="minorHAnsi" w:hAnsiTheme="minorHAnsi"/>
            <w:noProof/>
          </w:rPr>
          <w:tab/>
        </w:r>
        <w:r w:rsidR="00076000" w:rsidRPr="002C53BE">
          <w:rPr>
            <w:rStyle w:val="Hyperlink"/>
            <w:noProof/>
          </w:rPr>
          <w:t>Requirements for all local authorities (clause 3.10(1))</w:t>
        </w:r>
        <w:r w:rsidR="00076000">
          <w:rPr>
            <w:noProof/>
            <w:webHidden/>
          </w:rPr>
          <w:tab/>
        </w:r>
        <w:r w:rsidR="00076000">
          <w:rPr>
            <w:noProof/>
            <w:webHidden/>
          </w:rPr>
          <w:fldChar w:fldCharType="begin"/>
        </w:r>
        <w:r w:rsidR="00076000">
          <w:rPr>
            <w:noProof/>
            <w:webHidden/>
          </w:rPr>
          <w:instrText xml:space="preserve"> PAGEREF _Toc57803217 \h </w:instrText>
        </w:r>
        <w:r w:rsidR="00076000">
          <w:rPr>
            <w:noProof/>
            <w:webHidden/>
          </w:rPr>
        </w:r>
        <w:r w:rsidR="00076000">
          <w:rPr>
            <w:noProof/>
            <w:webHidden/>
          </w:rPr>
          <w:fldChar w:fldCharType="separate"/>
        </w:r>
        <w:r w:rsidR="00076000">
          <w:rPr>
            <w:noProof/>
            <w:webHidden/>
          </w:rPr>
          <w:t>9</w:t>
        </w:r>
        <w:r w:rsidR="00076000">
          <w:rPr>
            <w:noProof/>
            <w:webHidden/>
          </w:rPr>
          <w:fldChar w:fldCharType="end"/>
        </w:r>
      </w:hyperlink>
    </w:p>
    <w:p w14:paraId="2402CB0A" w14:textId="41E3CE30" w:rsidR="00076000" w:rsidRDefault="00476580">
      <w:pPr>
        <w:pStyle w:val="TOC1"/>
        <w:rPr>
          <w:rFonts w:asciiTheme="minorHAnsi" w:hAnsiTheme="minorHAnsi"/>
          <w:noProof/>
        </w:rPr>
      </w:pPr>
      <w:hyperlink w:anchor="_Toc57803218" w:history="1">
        <w:r w:rsidR="00076000" w:rsidRPr="002C53BE">
          <w:rPr>
            <w:rStyle w:val="Hyperlink"/>
            <w:noProof/>
          </w:rPr>
          <w:t>4</w:t>
        </w:r>
        <w:r w:rsidR="00076000">
          <w:rPr>
            <w:rFonts w:asciiTheme="minorHAnsi" w:hAnsiTheme="minorHAnsi"/>
            <w:noProof/>
          </w:rPr>
          <w:tab/>
        </w:r>
        <w:r w:rsidR="00076000" w:rsidRPr="002C53BE">
          <w:rPr>
            <w:rStyle w:val="Hyperlink"/>
            <w:noProof/>
          </w:rPr>
          <w:t>Further guidance on using evidence and analysis (clause 3.11)</w:t>
        </w:r>
        <w:r w:rsidR="00076000">
          <w:rPr>
            <w:noProof/>
            <w:webHidden/>
          </w:rPr>
          <w:tab/>
        </w:r>
        <w:r w:rsidR="00076000">
          <w:rPr>
            <w:noProof/>
            <w:webHidden/>
          </w:rPr>
          <w:fldChar w:fldCharType="begin"/>
        </w:r>
        <w:r w:rsidR="00076000">
          <w:rPr>
            <w:noProof/>
            <w:webHidden/>
          </w:rPr>
          <w:instrText xml:space="preserve"> PAGEREF _Toc57803218 \h </w:instrText>
        </w:r>
        <w:r w:rsidR="00076000">
          <w:rPr>
            <w:noProof/>
            <w:webHidden/>
          </w:rPr>
        </w:r>
        <w:r w:rsidR="00076000">
          <w:rPr>
            <w:noProof/>
            <w:webHidden/>
          </w:rPr>
          <w:fldChar w:fldCharType="separate"/>
        </w:r>
        <w:r w:rsidR="00076000">
          <w:rPr>
            <w:noProof/>
            <w:webHidden/>
          </w:rPr>
          <w:t>10</w:t>
        </w:r>
        <w:r w:rsidR="00076000">
          <w:rPr>
            <w:noProof/>
            <w:webHidden/>
          </w:rPr>
          <w:fldChar w:fldCharType="end"/>
        </w:r>
      </w:hyperlink>
    </w:p>
    <w:p w14:paraId="1A3408BD" w14:textId="00FC5419" w:rsidR="00076000" w:rsidRDefault="00476580">
      <w:pPr>
        <w:pStyle w:val="TOC2"/>
        <w:tabs>
          <w:tab w:val="left" w:pos="1134"/>
        </w:tabs>
        <w:rPr>
          <w:rFonts w:asciiTheme="minorHAnsi" w:hAnsiTheme="minorHAnsi"/>
          <w:noProof/>
        </w:rPr>
      </w:pPr>
      <w:hyperlink w:anchor="_Toc57803219" w:history="1">
        <w:r w:rsidR="00076000" w:rsidRPr="002C53BE">
          <w:rPr>
            <w:rStyle w:val="Hyperlink"/>
            <w:noProof/>
          </w:rPr>
          <w:t>4.1</w:t>
        </w:r>
        <w:r w:rsidR="00076000">
          <w:rPr>
            <w:rFonts w:asciiTheme="minorHAnsi" w:hAnsiTheme="minorHAnsi"/>
            <w:noProof/>
          </w:rPr>
          <w:tab/>
        </w:r>
        <w:r w:rsidR="00076000" w:rsidRPr="002C53BE">
          <w:rPr>
            <w:rStyle w:val="Hyperlink"/>
            <w:noProof/>
          </w:rPr>
          <w:t>Using HBAs as evidence for well-functioning urban environments (clause 3.11(b)(i))</w:t>
        </w:r>
        <w:r w:rsidR="00076000">
          <w:rPr>
            <w:noProof/>
            <w:webHidden/>
          </w:rPr>
          <w:tab/>
        </w:r>
        <w:r w:rsidR="00076000">
          <w:rPr>
            <w:noProof/>
            <w:webHidden/>
          </w:rPr>
          <w:fldChar w:fldCharType="begin"/>
        </w:r>
        <w:r w:rsidR="00076000">
          <w:rPr>
            <w:noProof/>
            <w:webHidden/>
          </w:rPr>
          <w:instrText xml:space="preserve"> PAGEREF _Toc57803219 \h </w:instrText>
        </w:r>
        <w:r w:rsidR="00076000">
          <w:rPr>
            <w:noProof/>
            <w:webHidden/>
          </w:rPr>
        </w:r>
        <w:r w:rsidR="00076000">
          <w:rPr>
            <w:noProof/>
            <w:webHidden/>
          </w:rPr>
          <w:fldChar w:fldCharType="separate"/>
        </w:r>
        <w:r w:rsidR="00076000">
          <w:rPr>
            <w:noProof/>
            <w:webHidden/>
          </w:rPr>
          <w:t>10</w:t>
        </w:r>
        <w:r w:rsidR="00076000">
          <w:rPr>
            <w:noProof/>
            <w:webHidden/>
          </w:rPr>
          <w:fldChar w:fldCharType="end"/>
        </w:r>
      </w:hyperlink>
    </w:p>
    <w:p w14:paraId="594006C9" w14:textId="76E61EFE" w:rsidR="00076000" w:rsidRDefault="00476580">
      <w:pPr>
        <w:pStyle w:val="TOC2"/>
        <w:tabs>
          <w:tab w:val="left" w:pos="1134"/>
        </w:tabs>
        <w:rPr>
          <w:rFonts w:asciiTheme="minorHAnsi" w:hAnsiTheme="minorHAnsi"/>
          <w:noProof/>
        </w:rPr>
      </w:pPr>
      <w:hyperlink w:anchor="_Toc57803220" w:history="1">
        <w:r w:rsidR="00076000" w:rsidRPr="002C53BE">
          <w:rPr>
            <w:rStyle w:val="Hyperlink"/>
            <w:noProof/>
          </w:rPr>
          <w:t>4.2</w:t>
        </w:r>
        <w:r w:rsidR="00076000">
          <w:rPr>
            <w:rFonts w:asciiTheme="minorHAnsi" w:hAnsiTheme="minorHAnsi"/>
            <w:noProof/>
          </w:rPr>
          <w:tab/>
        </w:r>
        <w:r w:rsidR="00076000" w:rsidRPr="002C53BE">
          <w:rPr>
            <w:rStyle w:val="Hyperlink"/>
            <w:noProof/>
          </w:rPr>
          <w:t>Evidence for meeting at least sufficient development capacity (clause 3.11(b)(ii))</w:t>
        </w:r>
        <w:r w:rsidR="00076000">
          <w:rPr>
            <w:noProof/>
            <w:webHidden/>
          </w:rPr>
          <w:tab/>
        </w:r>
        <w:r w:rsidR="00076000">
          <w:rPr>
            <w:noProof/>
            <w:webHidden/>
          </w:rPr>
          <w:fldChar w:fldCharType="begin"/>
        </w:r>
        <w:r w:rsidR="00076000">
          <w:rPr>
            <w:noProof/>
            <w:webHidden/>
          </w:rPr>
          <w:instrText xml:space="preserve"> PAGEREF _Toc57803220 \h </w:instrText>
        </w:r>
        <w:r w:rsidR="00076000">
          <w:rPr>
            <w:noProof/>
            <w:webHidden/>
          </w:rPr>
        </w:r>
        <w:r w:rsidR="00076000">
          <w:rPr>
            <w:noProof/>
            <w:webHidden/>
          </w:rPr>
          <w:fldChar w:fldCharType="separate"/>
        </w:r>
        <w:r w:rsidR="00076000">
          <w:rPr>
            <w:noProof/>
            <w:webHidden/>
          </w:rPr>
          <w:t>11</w:t>
        </w:r>
        <w:r w:rsidR="00076000">
          <w:rPr>
            <w:noProof/>
            <w:webHidden/>
          </w:rPr>
          <w:fldChar w:fldCharType="end"/>
        </w:r>
      </w:hyperlink>
    </w:p>
    <w:p w14:paraId="08513BD8" w14:textId="6C2F5619" w:rsidR="00076000" w:rsidRDefault="00476580">
      <w:pPr>
        <w:pStyle w:val="TOC2"/>
        <w:tabs>
          <w:tab w:val="left" w:pos="1134"/>
        </w:tabs>
        <w:rPr>
          <w:rFonts w:asciiTheme="minorHAnsi" w:hAnsiTheme="minorHAnsi"/>
          <w:noProof/>
        </w:rPr>
      </w:pPr>
      <w:hyperlink w:anchor="_Toc57803221" w:history="1">
        <w:r w:rsidR="00076000" w:rsidRPr="002C53BE">
          <w:rPr>
            <w:rStyle w:val="Hyperlink"/>
            <w:noProof/>
          </w:rPr>
          <w:t>4.3</w:t>
        </w:r>
        <w:r w:rsidR="00076000">
          <w:rPr>
            <w:rFonts w:asciiTheme="minorHAnsi" w:hAnsiTheme="minorHAnsi"/>
            <w:noProof/>
          </w:rPr>
          <w:tab/>
        </w:r>
        <w:r w:rsidR="00076000" w:rsidRPr="002C53BE">
          <w:rPr>
            <w:rStyle w:val="Hyperlink"/>
            <w:noProof/>
          </w:rPr>
          <w:t>Including evidence in section 32 reports (clause 3.11(2))</w:t>
        </w:r>
        <w:r w:rsidR="00076000">
          <w:rPr>
            <w:noProof/>
            <w:webHidden/>
          </w:rPr>
          <w:tab/>
        </w:r>
        <w:r w:rsidR="00076000">
          <w:rPr>
            <w:noProof/>
            <w:webHidden/>
          </w:rPr>
          <w:fldChar w:fldCharType="begin"/>
        </w:r>
        <w:r w:rsidR="00076000">
          <w:rPr>
            <w:noProof/>
            <w:webHidden/>
          </w:rPr>
          <w:instrText xml:space="preserve"> PAGEREF _Toc57803221 \h </w:instrText>
        </w:r>
        <w:r w:rsidR="00076000">
          <w:rPr>
            <w:noProof/>
            <w:webHidden/>
          </w:rPr>
        </w:r>
        <w:r w:rsidR="00076000">
          <w:rPr>
            <w:noProof/>
            <w:webHidden/>
          </w:rPr>
          <w:fldChar w:fldCharType="separate"/>
        </w:r>
        <w:r w:rsidR="00076000">
          <w:rPr>
            <w:noProof/>
            <w:webHidden/>
          </w:rPr>
          <w:t>11</w:t>
        </w:r>
        <w:r w:rsidR="00076000">
          <w:rPr>
            <w:noProof/>
            <w:webHidden/>
          </w:rPr>
          <w:fldChar w:fldCharType="end"/>
        </w:r>
      </w:hyperlink>
    </w:p>
    <w:p w14:paraId="0FA3E035" w14:textId="2F717362" w:rsidR="0080531E" w:rsidRPr="00DF004C" w:rsidRDefault="00775F57" w:rsidP="002B4778">
      <w:pPr>
        <w:pStyle w:val="Glossary"/>
      </w:pPr>
      <w:r w:rsidRPr="00DF004C">
        <w:rPr>
          <w:color w:val="0092CF"/>
        </w:rPr>
        <w:fldChar w:fldCharType="end"/>
      </w:r>
    </w:p>
    <w:p w14:paraId="60A44480" w14:textId="77777777" w:rsidR="00800EE0" w:rsidRDefault="00800EE0" w:rsidP="00554B30"/>
    <w:p w14:paraId="19D52A62" w14:textId="230E40B3" w:rsidR="00800EE0" w:rsidRDefault="00800EE0">
      <w:pPr>
        <w:spacing w:before="0" w:after="200" w:line="276" w:lineRule="auto"/>
        <w:jc w:val="left"/>
      </w:pPr>
    </w:p>
    <w:p w14:paraId="3A24E1DF" w14:textId="0912C760" w:rsidR="00800EE0" w:rsidRPr="00DF004C" w:rsidRDefault="00800EE0" w:rsidP="00800EE0">
      <w:pPr>
        <w:pStyle w:val="Heading"/>
      </w:pPr>
      <w:r>
        <w:t>Table</w:t>
      </w:r>
    </w:p>
    <w:p w14:paraId="1AD18BDA" w14:textId="653DC58B" w:rsidR="00800EE0" w:rsidRDefault="00800EE0">
      <w:pPr>
        <w:pStyle w:val="TableofFigures"/>
        <w:tabs>
          <w:tab w:val="right" w:pos="8495"/>
        </w:tabs>
        <w:rPr>
          <w:rFonts w:asciiTheme="minorHAnsi" w:hAnsiTheme="minorHAnsi"/>
          <w:noProof/>
        </w:rPr>
      </w:pPr>
      <w:r>
        <w:fldChar w:fldCharType="begin"/>
      </w:r>
      <w:r>
        <w:instrText xml:space="preserve"> TOC \h \z \t "Table heading" \c </w:instrText>
      </w:r>
      <w:r>
        <w:fldChar w:fldCharType="separate"/>
      </w:r>
      <w:hyperlink w:anchor="_Toc57644945" w:history="1">
        <w:r w:rsidRPr="004336FD">
          <w:rPr>
            <w:rStyle w:val="Hyperlink"/>
            <w:noProof/>
          </w:rPr>
          <w:t>Table 1:</w:t>
        </w:r>
        <w:r>
          <w:rPr>
            <w:rFonts w:asciiTheme="minorHAnsi" w:hAnsiTheme="minorHAnsi"/>
            <w:noProof/>
          </w:rPr>
          <w:tab/>
        </w:r>
        <w:r w:rsidRPr="004336FD">
          <w:rPr>
            <w:rStyle w:val="Hyperlink"/>
            <w:noProof/>
          </w:rPr>
          <w:t>New or updated requirements under the NPS-UD</w:t>
        </w:r>
        <w:r>
          <w:rPr>
            <w:noProof/>
            <w:webHidden/>
          </w:rPr>
          <w:tab/>
        </w:r>
        <w:r>
          <w:rPr>
            <w:noProof/>
            <w:webHidden/>
          </w:rPr>
          <w:fldChar w:fldCharType="begin"/>
        </w:r>
        <w:r>
          <w:rPr>
            <w:noProof/>
            <w:webHidden/>
          </w:rPr>
          <w:instrText xml:space="preserve"> PAGEREF _Toc57644945 \h </w:instrText>
        </w:r>
        <w:r>
          <w:rPr>
            <w:noProof/>
            <w:webHidden/>
          </w:rPr>
        </w:r>
        <w:r>
          <w:rPr>
            <w:noProof/>
            <w:webHidden/>
          </w:rPr>
          <w:fldChar w:fldCharType="separate"/>
        </w:r>
        <w:r w:rsidR="00076000">
          <w:rPr>
            <w:noProof/>
            <w:webHidden/>
          </w:rPr>
          <w:t>4</w:t>
        </w:r>
        <w:r>
          <w:rPr>
            <w:noProof/>
            <w:webHidden/>
          </w:rPr>
          <w:fldChar w:fldCharType="end"/>
        </w:r>
      </w:hyperlink>
    </w:p>
    <w:p w14:paraId="06565C70" w14:textId="73EEF02D" w:rsidR="00800EE0" w:rsidRDefault="00800EE0" w:rsidP="00554B30">
      <w:r>
        <w:fldChar w:fldCharType="end"/>
      </w:r>
    </w:p>
    <w:p w14:paraId="1CDD0B1A" w14:textId="21C7BACF" w:rsidR="00796A6F" w:rsidRPr="00DF004C" w:rsidRDefault="00796A6F" w:rsidP="00554B30">
      <w:r w:rsidRPr="00DF004C">
        <w:br w:type="page"/>
      </w:r>
    </w:p>
    <w:p w14:paraId="2AEB5A11" w14:textId="049B9980" w:rsidR="00197CAE" w:rsidRPr="00DF004C" w:rsidRDefault="00197CAE" w:rsidP="00197CAE">
      <w:pPr>
        <w:pStyle w:val="Heading1"/>
        <w:numPr>
          <w:ilvl w:val="0"/>
          <w:numId w:val="40"/>
        </w:numPr>
      </w:pPr>
      <w:bookmarkStart w:id="0" w:name="_Toc56141153"/>
      <w:bookmarkStart w:id="1" w:name="_Toc57803209"/>
      <w:bookmarkStart w:id="2" w:name="_Toc215561202"/>
      <w:r w:rsidRPr="00DF004C">
        <w:lastRenderedPageBreak/>
        <w:t>Introduction</w:t>
      </w:r>
      <w:bookmarkEnd w:id="0"/>
      <w:bookmarkEnd w:id="1"/>
    </w:p>
    <w:p w14:paraId="21EB1A57" w14:textId="77777777" w:rsidR="00197CAE" w:rsidRPr="00DF004C" w:rsidRDefault="00197CAE" w:rsidP="00F9325A">
      <w:pPr>
        <w:pStyle w:val="Heading2"/>
        <w:numPr>
          <w:ilvl w:val="0"/>
          <w:numId w:val="41"/>
        </w:numPr>
        <w:spacing w:before="240"/>
      </w:pPr>
      <w:bookmarkStart w:id="3" w:name="_Toc56141154"/>
      <w:bookmarkStart w:id="4" w:name="_Toc57803210"/>
      <w:r w:rsidRPr="00DF004C">
        <w:t>Purpose</w:t>
      </w:r>
      <w:bookmarkEnd w:id="3"/>
      <w:bookmarkEnd w:id="4"/>
    </w:p>
    <w:p w14:paraId="535E4A9E" w14:textId="77777777" w:rsidR="00197CAE" w:rsidRPr="00DF004C" w:rsidRDefault="00197CAE" w:rsidP="009F300F">
      <w:pPr>
        <w:pStyle w:val="BodyText"/>
      </w:pPr>
      <w:r w:rsidRPr="00DF004C">
        <w:t xml:space="preserve">This guidance has been developed to help local authorities understand and interpret the provisions for evidence-based decision-making in subpart 3 of the National Policy Statement on Urban Development (NPS-UD). This document should be read with the </w:t>
      </w:r>
      <w:hyperlink r:id="rId18" w:history="1">
        <w:r w:rsidRPr="00DF004C">
          <w:rPr>
            <w:rStyle w:val="Hyperlink"/>
          </w:rPr>
          <w:t>guidance produced for evidence and monitoring</w:t>
        </w:r>
      </w:hyperlink>
      <w:r w:rsidRPr="00DF004C">
        <w:t xml:space="preserve"> under the </w:t>
      </w:r>
      <w:hyperlink r:id="rId19" w:history="1">
        <w:r w:rsidRPr="00DF004C">
          <w:rPr>
            <w:rStyle w:val="Hyperlink"/>
          </w:rPr>
          <w:t>previous National Policy Statement on Urban Development Capacity 2016</w:t>
        </w:r>
      </w:hyperlink>
      <w:r w:rsidRPr="00DF004C">
        <w:t xml:space="preserve"> (NPS-UDC), as the focus of this document is on new or amended requirements not contained in the NPS-UDC. This document contains further explanations and examples of good practice to assist local authorities in implementing subpart 3.</w:t>
      </w:r>
    </w:p>
    <w:p w14:paraId="63616AC6" w14:textId="77777777" w:rsidR="00197CAE" w:rsidRPr="00DF004C" w:rsidRDefault="00197CAE" w:rsidP="002932BE">
      <w:pPr>
        <w:pStyle w:val="BodyText"/>
      </w:pPr>
      <w:r w:rsidRPr="00DF004C">
        <w:t xml:space="preserve">Additional support is available when implementing evidence-based decision-making, including: </w:t>
      </w:r>
    </w:p>
    <w:p w14:paraId="2B4A0825" w14:textId="77777777" w:rsidR="00197CAE" w:rsidRPr="00DF004C" w:rsidRDefault="00197CAE" w:rsidP="002932BE">
      <w:pPr>
        <w:pStyle w:val="Bullet"/>
      </w:pPr>
      <w:r w:rsidRPr="00DF004C">
        <w:t xml:space="preserve">a </w:t>
      </w:r>
      <w:hyperlink r:id="rId20" w:history="1">
        <w:r w:rsidRPr="00DF004C">
          <w:rPr>
            <w:rStyle w:val="Hyperlink"/>
          </w:rPr>
          <w:t>fact sheet</w:t>
        </w:r>
      </w:hyperlink>
      <w:r w:rsidRPr="00DF004C">
        <w:t xml:space="preserve"> containing information evidence-based decision-making policies,</w:t>
      </w:r>
    </w:p>
    <w:p w14:paraId="52274197" w14:textId="6385DC4C" w:rsidR="00197CAE" w:rsidRPr="00DF004C" w:rsidRDefault="00197CAE" w:rsidP="002932BE">
      <w:pPr>
        <w:pStyle w:val="Bullet"/>
      </w:pPr>
      <w:r w:rsidRPr="00DF004C">
        <w:t xml:space="preserve">updated </w:t>
      </w:r>
      <w:hyperlink r:id="rId21" w:history="1">
        <w:r w:rsidRPr="00EE04FD">
          <w:rPr>
            <w:rStyle w:val="Hyperlink"/>
          </w:rPr>
          <w:t>guidance for Housing and Business Development Capacity Assessments</w:t>
        </w:r>
        <w:r w:rsidRPr="00EE04FD" w:rsidDel="00D83E40">
          <w:rPr>
            <w:rStyle w:val="Hyperlink"/>
          </w:rPr>
          <w:t xml:space="preserve"> </w:t>
        </w:r>
        <w:r w:rsidRPr="00EE04FD">
          <w:rPr>
            <w:rStyle w:val="Hyperlink"/>
          </w:rPr>
          <w:t>(HBAs) under the NPS-UD</w:t>
        </w:r>
      </w:hyperlink>
      <w:r w:rsidRPr="00DF004C">
        <w:t>, which will be published at the same time as this document, and</w:t>
      </w:r>
    </w:p>
    <w:p w14:paraId="470C2901" w14:textId="77777777" w:rsidR="00197CAE" w:rsidRPr="00DF004C" w:rsidRDefault="00197CAE" w:rsidP="002932BE">
      <w:pPr>
        <w:pStyle w:val="Bullet"/>
      </w:pPr>
      <w:r w:rsidRPr="00DF004C">
        <w:t xml:space="preserve">an </w:t>
      </w:r>
      <w:hyperlink r:id="rId22" w:history="1">
        <w:r w:rsidRPr="00DF004C">
          <w:rPr>
            <w:rStyle w:val="Hyperlink"/>
          </w:rPr>
          <w:t>interactive online dashboard</w:t>
        </w:r>
      </w:hyperlink>
      <w:r w:rsidRPr="00DF004C">
        <w:t xml:space="preserve"> of housing market data and indicators.</w:t>
      </w:r>
    </w:p>
    <w:p w14:paraId="388DDB76" w14:textId="6BAD1638" w:rsidR="00197CAE" w:rsidRPr="00DF004C" w:rsidRDefault="00197CAE" w:rsidP="001F0969">
      <w:pPr>
        <w:pStyle w:val="Heading3"/>
      </w:pPr>
      <w:bookmarkStart w:id="5" w:name="_Toc56141155"/>
      <w:r w:rsidRPr="00DF004C">
        <w:t xml:space="preserve">1.1.1 </w:t>
      </w:r>
      <w:r w:rsidR="001F0969" w:rsidRPr="00DF004C">
        <w:tab/>
      </w:r>
      <w:r w:rsidRPr="00DF004C">
        <w:t>Key changes from the NPS-UDC</w:t>
      </w:r>
      <w:bookmarkEnd w:id="5"/>
    </w:p>
    <w:p w14:paraId="7884AA36" w14:textId="14B5F544" w:rsidR="00796A6F" w:rsidRPr="00DF004C" w:rsidRDefault="00197CAE" w:rsidP="00011EC7">
      <w:pPr>
        <w:pStyle w:val="BodyText"/>
      </w:pPr>
      <w:r w:rsidRPr="00DF004C">
        <w:t>The new or amended requirements for the NPS-UD, and the reasons for change, are shown in</w:t>
      </w:r>
      <w:r w:rsidR="00011EC7" w:rsidRPr="00DF004C">
        <w:t> </w:t>
      </w:r>
      <w:r w:rsidR="00EE04FD">
        <w:t>T</w:t>
      </w:r>
      <w:r w:rsidRPr="00DF004C">
        <w:t>able 1. These changes will produce a more robust and frequently updated evidence base to</w:t>
      </w:r>
      <w:r w:rsidR="00011EC7" w:rsidRPr="00DF004C">
        <w:t> </w:t>
      </w:r>
      <w:r w:rsidRPr="00DF004C">
        <w:t>inform “planning decisions by any local authority that affect an urban environment.” (NPS</w:t>
      </w:r>
      <w:r w:rsidR="00011EC7" w:rsidRPr="00DF004C">
        <w:noBreakHyphen/>
      </w:r>
      <w:r w:rsidRPr="00DF004C">
        <w:t>UD</w:t>
      </w:r>
      <w:r w:rsidR="00011EC7" w:rsidRPr="00DF004C">
        <w:t> </w:t>
      </w:r>
      <w:r w:rsidRPr="00DF004C">
        <w:t>Part 1: Preliminary provisions 1.3(1)(b)).</w:t>
      </w:r>
    </w:p>
    <w:p w14:paraId="0E1BCE33" w14:textId="11162B71" w:rsidR="00011EC7" w:rsidRPr="00DF004C" w:rsidRDefault="007C6846" w:rsidP="007C6846">
      <w:pPr>
        <w:pStyle w:val="Tableheading"/>
      </w:pPr>
      <w:bookmarkStart w:id="6" w:name="_Toc57644945"/>
      <w:r w:rsidRPr="00DF004C">
        <w:t>Table 1:</w:t>
      </w:r>
      <w:r w:rsidRPr="00DF004C">
        <w:tab/>
        <w:t>New or updated requirements under the NPS-UD</w:t>
      </w:r>
      <w:bookmarkEnd w:id="6"/>
    </w:p>
    <w:tbl>
      <w:tblPr>
        <w:tblStyle w:val="TableGrid"/>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361"/>
        <w:gridCol w:w="3572"/>
        <w:gridCol w:w="3572"/>
      </w:tblGrid>
      <w:tr w:rsidR="00281D7B" w:rsidRPr="00DF004C" w14:paraId="72697F17" w14:textId="77777777" w:rsidTr="006A1669">
        <w:trPr>
          <w:tblHeader/>
        </w:trPr>
        <w:tc>
          <w:tcPr>
            <w:tcW w:w="1361" w:type="dxa"/>
            <w:shd w:val="clear" w:color="auto" w:fill="1C556C" w:themeFill="accent1"/>
          </w:tcPr>
          <w:p w14:paraId="5FA7694B" w14:textId="77777777" w:rsidR="00281D7B" w:rsidRPr="00DF004C" w:rsidRDefault="00281D7B" w:rsidP="005771BB">
            <w:pPr>
              <w:pStyle w:val="TableTextbold"/>
              <w:rPr>
                <w:color w:val="FFFFFF" w:themeColor="background1"/>
              </w:rPr>
            </w:pPr>
            <w:r w:rsidRPr="00DF004C">
              <w:rPr>
                <w:color w:val="FFFFFF" w:themeColor="background1"/>
              </w:rPr>
              <w:t>NPS-UD clause</w:t>
            </w:r>
          </w:p>
        </w:tc>
        <w:tc>
          <w:tcPr>
            <w:tcW w:w="3572" w:type="dxa"/>
            <w:shd w:val="clear" w:color="auto" w:fill="1C556C" w:themeFill="accent1"/>
            <w:hideMark/>
          </w:tcPr>
          <w:p w14:paraId="347F47C6" w14:textId="77777777" w:rsidR="00281D7B" w:rsidRPr="00DF004C" w:rsidRDefault="00281D7B" w:rsidP="005771BB">
            <w:pPr>
              <w:pStyle w:val="TableTextbold"/>
              <w:rPr>
                <w:color w:val="FFFFFF" w:themeColor="background1"/>
              </w:rPr>
            </w:pPr>
            <w:r w:rsidRPr="00DF004C">
              <w:rPr>
                <w:color w:val="FFFFFF" w:themeColor="background1"/>
              </w:rPr>
              <w:t>Description of requirement</w:t>
            </w:r>
          </w:p>
        </w:tc>
        <w:tc>
          <w:tcPr>
            <w:tcW w:w="3572" w:type="dxa"/>
            <w:shd w:val="clear" w:color="auto" w:fill="1C556C" w:themeFill="accent1"/>
          </w:tcPr>
          <w:p w14:paraId="11F1557E" w14:textId="77777777" w:rsidR="00281D7B" w:rsidRPr="00DF004C" w:rsidRDefault="00281D7B" w:rsidP="005771BB">
            <w:pPr>
              <w:pStyle w:val="TableTextbold"/>
              <w:rPr>
                <w:color w:val="FFFFFF" w:themeColor="background1"/>
              </w:rPr>
            </w:pPr>
            <w:r w:rsidRPr="00DF004C">
              <w:rPr>
                <w:color w:val="FFFFFF" w:themeColor="background1"/>
              </w:rPr>
              <w:t>Reason for change</w:t>
            </w:r>
          </w:p>
        </w:tc>
      </w:tr>
      <w:tr w:rsidR="00281D7B" w:rsidRPr="00DF004C" w14:paraId="330706AB" w14:textId="77777777" w:rsidTr="006A1669">
        <w:tc>
          <w:tcPr>
            <w:tcW w:w="1361" w:type="dxa"/>
            <w:tcBorders>
              <w:bottom w:val="single" w:sz="4" w:space="0" w:color="1C556C" w:themeColor="accent1"/>
            </w:tcBorders>
            <w:shd w:val="clear" w:color="auto" w:fill="auto"/>
          </w:tcPr>
          <w:p w14:paraId="543D77A9" w14:textId="77777777" w:rsidR="00281D7B" w:rsidRPr="00EE04FD" w:rsidRDefault="00281D7B" w:rsidP="005771BB">
            <w:pPr>
              <w:pStyle w:val="TableTextbold"/>
              <w:rPr>
                <w:szCs w:val="18"/>
              </w:rPr>
            </w:pPr>
            <w:r w:rsidRPr="00EE04FD">
              <w:rPr>
                <w:bCs/>
                <w:szCs w:val="18"/>
              </w:rPr>
              <w:t>3.9(1)</w:t>
            </w:r>
            <w:r w:rsidRPr="00EE04FD">
              <w:rPr>
                <w:szCs w:val="18"/>
              </w:rPr>
              <w:t xml:space="preserve"> </w:t>
            </w:r>
          </w:p>
        </w:tc>
        <w:tc>
          <w:tcPr>
            <w:tcW w:w="3572" w:type="dxa"/>
            <w:tcBorders>
              <w:bottom w:val="single" w:sz="4" w:space="0" w:color="1C556C" w:themeColor="accent1"/>
            </w:tcBorders>
            <w:shd w:val="clear" w:color="auto" w:fill="auto"/>
          </w:tcPr>
          <w:p w14:paraId="6D24DE7D" w14:textId="47763EEF" w:rsidR="00281D7B" w:rsidRPr="00EE04FD" w:rsidRDefault="00281D7B" w:rsidP="00281D7B">
            <w:pPr>
              <w:pStyle w:val="TableText"/>
              <w:rPr>
                <w:szCs w:val="18"/>
              </w:rPr>
            </w:pPr>
            <w:r w:rsidRPr="00EE04FD">
              <w:rPr>
                <w:szCs w:val="18"/>
              </w:rPr>
              <w:t xml:space="preserve">The indicators to be monitored are less prescriptive. </w:t>
            </w:r>
          </w:p>
        </w:tc>
        <w:tc>
          <w:tcPr>
            <w:tcW w:w="3572" w:type="dxa"/>
            <w:tcBorders>
              <w:bottom w:val="single" w:sz="4" w:space="0" w:color="1C556C" w:themeColor="accent1"/>
            </w:tcBorders>
            <w:shd w:val="clear" w:color="auto" w:fill="auto"/>
          </w:tcPr>
          <w:p w14:paraId="3A78454A" w14:textId="77777777" w:rsidR="00281D7B" w:rsidRPr="00EE04FD" w:rsidRDefault="00281D7B" w:rsidP="005771BB">
            <w:pPr>
              <w:pStyle w:val="TableText"/>
              <w:rPr>
                <w:b/>
                <w:bCs/>
                <w:szCs w:val="18"/>
              </w:rPr>
            </w:pPr>
            <w:r w:rsidRPr="00EE04FD">
              <w:rPr>
                <w:szCs w:val="18"/>
              </w:rPr>
              <w:t>Local authorities now have more options for monitoring indicators based on data availability and area-specific needs.</w:t>
            </w:r>
          </w:p>
        </w:tc>
      </w:tr>
      <w:tr w:rsidR="006A1669" w:rsidRPr="00DF004C" w14:paraId="3BD5AC16" w14:textId="77777777" w:rsidTr="006A1669">
        <w:tc>
          <w:tcPr>
            <w:tcW w:w="1361" w:type="dxa"/>
            <w:shd w:val="clear" w:color="auto" w:fill="D2DDE2" w:themeFill="accent3"/>
          </w:tcPr>
          <w:p w14:paraId="2F979F58" w14:textId="77777777" w:rsidR="00281D7B" w:rsidRPr="00EE04FD" w:rsidRDefault="00281D7B" w:rsidP="005771BB">
            <w:pPr>
              <w:pStyle w:val="TableTextbold"/>
              <w:rPr>
                <w:szCs w:val="18"/>
              </w:rPr>
            </w:pPr>
            <w:r w:rsidRPr="00EE04FD">
              <w:rPr>
                <w:bCs/>
                <w:szCs w:val="18"/>
              </w:rPr>
              <w:t>3.9(1)</w:t>
            </w:r>
          </w:p>
        </w:tc>
        <w:tc>
          <w:tcPr>
            <w:tcW w:w="3572" w:type="dxa"/>
            <w:shd w:val="clear" w:color="auto" w:fill="D2DDE2" w:themeFill="accent3"/>
            <w:hideMark/>
          </w:tcPr>
          <w:p w14:paraId="66C8C8E9" w14:textId="77777777" w:rsidR="00281D7B" w:rsidRPr="00EE04FD" w:rsidRDefault="00281D7B" w:rsidP="005771BB">
            <w:pPr>
              <w:pStyle w:val="TableText"/>
              <w:rPr>
                <w:szCs w:val="18"/>
              </w:rPr>
            </w:pPr>
            <w:r w:rsidRPr="00EE04FD">
              <w:rPr>
                <w:szCs w:val="18"/>
              </w:rPr>
              <w:t xml:space="preserve">Tier 3 local authorities are required to undertake monitoring. </w:t>
            </w:r>
          </w:p>
        </w:tc>
        <w:tc>
          <w:tcPr>
            <w:tcW w:w="3572" w:type="dxa"/>
            <w:shd w:val="clear" w:color="auto" w:fill="D2DDE2" w:themeFill="accent3"/>
          </w:tcPr>
          <w:p w14:paraId="3FD07999" w14:textId="77777777" w:rsidR="00281D7B" w:rsidRPr="00EE04FD" w:rsidRDefault="00281D7B" w:rsidP="005771BB">
            <w:pPr>
              <w:pStyle w:val="TableText"/>
              <w:rPr>
                <w:b/>
                <w:bCs/>
                <w:szCs w:val="18"/>
              </w:rPr>
            </w:pPr>
            <w:r w:rsidRPr="00EE04FD">
              <w:rPr>
                <w:szCs w:val="18"/>
              </w:rPr>
              <w:t xml:space="preserve">Tier 3 urban character environments can also benefit from the insights the monitoring requirements </w:t>
            </w:r>
            <w:r w:rsidRPr="00EE04FD">
              <w:rPr>
                <w:color w:val="000000" w:themeColor="text1"/>
                <w:szCs w:val="18"/>
              </w:rPr>
              <w:t>provide.</w:t>
            </w:r>
          </w:p>
        </w:tc>
      </w:tr>
      <w:tr w:rsidR="00281D7B" w:rsidRPr="00DF004C" w14:paraId="372B306E" w14:textId="77777777" w:rsidTr="006A1669">
        <w:tc>
          <w:tcPr>
            <w:tcW w:w="1361" w:type="dxa"/>
            <w:tcBorders>
              <w:bottom w:val="single" w:sz="4" w:space="0" w:color="1C556C" w:themeColor="accent1"/>
            </w:tcBorders>
            <w:shd w:val="clear" w:color="auto" w:fill="auto"/>
          </w:tcPr>
          <w:p w14:paraId="0F37A91A" w14:textId="77777777" w:rsidR="00281D7B" w:rsidRPr="00EE04FD" w:rsidRDefault="00281D7B" w:rsidP="005771BB">
            <w:pPr>
              <w:pStyle w:val="TableTextbold"/>
              <w:rPr>
                <w:szCs w:val="18"/>
              </w:rPr>
            </w:pPr>
            <w:r w:rsidRPr="00EE04FD">
              <w:rPr>
                <w:bCs/>
                <w:szCs w:val="18"/>
              </w:rPr>
              <w:t>3.9(1) &amp; 3.9(3)</w:t>
            </w:r>
          </w:p>
        </w:tc>
        <w:tc>
          <w:tcPr>
            <w:tcW w:w="3572" w:type="dxa"/>
            <w:tcBorders>
              <w:bottom w:val="single" w:sz="4" w:space="0" w:color="1C556C" w:themeColor="accent1"/>
            </w:tcBorders>
            <w:shd w:val="clear" w:color="auto" w:fill="auto"/>
            <w:hideMark/>
          </w:tcPr>
          <w:p w14:paraId="655F0D81" w14:textId="3CF07145" w:rsidR="00281D7B" w:rsidRPr="00EE04FD" w:rsidRDefault="00281D7B" w:rsidP="005771BB">
            <w:pPr>
              <w:pStyle w:val="TableText"/>
              <w:rPr>
                <w:szCs w:val="18"/>
              </w:rPr>
            </w:pPr>
            <w:r w:rsidRPr="00EE04FD">
              <w:rPr>
                <w:szCs w:val="18"/>
              </w:rPr>
              <w:t>More information provided to detail the requirements for quarterly monitoring and annual publishing.</w:t>
            </w:r>
          </w:p>
        </w:tc>
        <w:tc>
          <w:tcPr>
            <w:tcW w:w="3572" w:type="dxa"/>
            <w:tcBorders>
              <w:bottom w:val="single" w:sz="4" w:space="0" w:color="1C556C" w:themeColor="accent1"/>
            </w:tcBorders>
            <w:shd w:val="clear" w:color="auto" w:fill="auto"/>
          </w:tcPr>
          <w:p w14:paraId="0A95FD83" w14:textId="77777777" w:rsidR="00281D7B" w:rsidRPr="00EE04FD" w:rsidRDefault="00281D7B" w:rsidP="005771BB">
            <w:pPr>
              <w:pStyle w:val="TableText"/>
              <w:rPr>
                <w:b/>
                <w:bCs/>
                <w:szCs w:val="18"/>
              </w:rPr>
            </w:pPr>
            <w:r w:rsidRPr="00EE04FD">
              <w:rPr>
                <w:szCs w:val="18"/>
              </w:rPr>
              <w:t>Reporting will be useful for keeping the authority up to date, while keeping stakeholders and the wider public aware of changes to import trends.</w:t>
            </w:r>
          </w:p>
        </w:tc>
      </w:tr>
      <w:tr w:rsidR="006A1669" w:rsidRPr="00DF004C" w14:paraId="39D355C5" w14:textId="77777777" w:rsidTr="006A1669">
        <w:tc>
          <w:tcPr>
            <w:tcW w:w="1361" w:type="dxa"/>
            <w:shd w:val="clear" w:color="auto" w:fill="D2DDE2" w:themeFill="accent3"/>
          </w:tcPr>
          <w:p w14:paraId="0EEDBB63" w14:textId="77777777" w:rsidR="00281D7B" w:rsidRPr="00EE04FD" w:rsidRDefault="00281D7B" w:rsidP="005771BB">
            <w:pPr>
              <w:pStyle w:val="TableTextbold"/>
              <w:rPr>
                <w:szCs w:val="18"/>
              </w:rPr>
            </w:pPr>
            <w:r w:rsidRPr="00EE04FD">
              <w:rPr>
                <w:bCs/>
                <w:szCs w:val="18"/>
              </w:rPr>
              <w:t>3.9(1)</w:t>
            </w:r>
          </w:p>
        </w:tc>
        <w:tc>
          <w:tcPr>
            <w:tcW w:w="3572" w:type="dxa"/>
            <w:shd w:val="clear" w:color="auto" w:fill="D2DDE2" w:themeFill="accent3"/>
          </w:tcPr>
          <w:p w14:paraId="513A8D1F" w14:textId="77777777" w:rsidR="00281D7B" w:rsidRPr="00EE04FD" w:rsidRDefault="00281D7B" w:rsidP="005771BB">
            <w:pPr>
              <w:pStyle w:val="TableText"/>
              <w:rPr>
                <w:szCs w:val="18"/>
              </w:rPr>
            </w:pPr>
            <w:r w:rsidRPr="00EE04FD">
              <w:rPr>
                <w:szCs w:val="18"/>
              </w:rPr>
              <w:t>All local authorities must monitor the proportion of development capacity that has been realised in previously urbanised and undeveloped areas.</w:t>
            </w:r>
          </w:p>
        </w:tc>
        <w:tc>
          <w:tcPr>
            <w:tcW w:w="3572" w:type="dxa"/>
            <w:shd w:val="clear" w:color="auto" w:fill="D2DDE2" w:themeFill="accent3"/>
          </w:tcPr>
          <w:p w14:paraId="3CE1B46C" w14:textId="1FF09955" w:rsidR="00281D7B" w:rsidRPr="00EE04FD" w:rsidRDefault="00281D7B" w:rsidP="005771BB">
            <w:pPr>
              <w:pStyle w:val="TableText"/>
              <w:rPr>
                <w:szCs w:val="18"/>
              </w:rPr>
            </w:pPr>
            <w:r w:rsidRPr="00EE04FD">
              <w:rPr>
                <w:szCs w:val="18"/>
              </w:rPr>
              <w:t xml:space="preserve">To help forecast the development capacity that will be realised. </w:t>
            </w:r>
          </w:p>
        </w:tc>
      </w:tr>
      <w:tr w:rsidR="00281D7B" w:rsidRPr="00DF004C" w14:paraId="4D531C31" w14:textId="77777777" w:rsidTr="006A1669">
        <w:tc>
          <w:tcPr>
            <w:tcW w:w="1361" w:type="dxa"/>
            <w:tcBorders>
              <w:bottom w:val="single" w:sz="4" w:space="0" w:color="1C556C" w:themeColor="accent1"/>
            </w:tcBorders>
            <w:shd w:val="clear" w:color="auto" w:fill="auto"/>
          </w:tcPr>
          <w:p w14:paraId="7B8E4BCB" w14:textId="77777777" w:rsidR="00281D7B" w:rsidRPr="00EE04FD" w:rsidRDefault="00281D7B" w:rsidP="005771BB">
            <w:pPr>
              <w:pStyle w:val="TableTextbold"/>
              <w:rPr>
                <w:bCs/>
                <w:szCs w:val="18"/>
              </w:rPr>
            </w:pPr>
            <w:r w:rsidRPr="00EE04FD">
              <w:rPr>
                <w:bCs/>
                <w:szCs w:val="18"/>
              </w:rPr>
              <w:t>3.9(2)</w:t>
            </w:r>
          </w:p>
        </w:tc>
        <w:tc>
          <w:tcPr>
            <w:tcW w:w="3572" w:type="dxa"/>
            <w:tcBorders>
              <w:bottom w:val="single" w:sz="4" w:space="0" w:color="1C556C" w:themeColor="accent1"/>
            </w:tcBorders>
            <w:shd w:val="clear" w:color="auto" w:fill="auto"/>
          </w:tcPr>
          <w:p w14:paraId="1CFE93CC" w14:textId="77777777" w:rsidR="00281D7B" w:rsidRPr="00EE04FD" w:rsidRDefault="00281D7B" w:rsidP="005771BB">
            <w:pPr>
              <w:pStyle w:val="TableText"/>
              <w:rPr>
                <w:b/>
                <w:bCs/>
                <w:szCs w:val="18"/>
              </w:rPr>
            </w:pPr>
            <w:r w:rsidRPr="00EE04FD">
              <w:rPr>
                <w:szCs w:val="18"/>
              </w:rPr>
              <w:t>Tier 1 local authorities must monitor the proportion of development capacity realised in certain zones within tier 1 urban environments.</w:t>
            </w:r>
          </w:p>
        </w:tc>
        <w:tc>
          <w:tcPr>
            <w:tcW w:w="3572" w:type="dxa"/>
            <w:tcBorders>
              <w:bottom w:val="single" w:sz="4" w:space="0" w:color="1C556C" w:themeColor="accent1"/>
            </w:tcBorders>
            <w:shd w:val="clear" w:color="auto" w:fill="auto"/>
          </w:tcPr>
          <w:p w14:paraId="6D78C60F" w14:textId="724AF9DF" w:rsidR="00281D7B" w:rsidRPr="00EE04FD" w:rsidRDefault="00281D7B" w:rsidP="005771BB">
            <w:pPr>
              <w:pStyle w:val="TableText"/>
              <w:rPr>
                <w:b/>
                <w:bCs/>
                <w:szCs w:val="18"/>
              </w:rPr>
            </w:pPr>
            <w:r w:rsidRPr="00EE04FD">
              <w:rPr>
                <w:szCs w:val="18"/>
              </w:rPr>
              <w:t>To check the effectiveness of development capacity policies, and prompt further investigation if development aims are</w:t>
            </w:r>
            <w:r w:rsidR="00076000" w:rsidRPr="00EE04FD">
              <w:rPr>
                <w:szCs w:val="18"/>
              </w:rPr>
              <w:t xml:space="preserve"> not</w:t>
            </w:r>
            <w:r w:rsidRPr="00EE04FD">
              <w:rPr>
                <w:szCs w:val="18"/>
              </w:rPr>
              <w:t xml:space="preserve"> being met.</w:t>
            </w:r>
          </w:p>
        </w:tc>
      </w:tr>
      <w:tr w:rsidR="006A1669" w:rsidRPr="00DF004C" w14:paraId="672F6077" w14:textId="77777777" w:rsidTr="006A1669">
        <w:tc>
          <w:tcPr>
            <w:tcW w:w="1361" w:type="dxa"/>
            <w:shd w:val="clear" w:color="auto" w:fill="D2DDE2" w:themeFill="accent3"/>
          </w:tcPr>
          <w:p w14:paraId="086D6FA0" w14:textId="77777777" w:rsidR="00281D7B" w:rsidRPr="00EE04FD" w:rsidRDefault="00281D7B" w:rsidP="00AA3E8D">
            <w:pPr>
              <w:pStyle w:val="TableTextbold"/>
              <w:keepNext/>
              <w:rPr>
                <w:szCs w:val="18"/>
              </w:rPr>
            </w:pPr>
            <w:r w:rsidRPr="00EE04FD">
              <w:rPr>
                <w:bCs/>
                <w:szCs w:val="18"/>
              </w:rPr>
              <w:lastRenderedPageBreak/>
              <w:t>3.10(1)</w:t>
            </w:r>
          </w:p>
        </w:tc>
        <w:tc>
          <w:tcPr>
            <w:tcW w:w="3572" w:type="dxa"/>
            <w:shd w:val="clear" w:color="auto" w:fill="D2DDE2" w:themeFill="accent3"/>
          </w:tcPr>
          <w:p w14:paraId="69600F36" w14:textId="77777777" w:rsidR="00281D7B" w:rsidRPr="00EE04FD" w:rsidRDefault="00281D7B" w:rsidP="00AA3E8D">
            <w:pPr>
              <w:pStyle w:val="TableText"/>
              <w:keepNext/>
              <w:rPr>
                <w:szCs w:val="18"/>
              </w:rPr>
            </w:pPr>
            <w:r w:rsidRPr="00EE04FD">
              <w:rPr>
                <w:szCs w:val="18"/>
              </w:rPr>
              <w:t>Requirements to assess demand and development capacity extended to tier 3 local authorities.</w:t>
            </w:r>
          </w:p>
        </w:tc>
        <w:tc>
          <w:tcPr>
            <w:tcW w:w="3572" w:type="dxa"/>
            <w:shd w:val="clear" w:color="auto" w:fill="D2DDE2" w:themeFill="accent3"/>
          </w:tcPr>
          <w:p w14:paraId="25346C67" w14:textId="77777777" w:rsidR="00281D7B" w:rsidRPr="00EE04FD" w:rsidRDefault="00281D7B" w:rsidP="00AA3E8D">
            <w:pPr>
              <w:pStyle w:val="TableText"/>
              <w:keepNext/>
              <w:rPr>
                <w:szCs w:val="18"/>
              </w:rPr>
            </w:pPr>
            <w:r w:rsidRPr="00EE04FD">
              <w:rPr>
                <w:szCs w:val="18"/>
              </w:rPr>
              <w:t>To promote evidence-based decision-making, sufficient development capacity, and well-functioning urban environments in all urban environments.</w:t>
            </w:r>
          </w:p>
        </w:tc>
      </w:tr>
      <w:tr w:rsidR="00281D7B" w:rsidRPr="00DF004C" w14:paraId="3F809567" w14:textId="77777777" w:rsidTr="006A1669">
        <w:tc>
          <w:tcPr>
            <w:tcW w:w="1361" w:type="dxa"/>
            <w:shd w:val="clear" w:color="auto" w:fill="auto"/>
          </w:tcPr>
          <w:p w14:paraId="1F94A626" w14:textId="77777777" w:rsidR="00281D7B" w:rsidRPr="00EE04FD" w:rsidRDefault="00281D7B" w:rsidP="005771BB">
            <w:pPr>
              <w:pStyle w:val="TableTextbold"/>
              <w:rPr>
                <w:szCs w:val="18"/>
              </w:rPr>
            </w:pPr>
            <w:r w:rsidRPr="00EE04FD">
              <w:rPr>
                <w:szCs w:val="18"/>
              </w:rPr>
              <w:t>3.11</w:t>
            </w:r>
          </w:p>
        </w:tc>
        <w:tc>
          <w:tcPr>
            <w:tcW w:w="3572" w:type="dxa"/>
            <w:shd w:val="clear" w:color="auto" w:fill="auto"/>
            <w:hideMark/>
          </w:tcPr>
          <w:p w14:paraId="24B6CF61" w14:textId="77777777" w:rsidR="00281D7B" w:rsidRPr="00EE04FD" w:rsidRDefault="00281D7B" w:rsidP="005771BB">
            <w:pPr>
              <w:pStyle w:val="TableText"/>
              <w:rPr>
                <w:szCs w:val="18"/>
              </w:rPr>
            </w:pPr>
            <w:r w:rsidRPr="00EE04FD">
              <w:rPr>
                <w:szCs w:val="18"/>
              </w:rPr>
              <w:t>When making or changing plans, evidence from monitoring and HBAs must be used to analyse the impacts on urban development.</w:t>
            </w:r>
          </w:p>
        </w:tc>
        <w:tc>
          <w:tcPr>
            <w:tcW w:w="3572" w:type="dxa"/>
            <w:shd w:val="clear" w:color="auto" w:fill="auto"/>
          </w:tcPr>
          <w:p w14:paraId="143E9255" w14:textId="77777777" w:rsidR="00281D7B" w:rsidRPr="00EE04FD" w:rsidRDefault="00281D7B" w:rsidP="005771BB">
            <w:pPr>
              <w:pStyle w:val="TableText"/>
              <w:rPr>
                <w:b/>
                <w:szCs w:val="18"/>
              </w:rPr>
            </w:pPr>
            <w:r w:rsidRPr="00EE04FD">
              <w:rPr>
                <w:szCs w:val="18"/>
              </w:rPr>
              <w:t xml:space="preserve">This is to directly integrate the evidence base into plans and plan changes. </w:t>
            </w:r>
          </w:p>
        </w:tc>
      </w:tr>
    </w:tbl>
    <w:p w14:paraId="21838025" w14:textId="77777777" w:rsidR="005022A5" w:rsidRPr="00DF004C" w:rsidRDefault="005022A5" w:rsidP="00443BCB">
      <w:pPr>
        <w:pStyle w:val="Heading2"/>
        <w:numPr>
          <w:ilvl w:val="0"/>
          <w:numId w:val="41"/>
        </w:numPr>
        <w:spacing w:before="480"/>
      </w:pPr>
      <w:bookmarkStart w:id="7" w:name="_Toc56141156"/>
      <w:bookmarkStart w:id="8" w:name="_Toc57803211"/>
      <w:r w:rsidRPr="00DF004C">
        <w:t>Scope</w:t>
      </w:r>
      <w:bookmarkEnd w:id="7"/>
      <w:bookmarkEnd w:id="8"/>
    </w:p>
    <w:p w14:paraId="4CD7C6A2" w14:textId="77777777" w:rsidR="005022A5" w:rsidRPr="00DF004C" w:rsidRDefault="005022A5" w:rsidP="001F0969">
      <w:pPr>
        <w:pStyle w:val="BodyText"/>
      </w:pPr>
      <w:r w:rsidRPr="00DF004C">
        <w:t>This guidance covers:</w:t>
      </w:r>
    </w:p>
    <w:p w14:paraId="0CEC21BA" w14:textId="094ED67E" w:rsidR="005022A5" w:rsidRPr="00DF004C" w:rsidRDefault="005022A5" w:rsidP="001F0969">
      <w:pPr>
        <w:pStyle w:val="Bullet"/>
      </w:pPr>
      <w:r w:rsidRPr="00DF004C">
        <w:t>the overarching objectives and policies informing evidence-based decision-making in the</w:t>
      </w:r>
      <w:r w:rsidR="0098709A" w:rsidRPr="00DF004C">
        <w:t> </w:t>
      </w:r>
      <w:r w:rsidRPr="00DF004C">
        <w:t>NPS-UD</w:t>
      </w:r>
    </w:p>
    <w:p w14:paraId="59D68D1F" w14:textId="77777777" w:rsidR="005022A5" w:rsidRPr="00DF004C" w:rsidRDefault="005022A5" w:rsidP="001F0969">
      <w:pPr>
        <w:pStyle w:val="Bullet"/>
      </w:pPr>
      <w:r w:rsidRPr="00DF004C">
        <w:t>the key changes from the NPS-UDC to the NPS-UD</w:t>
      </w:r>
    </w:p>
    <w:p w14:paraId="16F0D314" w14:textId="77777777" w:rsidR="005022A5" w:rsidRPr="00DF004C" w:rsidRDefault="005022A5" w:rsidP="001F0969">
      <w:pPr>
        <w:pStyle w:val="Bullet"/>
        <w:rPr>
          <w:sz w:val="20"/>
          <w:szCs w:val="22"/>
        </w:rPr>
      </w:pPr>
      <w:r w:rsidRPr="00DF004C">
        <w:t>further details on subpart 3 policies 3.9 to 3.11</w:t>
      </w:r>
      <w:r w:rsidRPr="00DF004C">
        <w:rPr>
          <w:sz w:val="20"/>
          <w:szCs w:val="22"/>
        </w:rPr>
        <w:t>.</w:t>
      </w:r>
    </w:p>
    <w:p w14:paraId="012B33EE" w14:textId="4F5A4853" w:rsidR="005022A5" w:rsidRPr="00DF004C" w:rsidRDefault="005022A5" w:rsidP="001F0969">
      <w:pPr>
        <w:pStyle w:val="Heading2"/>
        <w:numPr>
          <w:ilvl w:val="0"/>
          <w:numId w:val="41"/>
        </w:numPr>
      </w:pPr>
      <w:bookmarkStart w:id="9" w:name="_Toc56141157"/>
      <w:bookmarkStart w:id="10" w:name="_Toc57803212"/>
      <w:r w:rsidRPr="00DF004C">
        <w:t>Relevant objectives and policies</w:t>
      </w:r>
      <w:bookmarkEnd w:id="9"/>
      <w:bookmarkEnd w:id="10"/>
    </w:p>
    <w:p w14:paraId="7173ED1A" w14:textId="77777777" w:rsidR="005022A5" w:rsidRPr="00DF004C" w:rsidRDefault="005022A5" w:rsidP="0098709A">
      <w:pPr>
        <w:pStyle w:val="BodyText"/>
      </w:pPr>
      <w:r w:rsidRPr="00DF004C">
        <w:t xml:space="preserve">Every tier 1, 2, and 3 local authority is required to use evidence-based decision-making for urban environments in their region or district, as outlined by subpart 3. This includes what must be monitored, the frequency of monitoring and publishing of monitoring results, and how evidence is used for plans and decision-making. </w:t>
      </w:r>
    </w:p>
    <w:p w14:paraId="075BEEC5" w14:textId="6E4E6178" w:rsidR="005022A5" w:rsidRPr="00DF004C" w:rsidRDefault="005022A5" w:rsidP="003C393A">
      <w:pPr>
        <w:pStyle w:val="BodyText"/>
        <w:spacing w:after="240"/>
      </w:pPr>
      <w:r w:rsidRPr="00DF004C">
        <w:t>The purpose of the evidence-based decision-making is to ensure planning decisions are informed by robust and frequently updated information on urban environments. The most relevant parts of the objectives and policies from the NPS-UD are below.</w:t>
      </w:r>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3C393A" w:rsidRPr="00DF004C" w14:paraId="61C01F5F" w14:textId="77777777" w:rsidTr="005771BB">
        <w:tc>
          <w:tcPr>
            <w:tcW w:w="0" w:type="auto"/>
            <w:shd w:val="clear" w:color="auto" w:fill="D2DDE2"/>
          </w:tcPr>
          <w:p w14:paraId="799EF23E" w14:textId="2B117F42" w:rsidR="003C393A" w:rsidRPr="00DF004C" w:rsidRDefault="003C393A" w:rsidP="00233C4B">
            <w:pPr>
              <w:pStyle w:val="Blueboxtext"/>
              <w:spacing w:before="240" w:after="240"/>
            </w:pPr>
            <w:r w:rsidRPr="00DF004C">
              <w:rPr>
                <w:b/>
                <w:bCs/>
              </w:rPr>
              <w:t>Objective 7:</w:t>
            </w:r>
            <w:r w:rsidRPr="00DF004C">
              <w:t xml:space="preserve"> Local authorities have robust and frequently updated information about their urban environments and use it to inform planning decisions.</w:t>
            </w:r>
          </w:p>
        </w:tc>
      </w:tr>
    </w:tbl>
    <w:p w14:paraId="3E22B276" w14:textId="480569B8" w:rsidR="00233C4B" w:rsidRPr="00DF004C" w:rsidRDefault="00233C4B" w:rsidP="00661E8E"/>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0F50C7" w:rsidRPr="00DF004C" w14:paraId="3264306A" w14:textId="77777777" w:rsidTr="005771BB">
        <w:tc>
          <w:tcPr>
            <w:tcW w:w="0" w:type="auto"/>
            <w:shd w:val="clear" w:color="auto" w:fill="D2DDE2"/>
          </w:tcPr>
          <w:p w14:paraId="1C062442" w14:textId="243C1E09" w:rsidR="000F50C7" w:rsidRPr="00DF004C" w:rsidRDefault="000F50C7" w:rsidP="000F50C7">
            <w:pPr>
              <w:pStyle w:val="Blueboxtext"/>
              <w:spacing w:before="240" w:after="0"/>
            </w:pPr>
            <w:r w:rsidRPr="00DF004C">
              <w:rPr>
                <w:b/>
                <w:bCs/>
              </w:rPr>
              <w:t>Policy 1:</w:t>
            </w:r>
            <w:r w:rsidRPr="00DF004C">
              <w:t xml:space="preserve"> Planning decisions contribute to well-functioning urban environments</w:t>
            </w:r>
            <w:r w:rsidR="00EE04FD">
              <w:t>.</w:t>
            </w:r>
          </w:p>
          <w:p w14:paraId="32A9C6BA" w14:textId="77777777" w:rsidR="000F50C7" w:rsidRPr="00DF004C" w:rsidRDefault="000F50C7" w:rsidP="00331DC1">
            <w:pPr>
              <w:pStyle w:val="Blueboxtext"/>
              <w:spacing w:after="0"/>
            </w:pPr>
            <w:r w:rsidRPr="00DF004C">
              <w:rPr>
                <w:b/>
                <w:bCs/>
              </w:rPr>
              <w:t>Policy 2:</w:t>
            </w:r>
            <w:r w:rsidRPr="00DF004C">
              <w:t xml:space="preserve"> Tier 1, 2, and 3 local authorities, </w:t>
            </w:r>
            <w:proofErr w:type="gramStart"/>
            <w:r w:rsidRPr="00DF004C">
              <w:t>at all times</w:t>
            </w:r>
            <w:proofErr w:type="gramEnd"/>
            <w:r w:rsidRPr="00DF004C">
              <w:t>, provide at least sufficient development capacity to meet expected demand for housing and for business land over the short term, medium term, and long term.</w:t>
            </w:r>
          </w:p>
          <w:p w14:paraId="3639A3BD" w14:textId="77777777" w:rsidR="000F50C7" w:rsidRPr="00DF004C" w:rsidRDefault="000F50C7" w:rsidP="00331DC1">
            <w:pPr>
              <w:pStyle w:val="Blueboxtext"/>
              <w:spacing w:after="0"/>
            </w:pPr>
            <w:r w:rsidRPr="00DF004C">
              <w:rPr>
                <w:b/>
                <w:bCs/>
              </w:rPr>
              <w:t>Policy 6:</w:t>
            </w:r>
            <w:r w:rsidRPr="00DF004C">
              <w:t xml:space="preserve"> When making planning decisions that affect urban environments, decision-makers have </w:t>
            </w:r>
            <w:proofErr w:type="gramStart"/>
            <w:r w:rsidRPr="00DF004C">
              <w:t>particular regard</w:t>
            </w:r>
            <w:proofErr w:type="gramEnd"/>
            <w:r w:rsidRPr="00DF004C">
              <w:t xml:space="preserve"> to the following matters:</w:t>
            </w:r>
          </w:p>
          <w:p w14:paraId="2B2B2CD8" w14:textId="5C4B5F27" w:rsidR="000F50C7" w:rsidRPr="00DF004C" w:rsidRDefault="000F50C7" w:rsidP="00331DC1">
            <w:pPr>
              <w:pStyle w:val="Blueboxtext"/>
              <w:spacing w:after="240"/>
              <w:ind w:left="681" w:hanging="397"/>
            </w:pPr>
            <w:r w:rsidRPr="00DF004C">
              <w:t>(d)</w:t>
            </w:r>
            <w:r w:rsidRPr="00DF004C">
              <w:tab/>
              <w:t>any relevant contribution that will be made to meeting the requirements of this National Policy Statement to provide or realise development capacity</w:t>
            </w:r>
          </w:p>
        </w:tc>
      </w:tr>
    </w:tbl>
    <w:p w14:paraId="4DE1BB92" w14:textId="77777777" w:rsidR="00233C4B" w:rsidRPr="00DF004C" w:rsidRDefault="00233C4B" w:rsidP="00233C4B">
      <w:pPr>
        <w:pStyle w:val="BodyText"/>
      </w:pPr>
    </w:p>
    <w:p w14:paraId="78F8C808" w14:textId="0125B5A9" w:rsidR="009A0091" w:rsidRPr="00DF004C" w:rsidRDefault="009A0091">
      <w:pPr>
        <w:spacing w:before="0" w:after="200" w:line="276" w:lineRule="auto"/>
        <w:jc w:val="left"/>
      </w:pPr>
      <w:r w:rsidRPr="00DF004C">
        <w:br w:type="page"/>
      </w:r>
    </w:p>
    <w:p w14:paraId="34B2DD56" w14:textId="77777777" w:rsidR="00AB1AAD" w:rsidRPr="00DF004C" w:rsidRDefault="00AB1AAD" w:rsidP="00F9325A">
      <w:pPr>
        <w:pStyle w:val="Heading1"/>
        <w:numPr>
          <w:ilvl w:val="0"/>
          <w:numId w:val="40"/>
        </w:numPr>
      </w:pPr>
      <w:bookmarkStart w:id="11" w:name="_Toc56141158"/>
      <w:bookmarkStart w:id="12" w:name="_Toc57803213"/>
      <w:r w:rsidRPr="00DF004C">
        <w:lastRenderedPageBreak/>
        <w:t>Monitoring and publishing requirements (clause 3.9</w:t>
      </w:r>
      <w:bookmarkEnd w:id="11"/>
      <w:r w:rsidRPr="00DF004C">
        <w:t>)</w:t>
      </w:r>
      <w:bookmarkEnd w:id="12"/>
    </w:p>
    <w:p w14:paraId="1EB6CEFE" w14:textId="4241E392" w:rsidR="00233C4B" w:rsidRPr="00DF004C" w:rsidRDefault="00F40060" w:rsidP="009124CF">
      <w:pPr>
        <w:pStyle w:val="BodyText"/>
      </w:pPr>
      <w:r w:rsidRPr="00DF004C">
        <w:t>This section covers the requirement to undertake quarterly monitoring and annual publication of monitoring results. This ensures that local authorities track key indicators outside of the production of Housing and Business Development Capacity Assessments (HBAs) and Future Development Strategies (FDSs), to serve as a source of evidence to continually inform local authorities’ planning and decision-making. The monitoring requirement clause of the National Policy Statement on Urban Development (NPS-UD) is shown below.</w:t>
      </w:r>
    </w:p>
    <w:p w14:paraId="26B18B4A" w14:textId="77777777" w:rsidR="0082243A" w:rsidRPr="00DF004C" w:rsidRDefault="0082243A" w:rsidP="009124CF">
      <w:pPr>
        <w:pStyle w:val="BodyText"/>
        <w:spacing w:after="200"/>
      </w:pPr>
      <w:r w:rsidRPr="00DF004C">
        <w:t xml:space="preserve">The aspects of the urban environment that must be monitored are provided in clauses </w:t>
      </w:r>
      <w:r w:rsidRPr="00DF004C">
        <w:br/>
        <w:t>3.9(1–2). The purpose is to track the key indicators and provide comment and some analysis on what they indicate about housing demand, development trends, and land markets.</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EA039D" w:rsidRPr="00DF004C" w14:paraId="5EDE1E12" w14:textId="77777777" w:rsidTr="008508BB">
        <w:tc>
          <w:tcPr>
            <w:tcW w:w="8505" w:type="dxa"/>
            <w:shd w:val="clear" w:color="auto" w:fill="CFE5E5"/>
          </w:tcPr>
          <w:p w14:paraId="14651039" w14:textId="6FE19E89" w:rsidR="00EA039D" w:rsidRPr="00DF004C" w:rsidRDefault="008508BB" w:rsidP="009124CF">
            <w:pPr>
              <w:pStyle w:val="Greenheading-casestudytables"/>
              <w:keepNext w:val="0"/>
              <w:ind w:left="681" w:hanging="397"/>
            </w:pPr>
            <w:r w:rsidRPr="00DF004C">
              <w:t>3.9</w:t>
            </w:r>
            <w:r w:rsidRPr="00DF004C">
              <w:tab/>
              <w:t>Monitoring requirements</w:t>
            </w:r>
          </w:p>
          <w:p w14:paraId="44603694" w14:textId="77777777" w:rsidR="00EA039D" w:rsidRPr="00DF004C" w:rsidRDefault="008508BB" w:rsidP="009124CF">
            <w:pPr>
              <w:pStyle w:val="Greentext-casestudytables"/>
              <w:spacing w:before="80" w:after="0"/>
              <w:ind w:left="681" w:hanging="397"/>
            </w:pPr>
            <w:r w:rsidRPr="00DF004C">
              <w:t>(1)</w:t>
            </w:r>
            <w:r w:rsidRPr="00DF004C">
              <w:tab/>
              <w:t>Every tier 1, 2, and 3 local authority must monitor, quarterly, the following in relation to each urban environment in their region or district:</w:t>
            </w:r>
          </w:p>
          <w:p w14:paraId="5B657B2F" w14:textId="77777777" w:rsidR="008508BB" w:rsidRPr="00DF004C" w:rsidRDefault="008508BB" w:rsidP="009124CF">
            <w:pPr>
              <w:pStyle w:val="Greentext-casestudytables"/>
              <w:spacing w:before="80" w:after="0"/>
              <w:ind w:left="1077" w:hanging="397"/>
            </w:pPr>
            <w:r w:rsidRPr="00DF004C">
              <w:t>(a)</w:t>
            </w:r>
            <w:r w:rsidRPr="00DF004C">
              <w:tab/>
              <w:t>the demand for dwellings</w:t>
            </w:r>
          </w:p>
          <w:p w14:paraId="5F339B1B" w14:textId="77777777" w:rsidR="008508BB" w:rsidRPr="00DF004C" w:rsidRDefault="008508BB" w:rsidP="009124CF">
            <w:pPr>
              <w:pStyle w:val="Greentext-casestudytables"/>
              <w:spacing w:before="80" w:after="0"/>
              <w:ind w:left="1077" w:hanging="397"/>
            </w:pPr>
            <w:r w:rsidRPr="00DF004C">
              <w:t>(b)</w:t>
            </w:r>
            <w:r w:rsidRPr="00DF004C">
              <w:tab/>
              <w:t>the supply of dwellings</w:t>
            </w:r>
          </w:p>
          <w:p w14:paraId="59D23D43" w14:textId="77777777" w:rsidR="008508BB" w:rsidRPr="00DF004C" w:rsidRDefault="008508BB" w:rsidP="009124CF">
            <w:pPr>
              <w:pStyle w:val="Greentext-casestudytables"/>
              <w:spacing w:before="80" w:after="0"/>
              <w:ind w:left="1077" w:hanging="397"/>
            </w:pPr>
            <w:r w:rsidRPr="00DF004C">
              <w:t>(c)</w:t>
            </w:r>
            <w:r w:rsidRPr="00DF004C">
              <w:tab/>
              <w:t>prices of, and rents for, dwellings</w:t>
            </w:r>
          </w:p>
          <w:p w14:paraId="7185271A" w14:textId="77777777" w:rsidR="008508BB" w:rsidRPr="00DF004C" w:rsidRDefault="008508BB" w:rsidP="009124CF">
            <w:pPr>
              <w:pStyle w:val="Greentext-casestudytables"/>
              <w:spacing w:before="80" w:after="0"/>
              <w:ind w:left="1077" w:hanging="397"/>
            </w:pPr>
            <w:r w:rsidRPr="00DF004C">
              <w:t>(d)</w:t>
            </w:r>
            <w:r w:rsidRPr="00DF004C">
              <w:tab/>
              <w:t>housing affordability</w:t>
            </w:r>
          </w:p>
          <w:p w14:paraId="1C3A02A3" w14:textId="77777777" w:rsidR="008508BB" w:rsidRPr="00DF004C" w:rsidRDefault="008508BB" w:rsidP="009124CF">
            <w:pPr>
              <w:pStyle w:val="Greentext-casestudytables"/>
              <w:spacing w:before="80" w:after="0"/>
              <w:ind w:left="1077" w:hanging="397"/>
            </w:pPr>
            <w:r w:rsidRPr="00DF004C">
              <w:t>(e)</w:t>
            </w:r>
            <w:r w:rsidRPr="00DF004C">
              <w:tab/>
              <w:t>the proportion of housing development capacity that has been realised:</w:t>
            </w:r>
          </w:p>
          <w:p w14:paraId="7883FA28" w14:textId="77777777" w:rsidR="008508BB" w:rsidRPr="00DF004C" w:rsidRDefault="008508BB" w:rsidP="009124CF">
            <w:pPr>
              <w:pStyle w:val="Greentext-casestudytables"/>
              <w:spacing w:before="80" w:after="0"/>
              <w:ind w:left="1474" w:hanging="397"/>
            </w:pPr>
            <w:r w:rsidRPr="00DF004C">
              <w:t>(</w:t>
            </w:r>
            <w:proofErr w:type="spellStart"/>
            <w:r w:rsidRPr="00DF004C">
              <w:t>i</w:t>
            </w:r>
            <w:proofErr w:type="spellEnd"/>
            <w:r w:rsidRPr="00DF004C">
              <w:t>)</w:t>
            </w:r>
            <w:r w:rsidRPr="00DF004C">
              <w:tab/>
              <w:t>in previously urbanised areas (such a through infill housing or redevelopment); and</w:t>
            </w:r>
          </w:p>
          <w:p w14:paraId="7A20D3A7" w14:textId="77777777" w:rsidR="008508BB" w:rsidRPr="00DF004C" w:rsidRDefault="008508BB" w:rsidP="009124CF">
            <w:pPr>
              <w:pStyle w:val="Greentext-casestudytables"/>
              <w:spacing w:before="80" w:after="0"/>
              <w:ind w:left="1474" w:hanging="397"/>
            </w:pPr>
            <w:r w:rsidRPr="00DF004C">
              <w:t>(ii)</w:t>
            </w:r>
            <w:r w:rsidRPr="00DF004C">
              <w:tab/>
              <w:t>in previously undeveloped (</w:t>
            </w:r>
            <w:proofErr w:type="spellStart"/>
            <w:r w:rsidRPr="00DF004C">
              <w:t>ie</w:t>
            </w:r>
            <w:proofErr w:type="spellEnd"/>
            <w:r w:rsidRPr="00DF004C">
              <w:t>, greenfield) areas</w:t>
            </w:r>
          </w:p>
          <w:p w14:paraId="5864A913" w14:textId="77777777" w:rsidR="008508BB" w:rsidRPr="00DF004C" w:rsidRDefault="008508BB" w:rsidP="009124CF">
            <w:pPr>
              <w:pStyle w:val="Greentext-casestudytables"/>
              <w:spacing w:before="80" w:after="60"/>
              <w:ind w:left="1077" w:hanging="397"/>
            </w:pPr>
            <w:r w:rsidRPr="00DF004C">
              <w:t>(f)</w:t>
            </w:r>
            <w:r w:rsidRPr="00DF004C">
              <w:tab/>
              <w:t xml:space="preserve">available data on business land </w:t>
            </w:r>
          </w:p>
          <w:p w14:paraId="28B71E09" w14:textId="77777777" w:rsidR="008508BB" w:rsidRPr="00DF004C" w:rsidRDefault="008508BB" w:rsidP="009124CF">
            <w:pPr>
              <w:pStyle w:val="Greentext-casestudytables"/>
              <w:spacing w:before="80" w:after="0"/>
              <w:ind w:left="681" w:hanging="397"/>
            </w:pPr>
            <w:r w:rsidRPr="00DF004C">
              <w:t>(2)</w:t>
            </w:r>
            <w:r w:rsidRPr="00DF004C">
              <w:tab/>
              <w:t>In relation to tier 1 urban environments, tier 1 local authorities must monitor the proportion of development capacity that has been realised in each zone identified in clause 3.37(1) (</w:t>
            </w:r>
            <w:proofErr w:type="spellStart"/>
            <w:r w:rsidRPr="00DF004C">
              <w:t>ie</w:t>
            </w:r>
            <w:proofErr w:type="spellEnd"/>
            <w:r w:rsidRPr="00DF004C">
              <w:t>, each zone with development outcomes that are monitored).</w:t>
            </w:r>
          </w:p>
          <w:p w14:paraId="14081AD6" w14:textId="07FEEFE3" w:rsidR="008508BB" w:rsidRPr="00DF004C" w:rsidRDefault="008508BB" w:rsidP="009124CF">
            <w:pPr>
              <w:pStyle w:val="Greentext-casestudytables"/>
              <w:spacing w:before="80" w:after="0"/>
              <w:ind w:left="681" w:hanging="397"/>
            </w:pPr>
            <w:r w:rsidRPr="00DF004C">
              <w:t>(3)</w:t>
            </w:r>
            <w:r w:rsidRPr="00DF004C">
              <w:tab/>
              <w:t>Every tier 1, 2, and 3 local authority must publish the results of its monitoring at least</w:t>
            </w:r>
            <w:r w:rsidR="00B62A48" w:rsidRPr="00DF004C">
              <w:t> </w:t>
            </w:r>
            <w:r w:rsidRPr="00DF004C">
              <w:t>annually.</w:t>
            </w:r>
          </w:p>
          <w:p w14:paraId="15FA35DF" w14:textId="77777777" w:rsidR="008508BB" w:rsidRPr="00DF004C" w:rsidRDefault="008508BB" w:rsidP="009124CF">
            <w:pPr>
              <w:pStyle w:val="Greentext-casestudytables"/>
              <w:spacing w:before="80" w:after="0"/>
              <w:ind w:left="681" w:hanging="397"/>
            </w:pPr>
            <w:r w:rsidRPr="00DF004C">
              <w:t>(4)</w:t>
            </w:r>
            <w:r w:rsidRPr="00DF004C">
              <w:tab/>
              <w:t>The monitoring required by this clause must relate to the relevant urban environments, but may apply more widely (such as, for example, where the relevant data is available only on a region or district-wide basis).</w:t>
            </w:r>
          </w:p>
          <w:p w14:paraId="2399D070" w14:textId="3AF17358" w:rsidR="008508BB" w:rsidRPr="00DF004C" w:rsidRDefault="008508BB" w:rsidP="009124CF">
            <w:pPr>
              <w:pStyle w:val="Greentext-casestudytables"/>
              <w:spacing w:before="80" w:after="200"/>
              <w:ind w:left="681" w:hanging="397"/>
            </w:pPr>
            <w:r w:rsidRPr="00DF004C">
              <w:t>(5)</w:t>
            </w:r>
            <w:r w:rsidRPr="00DF004C">
              <w:tab/>
              <w:t>If more than one tier 1 or tier 2 local authority has jurisdiction over a tier 1 or tier 2 urban environment, those local authorities are jointly responsible for doing the monitoring required by this subpart.</w:t>
            </w:r>
          </w:p>
        </w:tc>
      </w:tr>
    </w:tbl>
    <w:p w14:paraId="5A682567" w14:textId="4F28AF2A" w:rsidR="00331DC1" w:rsidRPr="00DF004C" w:rsidRDefault="00331DC1" w:rsidP="0001634F">
      <w:pPr>
        <w:pStyle w:val="Heading2"/>
        <w:numPr>
          <w:ilvl w:val="0"/>
          <w:numId w:val="45"/>
        </w:numPr>
      </w:pPr>
      <w:bookmarkStart w:id="13" w:name="_Toc57803214"/>
      <w:r w:rsidRPr="00DF004C">
        <w:t>Publishing methods</w:t>
      </w:r>
      <w:bookmarkEnd w:id="13"/>
    </w:p>
    <w:p w14:paraId="686FC0A0" w14:textId="77777777" w:rsidR="00331DC1" w:rsidRPr="00DF004C" w:rsidRDefault="00331DC1" w:rsidP="009124CF">
      <w:pPr>
        <w:pStyle w:val="BodyText"/>
        <w:spacing w:before="100" w:after="100"/>
      </w:pPr>
      <w:r w:rsidRPr="00DF004C">
        <w:t xml:space="preserve">The publishing methods used to meet the annual requirement will vary between local authorities. Methods could range from writing a report that is presented and published in one of the local authority’s meeting agendas, to hosting a monitoring page on the local authority’s website. It is best to use a method that is effective for sharing information with the wider community and can be updated frequently. </w:t>
      </w:r>
    </w:p>
    <w:p w14:paraId="223D9CA8" w14:textId="2A522CA8" w:rsidR="00331DC1" w:rsidRPr="00DF004C" w:rsidRDefault="00331DC1" w:rsidP="006C2D1A">
      <w:pPr>
        <w:pStyle w:val="Heading3"/>
        <w:spacing w:before="320"/>
      </w:pPr>
      <w:r w:rsidRPr="00DF004C">
        <w:lastRenderedPageBreak/>
        <w:t xml:space="preserve">2.1.2 </w:t>
      </w:r>
      <w:r w:rsidR="00C05F67" w:rsidRPr="00DF004C">
        <w:tab/>
      </w:r>
      <w:r w:rsidRPr="00DF004C">
        <w:t xml:space="preserve">Monitoring timing and publication </w:t>
      </w:r>
    </w:p>
    <w:p w14:paraId="30AFAD67" w14:textId="77777777" w:rsidR="00331DC1" w:rsidRPr="00DF004C" w:rsidRDefault="00331DC1" w:rsidP="00331DC1">
      <w:pPr>
        <w:pStyle w:val="BodyText"/>
      </w:pPr>
      <w:r w:rsidRPr="00DF004C">
        <w:t>Local authorities may choose an annual reporting schedule that works best for their planning purposes (</w:t>
      </w:r>
      <w:proofErr w:type="spellStart"/>
      <w:r w:rsidRPr="00DF004C">
        <w:t>eg</w:t>
      </w:r>
      <w:proofErr w:type="spellEnd"/>
      <w:r w:rsidRPr="00DF004C">
        <w:t xml:space="preserve">, reporting at the end of financial or calendar years). There is no hard start date or deadline stated in the NPS-UD, but the first annual report is anticipated within the first year of the NPS-UD coming into effect. </w:t>
      </w:r>
    </w:p>
    <w:p w14:paraId="5E9C101F" w14:textId="5982CC1C" w:rsidR="00331DC1" w:rsidRPr="00DF004C" w:rsidRDefault="00331DC1" w:rsidP="0001634F">
      <w:pPr>
        <w:pStyle w:val="Heading2"/>
        <w:numPr>
          <w:ilvl w:val="0"/>
          <w:numId w:val="45"/>
        </w:numPr>
      </w:pPr>
      <w:bookmarkStart w:id="14" w:name="_Toc57803215"/>
      <w:r w:rsidRPr="00DF004C">
        <w:t>Choosing indicators (clause 3.9(1))</w:t>
      </w:r>
      <w:bookmarkEnd w:id="14"/>
    </w:p>
    <w:p w14:paraId="24236EF3" w14:textId="341D0E27" w:rsidR="00331DC1" w:rsidRPr="00DF004C" w:rsidRDefault="00331DC1" w:rsidP="00012ECC">
      <w:pPr>
        <w:pStyle w:val="BodyText"/>
      </w:pPr>
      <w:r w:rsidRPr="00DF004C">
        <w:t>Clause 3.9(1) outlines the aspects of urban environments that must be monitored. Although local authorities have flexibility in determining the indicators being monitored, they must ensure that all aspects of clause 3.9(</w:t>
      </w:r>
      <w:proofErr w:type="gramStart"/>
      <w:r w:rsidRPr="00DF004C">
        <w:t>1)(</w:t>
      </w:r>
      <w:proofErr w:type="gramEnd"/>
      <w:r w:rsidRPr="00DF004C">
        <w:t xml:space="preserve">a–f) are being monitored quarterly and published annually. Local authorities should consider using indicators that are relevant to the assessments and methodologies used for their HBA, </w:t>
      </w:r>
      <w:r w:rsidR="00076000" w:rsidRPr="00DF004C">
        <w:t>and</w:t>
      </w:r>
      <w:r w:rsidRPr="00DF004C">
        <w:t xml:space="preserve"> consider the type, quality, and</w:t>
      </w:r>
      <w:r w:rsidR="00D953B3" w:rsidRPr="00DF004C">
        <w:t> </w:t>
      </w:r>
      <w:r w:rsidRPr="00DF004C">
        <w:t xml:space="preserve">frequency of data that will be available for monitoring. </w:t>
      </w:r>
    </w:p>
    <w:p w14:paraId="15A19F79" w14:textId="1EA099A1" w:rsidR="00D81B38" w:rsidRPr="00DF004C" w:rsidRDefault="00331DC1" w:rsidP="00012ECC">
      <w:pPr>
        <w:pStyle w:val="BodyText"/>
      </w:pPr>
      <w:r w:rsidRPr="00DF004C">
        <w:t>Clause 3.9(4) also recognises that granular data may not always be available, so allows local</w:t>
      </w:r>
      <w:r w:rsidR="00D953B3" w:rsidRPr="00DF004C">
        <w:t> </w:t>
      </w:r>
      <w:r w:rsidRPr="00DF004C">
        <w:t>authorities to track indicators at a higher level than the urban area may cover (</w:t>
      </w:r>
      <w:proofErr w:type="spellStart"/>
      <w:r w:rsidRPr="00DF004C">
        <w:t>eg</w:t>
      </w:r>
      <w:proofErr w:type="spellEnd"/>
      <w:r w:rsidRPr="00DF004C">
        <w:t>,</w:t>
      </w:r>
      <w:r w:rsidR="003F221C" w:rsidRPr="00DF004C">
        <w:t> </w:t>
      </w:r>
      <w:r w:rsidRPr="00DF004C">
        <w:t>district- or</w:t>
      </w:r>
      <w:r w:rsidR="00D953B3" w:rsidRPr="00DF004C">
        <w:t> </w:t>
      </w:r>
      <w:r w:rsidRPr="00DF004C">
        <w:t>region-wide). Best practice will be to use the most granular data available that</w:t>
      </w:r>
      <w:r w:rsidR="003F221C" w:rsidRPr="00DF004C">
        <w:t> </w:t>
      </w:r>
      <w:r w:rsidRPr="00DF004C">
        <w:t>is</w:t>
      </w:r>
      <w:r w:rsidR="00D953B3" w:rsidRPr="00DF004C">
        <w:t> </w:t>
      </w:r>
      <w:r w:rsidRPr="00DF004C">
        <w:t>representative of the urban area.</w:t>
      </w:r>
    </w:p>
    <w:p w14:paraId="669B126C" w14:textId="040C2B7A" w:rsidR="00D72DED" w:rsidRPr="00DF004C" w:rsidRDefault="00D72DED" w:rsidP="006C2D1A">
      <w:pPr>
        <w:pStyle w:val="Heading3"/>
        <w:spacing w:before="320"/>
      </w:pPr>
      <w:r w:rsidRPr="00DF004C">
        <w:t xml:space="preserve">2.2.1 </w:t>
      </w:r>
      <w:r w:rsidRPr="00DF004C">
        <w:tab/>
        <w:t>Existing guidance on indicators</w:t>
      </w:r>
    </w:p>
    <w:p w14:paraId="661E9D69" w14:textId="3E509725" w:rsidR="00D72DED" w:rsidRPr="00DF004C" w:rsidRDefault="00D72DED" w:rsidP="00D72DED">
      <w:pPr>
        <w:pStyle w:val="BodyText"/>
      </w:pPr>
      <w:r w:rsidRPr="00DF004C">
        <w:t xml:space="preserve">The NPS-UDC </w:t>
      </w:r>
      <w:hyperlink r:id="rId23" w:history="1">
        <w:r w:rsidRPr="00D80572">
          <w:rPr>
            <w:rStyle w:val="Hyperlink"/>
          </w:rPr>
          <w:t>evidence and monitoring guide</w:t>
        </w:r>
      </w:hyperlink>
      <w:r w:rsidRPr="00DF004C">
        <w:t xml:space="preserve"> is helpful for identifying and interpreting monitoring indicators. Part 5 of the NPS-UDC guide provides information on monitoring market</w:t>
      </w:r>
      <w:r w:rsidR="00D953B3" w:rsidRPr="00DF004C">
        <w:t> </w:t>
      </w:r>
      <w:r w:rsidRPr="00DF004C">
        <w:t>indicators and part 6 provides guidance on using price efficiency indicators.</w:t>
      </w:r>
    </w:p>
    <w:p w14:paraId="3F89BFBA" w14:textId="6706A2FF" w:rsidR="00D72DED" w:rsidRPr="00DF004C" w:rsidRDefault="00D72DED" w:rsidP="0001634F">
      <w:pPr>
        <w:pStyle w:val="Heading2"/>
        <w:numPr>
          <w:ilvl w:val="0"/>
          <w:numId w:val="45"/>
        </w:numPr>
      </w:pPr>
      <w:bookmarkStart w:id="15" w:name="_Toc57803216"/>
      <w:r w:rsidRPr="00DF004C">
        <w:t>Tier 1 monitoring development outcomes requirement (clause 3.9(2))</w:t>
      </w:r>
      <w:bookmarkEnd w:id="15"/>
    </w:p>
    <w:p w14:paraId="7782E0B5" w14:textId="62903501" w:rsidR="00C05F67" w:rsidRPr="00DF004C" w:rsidRDefault="00D72DED" w:rsidP="005A27DE">
      <w:pPr>
        <w:pStyle w:val="BodyText"/>
        <w:spacing w:after="240"/>
      </w:pPr>
      <w:r w:rsidRPr="00DF004C">
        <w:t>According to clause 3.9(2), tier 1 local authorities must monitor the proportion of realised development capacity in each of the identified zones. The zones that must be monitored (or</w:t>
      </w:r>
      <w:r w:rsidR="00012ECC" w:rsidRPr="00DF004C">
        <w:t> </w:t>
      </w:r>
      <w:r w:rsidRPr="00DF004C">
        <w:t>their nearest equivalent in district plans) from clause 3.37(1) are:</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5A27DE" w:rsidRPr="00DF004C" w14:paraId="28B1A09F" w14:textId="77777777" w:rsidTr="005A27DE">
        <w:tc>
          <w:tcPr>
            <w:tcW w:w="8505" w:type="dxa"/>
            <w:shd w:val="clear" w:color="auto" w:fill="CFE5E5"/>
          </w:tcPr>
          <w:p w14:paraId="18FBB3D6" w14:textId="34C34A2C" w:rsidR="005A27DE" w:rsidRPr="00DF004C" w:rsidRDefault="005A27DE" w:rsidP="00B22E3C">
            <w:pPr>
              <w:pStyle w:val="Greentext-casestudytables"/>
              <w:spacing w:before="240" w:after="0"/>
              <w:rPr>
                <w:b/>
                <w:bCs/>
              </w:rPr>
            </w:pPr>
            <w:r w:rsidRPr="00DF004C">
              <w:rPr>
                <w:b/>
                <w:bCs/>
              </w:rPr>
              <w:t>3.37(1) …</w:t>
            </w:r>
            <w:r w:rsidR="00D80572">
              <w:rPr>
                <w:b/>
                <w:bCs/>
              </w:rPr>
              <w:t xml:space="preserve"> </w:t>
            </w:r>
            <w:r w:rsidRPr="00DF004C">
              <w:rPr>
                <w:b/>
                <w:bCs/>
              </w:rPr>
              <w:t>zones:</w:t>
            </w:r>
          </w:p>
          <w:p w14:paraId="0B2EC747" w14:textId="77777777" w:rsidR="005A27DE" w:rsidRPr="00DF004C" w:rsidRDefault="005A27DE" w:rsidP="006C2D1A">
            <w:pPr>
              <w:pStyle w:val="Greentext-casestudytables"/>
              <w:spacing w:after="0"/>
              <w:ind w:left="681" w:hanging="397"/>
            </w:pPr>
            <w:r w:rsidRPr="00DF004C">
              <w:t>(a)</w:t>
            </w:r>
            <w:r w:rsidRPr="00DF004C">
              <w:tab/>
              <w:t>city centre zones</w:t>
            </w:r>
          </w:p>
          <w:p w14:paraId="1C9F9A8E" w14:textId="77777777" w:rsidR="005A27DE" w:rsidRPr="00DF004C" w:rsidRDefault="005A27DE" w:rsidP="006C2D1A">
            <w:pPr>
              <w:pStyle w:val="Greentext-casestudytables"/>
              <w:spacing w:after="0"/>
              <w:ind w:left="681" w:hanging="397"/>
            </w:pPr>
            <w:r w:rsidRPr="00DF004C">
              <w:t>(b)</w:t>
            </w:r>
            <w:r w:rsidRPr="00DF004C">
              <w:tab/>
              <w:t>metropolitan zones</w:t>
            </w:r>
          </w:p>
          <w:p w14:paraId="31F8F00F" w14:textId="77777777" w:rsidR="005A27DE" w:rsidRPr="00DF004C" w:rsidRDefault="005A27DE" w:rsidP="006C2D1A">
            <w:pPr>
              <w:pStyle w:val="Greentext-casestudytables"/>
              <w:spacing w:after="0"/>
              <w:ind w:left="681" w:hanging="397"/>
            </w:pPr>
            <w:r w:rsidRPr="00DF004C">
              <w:t>(c)</w:t>
            </w:r>
            <w:r w:rsidRPr="00DF004C">
              <w:tab/>
              <w:t>town centre zones</w:t>
            </w:r>
          </w:p>
          <w:p w14:paraId="361E4B50" w14:textId="77777777" w:rsidR="005A27DE" w:rsidRPr="00DF004C" w:rsidRDefault="005A27DE" w:rsidP="006C2D1A">
            <w:pPr>
              <w:pStyle w:val="Greentext-casestudytables"/>
              <w:spacing w:after="0"/>
              <w:ind w:left="681" w:hanging="397"/>
            </w:pPr>
            <w:r w:rsidRPr="00DF004C">
              <w:t>(d)</w:t>
            </w:r>
            <w:r w:rsidRPr="00DF004C">
              <w:tab/>
              <w:t>mixed-use zones</w:t>
            </w:r>
          </w:p>
          <w:p w14:paraId="433C0A10" w14:textId="77777777" w:rsidR="005A27DE" w:rsidRPr="00DF004C" w:rsidRDefault="005A27DE" w:rsidP="006C2D1A">
            <w:pPr>
              <w:pStyle w:val="Greentext-casestudytables"/>
              <w:spacing w:after="0"/>
              <w:ind w:left="681" w:hanging="397"/>
            </w:pPr>
            <w:r w:rsidRPr="00DF004C">
              <w:t>(e)</w:t>
            </w:r>
            <w:r w:rsidRPr="00DF004C">
              <w:tab/>
              <w:t>high-density residential zones</w:t>
            </w:r>
          </w:p>
          <w:p w14:paraId="715AE505" w14:textId="77777777" w:rsidR="005A27DE" w:rsidRPr="00DF004C" w:rsidRDefault="005A27DE" w:rsidP="006C2D1A">
            <w:pPr>
              <w:pStyle w:val="Greentext-casestudytables"/>
              <w:spacing w:after="0"/>
              <w:ind w:left="681" w:hanging="397"/>
            </w:pPr>
            <w:r w:rsidRPr="00DF004C">
              <w:t>(f)</w:t>
            </w:r>
            <w:r w:rsidRPr="00DF004C">
              <w:tab/>
              <w:t>medium-density residential zones</w:t>
            </w:r>
          </w:p>
          <w:p w14:paraId="1A46C99F" w14:textId="4710EF85" w:rsidR="005A27DE" w:rsidRPr="00DF004C" w:rsidRDefault="005A27DE" w:rsidP="00B22E3C">
            <w:pPr>
              <w:pStyle w:val="Greentext-casestudytables"/>
              <w:spacing w:after="240"/>
              <w:ind w:left="681" w:hanging="397"/>
            </w:pPr>
            <w:r w:rsidRPr="00DF004C">
              <w:t>(g)</w:t>
            </w:r>
            <w:r w:rsidRPr="00DF004C">
              <w:tab/>
              <w:t>general residential zones</w:t>
            </w:r>
          </w:p>
        </w:tc>
      </w:tr>
    </w:tbl>
    <w:bookmarkEnd w:id="2"/>
    <w:p w14:paraId="64320CE0" w14:textId="07F97FF0" w:rsidR="00EC0752" w:rsidRPr="00DF004C" w:rsidRDefault="00EC0752" w:rsidP="006F5908">
      <w:pPr>
        <w:pStyle w:val="BodyText"/>
        <w:keepLines/>
        <w:spacing w:before="240"/>
      </w:pPr>
      <w:r w:rsidRPr="00DF004C">
        <w:lastRenderedPageBreak/>
        <w:t xml:space="preserve">Tier 1 local authorities should consider clause 3.9(2) when developing a methodology for their </w:t>
      </w:r>
      <w:r w:rsidR="00076000" w:rsidRPr="00DF004C">
        <w:t>HBAs and</w:t>
      </w:r>
      <w:r w:rsidRPr="00DF004C">
        <w:t xml:space="preserve"> determine how components of the methodologies can be used for monitoring. This is particularly the case when making links between clause 3.26(1), which requires assessing what is feasible and reasonably expected to be realised, and the clause 3.37 requirement to monitor whether development is being realised for the different zones. </w:t>
      </w:r>
    </w:p>
    <w:p w14:paraId="6F24D081" w14:textId="533ECB37" w:rsidR="00EC0752" w:rsidRPr="00DF004C" w:rsidRDefault="00EC0752" w:rsidP="00EC0752">
      <w:pPr>
        <w:pStyle w:val="BodyText"/>
      </w:pPr>
      <w:r w:rsidRPr="00DF004C">
        <w:t>The methodologies developed should also support a better understanding of the typology of development delivered. For example, if an area is zoned for a density with building heights of</w:t>
      </w:r>
      <w:r w:rsidR="002C064D">
        <w:t> </w:t>
      </w:r>
      <w:r w:rsidRPr="00DF004C">
        <w:t>six storeys or more, these aspects should be captured and monitored.</w:t>
      </w:r>
    </w:p>
    <w:p w14:paraId="725FCA9D" w14:textId="1CD9B0A3" w:rsidR="00EC0752" w:rsidRPr="00DF004C" w:rsidRDefault="00EC0752" w:rsidP="00EC0752">
      <w:pPr>
        <w:pStyle w:val="Heading3"/>
      </w:pPr>
      <w:r w:rsidRPr="00DF004C">
        <w:t xml:space="preserve">2.3.1 </w:t>
      </w:r>
      <w:r w:rsidRPr="00DF004C">
        <w:tab/>
        <w:t xml:space="preserve">Options for monitoring realised development capacity by zone </w:t>
      </w:r>
    </w:p>
    <w:p w14:paraId="514E4373" w14:textId="250E3642" w:rsidR="00FB2C18" w:rsidRPr="00DF004C" w:rsidRDefault="00EC0752" w:rsidP="00EC0752">
      <w:pPr>
        <w:pStyle w:val="BodyText"/>
      </w:pPr>
      <w:r w:rsidRPr="00DF004C">
        <w:t xml:space="preserve">Tier 1 local authorities have discretion over how they monitor realised development capacity. Methods could include using building consent and data sources on land use, such as ratings data or </w:t>
      </w:r>
      <w:proofErr w:type="spellStart"/>
      <w:r w:rsidRPr="00DF004C">
        <w:t>CorLogic</w:t>
      </w:r>
      <w:proofErr w:type="spellEnd"/>
      <w:r w:rsidRPr="00DF004C">
        <w:t>, to monitor the trends for different planning zones. For example, building consent data could be used to assess the number of new builds in a district plan zone, identify how much development capacity has been realised, and create insights into the size and form</w:t>
      </w:r>
      <w:r w:rsidR="002C064D">
        <w:t> </w:t>
      </w:r>
      <w:r w:rsidRPr="00DF004C">
        <w:t>of capacity realisation. This could be coupled with information on rated land use, to understand if properties are being used for the same purpose as they are zoned. Additional insights could be gathered by consulting with the development sector and local experts, such as those identified for clause 3.21 of the HBA, to understand why capacity is or is not being realised, or why land use may or may not be matching the intended zoning.</w:t>
      </w:r>
    </w:p>
    <w:p w14:paraId="072B7633" w14:textId="77777777" w:rsidR="00B511D9" w:rsidRPr="00DF004C" w:rsidRDefault="00B511D9">
      <w:pPr>
        <w:spacing w:before="0" w:after="200" w:line="276" w:lineRule="auto"/>
        <w:jc w:val="left"/>
      </w:pPr>
    </w:p>
    <w:p w14:paraId="297E399F" w14:textId="4A931222" w:rsidR="005805E3" w:rsidRPr="00DF004C" w:rsidRDefault="005805E3">
      <w:pPr>
        <w:spacing w:before="0" w:after="200" w:line="276" w:lineRule="auto"/>
        <w:jc w:val="left"/>
      </w:pPr>
      <w:r w:rsidRPr="00DF004C">
        <w:br w:type="page"/>
      </w:r>
    </w:p>
    <w:p w14:paraId="5B33A921" w14:textId="3FCFD1A7" w:rsidR="007D68DF" w:rsidRPr="00DF004C" w:rsidRDefault="007D68DF" w:rsidP="00012244">
      <w:pPr>
        <w:pStyle w:val="Heading1"/>
        <w:numPr>
          <w:ilvl w:val="0"/>
          <w:numId w:val="40"/>
        </w:numPr>
      </w:pPr>
      <w:bookmarkStart w:id="16" w:name="_Toc57803217"/>
      <w:r w:rsidRPr="00DF004C">
        <w:lastRenderedPageBreak/>
        <w:t>Requirements for all local authorities (clause 3.10(1))</w:t>
      </w:r>
      <w:bookmarkEnd w:id="16"/>
    </w:p>
    <w:p w14:paraId="67EC491A" w14:textId="160E76C9" w:rsidR="007D68DF" w:rsidRPr="00DF004C" w:rsidRDefault="007D68DF" w:rsidP="00872581">
      <w:pPr>
        <w:pStyle w:val="BodyText"/>
        <w:spacing w:after="240"/>
      </w:pPr>
      <w:r w:rsidRPr="00DF004C">
        <w:t xml:space="preserve">Most of the reporting requirements from the National Policy Statement on Urban Development (NPS-UD) are focused on tier 1 and 2 local authorities; </w:t>
      </w:r>
      <w:r w:rsidR="00076000" w:rsidRPr="00DF004C">
        <w:t>however,</w:t>
      </w:r>
      <w:r w:rsidRPr="00DF004C">
        <w:t xml:space="preserve"> clause 3.10(1) applies to all urban environments in New Zealand (see clause 1.3(1)(b)). Clause 3.10(1) requires that:</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1902D4" w:rsidRPr="00DF004C" w14:paraId="244BE0A9" w14:textId="77777777" w:rsidTr="001902D4">
        <w:tc>
          <w:tcPr>
            <w:tcW w:w="8505" w:type="dxa"/>
            <w:shd w:val="clear" w:color="auto" w:fill="CFE5E5"/>
          </w:tcPr>
          <w:p w14:paraId="7A4E2E1C" w14:textId="626C6716" w:rsidR="001902D4" w:rsidRPr="00DF004C" w:rsidRDefault="001902D4" w:rsidP="001902D4">
            <w:pPr>
              <w:pStyle w:val="Greentext-casestudytables"/>
              <w:spacing w:before="240" w:after="240"/>
            </w:pPr>
            <w:r w:rsidRPr="00D80572">
              <w:rPr>
                <w:b/>
                <w:bCs/>
              </w:rPr>
              <w:t>3.10(1)</w:t>
            </w:r>
            <w:r w:rsidRPr="00DF004C">
              <w:t xml:space="preserve"> Every local authority must assess the demand for housing and for business land in urban environments, and the development capacity that is sufficient (as described in clauses 3.2 and 3.3) to meet that demand in its region or district in the short, medium, and long term.</w:t>
            </w:r>
          </w:p>
        </w:tc>
      </w:tr>
    </w:tbl>
    <w:p w14:paraId="719D6BE6" w14:textId="77777777" w:rsidR="007D68DF" w:rsidRPr="00DF004C" w:rsidRDefault="007D68DF" w:rsidP="00872581">
      <w:pPr>
        <w:pStyle w:val="BodyText"/>
        <w:spacing w:before="240"/>
      </w:pPr>
      <w:r w:rsidRPr="00DF004C">
        <w:t>Tier 1 and 2 local authorities satisfy this requirement by completing the Housing and Business Assessments (HBAs). Tier 3 local authorities have scope to determine the most appropriate methods for meeting this requirement.</w:t>
      </w:r>
    </w:p>
    <w:p w14:paraId="47E0EB47" w14:textId="190C62F2" w:rsidR="007D68DF" w:rsidRPr="00DF004C" w:rsidRDefault="007D68DF" w:rsidP="007D68DF">
      <w:pPr>
        <w:pStyle w:val="BodyText"/>
      </w:pPr>
      <w:r w:rsidRPr="00DF004C">
        <w:t>Generally, all tier 3 local authorities are encouraged to adopt the monitoring, assessment, and</w:t>
      </w:r>
      <w:r w:rsidR="00DC7C76" w:rsidRPr="00DF004C">
        <w:t> </w:t>
      </w:r>
      <w:r w:rsidRPr="00DF004C">
        <w:t>reporting frameworks for creating an HBA, though it is not necessary to produce the HBA</w:t>
      </w:r>
      <w:r w:rsidR="00DC7C76" w:rsidRPr="00DF004C">
        <w:t> </w:t>
      </w:r>
      <w:r w:rsidRPr="00DF004C">
        <w:t>document itself. Any tier 3 local authority that does produce and submit an HBA will be part of the assessment and feedback process, provided the timings in clause 4.1 are met.</w:t>
      </w:r>
    </w:p>
    <w:p w14:paraId="185797EE" w14:textId="184BC0F6" w:rsidR="00EC0752" w:rsidRPr="00DF004C" w:rsidRDefault="007D68DF" w:rsidP="007D68DF">
      <w:pPr>
        <w:pStyle w:val="BodyText"/>
      </w:pPr>
      <w:r w:rsidRPr="00DF004C">
        <w:t>Tier 3 local authorities that do not create an HBA are encouraged to use the HBA guidance to</w:t>
      </w:r>
      <w:r w:rsidR="00872581" w:rsidRPr="00DF004C">
        <w:t> </w:t>
      </w:r>
      <w:r w:rsidRPr="00DF004C">
        <w:t>assess the demand and supply for housing and business land, and ensure sufficient capacity</w:t>
      </w:r>
      <w:r w:rsidR="006F5908" w:rsidRPr="00DF004C">
        <w:t> </w:t>
      </w:r>
      <w:r w:rsidRPr="00DF004C">
        <w:t>is available.</w:t>
      </w:r>
    </w:p>
    <w:p w14:paraId="2D3659E9" w14:textId="77777777" w:rsidR="006F5908" w:rsidRPr="00DF004C" w:rsidRDefault="006F5908" w:rsidP="007D68DF">
      <w:pPr>
        <w:pStyle w:val="BodyText"/>
      </w:pPr>
    </w:p>
    <w:p w14:paraId="4AAE2AC2" w14:textId="02DC3F7B" w:rsidR="004D3D29" w:rsidRPr="00DF004C" w:rsidRDefault="004D3D29">
      <w:pPr>
        <w:spacing w:before="0" w:after="200" w:line="276" w:lineRule="auto"/>
        <w:jc w:val="left"/>
      </w:pPr>
      <w:r w:rsidRPr="00DF004C">
        <w:br w:type="page"/>
      </w:r>
    </w:p>
    <w:p w14:paraId="23028585" w14:textId="6F15D24F" w:rsidR="0048231F" w:rsidRPr="00DF004C" w:rsidRDefault="0048231F" w:rsidP="00012244">
      <w:pPr>
        <w:pStyle w:val="Heading1"/>
        <w:numPr>
          <w:ilvl w:val="0"/>
          <w:numId w:val="40"/>
        </w:numPr>
      </w:pPr>
      <w:bookmarkStart w:id="17" w:name="_Toc57803218"/>
      <w:r w:rsidRPr="00DF004C">
        <w:lastRenderedPageBreak/>
        <w:t>Further guidance on using evidence and analysis (clause 3.11)</w:t>
      </w:r>
      <w:bookmarkEnd w:id="17"/>
    </w:p>
    <w:p w14:paraId="567BF20D" w14:textId="743AF30F" w:rsidR="00872581" w:rsidRPr="00DF004C" w:rsidRDefault="0048231F" w:rsidP="00067CC0">
      <w:pPr>
        <w:pStyle w:val="BodyText"/>
        <w:spacing w:after="240"/>
      </w:pPr>
      <w:r w:rsidRPr="00DF004C">
        <w:t>The main requirement of clause 3.11 is that local authorities use evidence to assess the effects</w:t>
      </w:r>
      <w:r w:rsidR="00A94206" w:rsidRPr="00DF004C">
        <w:t> </w:t>
      </w:r>
      <w:r w:rsidRPr="00DF004C">
        <w:t>of planning on their urban environments. The new requirement in the National Policy Statement on Urban Development (NPS-UD) is that authorities must use Housing and Business Development Capacity Assessment (HBA) and monitoring evidence to inform their planning decisions, and include the matters identified by the assessments in relevant evaluation reports and further evaluation reports prepared under section 32 and 32AA of the Resource Management Act 1991 (RMA). Clause 3.11 states:</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6C586A" w:rsidRPr="00DF004C" w14:paraId="2F57E3FE" w14:textId="77777777" w:rsidTr="00174A13">
        <w:tc>
          <w:tcPr>
            <w:tcW w:w="8505" w:type="dxa"/>
            <w:shd w:val="clear" w:color="auto" w:fill="CFE5E5"/>
          </w:tcPr>
          <w:p w14:paraId="3C70BEE4" w14:textId="0E23B810" w:rsidR="00067CC0" w:rsidRPr="00DF004C" w:rsidRDefault="00067CC0" w:rsidP="00C34591">
            <w:pPr>
              <w:pStyle w:val="Greenheading-casestudytables"/>
              <w:ind w:left="681" w:hanging="397"/>
            </w:pPr>
            <w:r w:rsidRPr="00DF004C">
              <w:t>3.11</w:t>
            </w:r>
            <w:r w:rsidR="00C34591" w:rsidRPr="00DF004C">
              <w:tab/>
            </w:r>
            <w:r w:rsidRPr="00DF004C">
              <w:t xml:space="preserve">Using evidence and analysis </w:t>
            </w:r>
          </w:p>
          <w:p w14:paraId="4C58159B" w14:textId="77777777" w:rsidR="00067CC0" w:rsidRPr="00DF004C" w:rsidRDefault="00067CC0" w:rsidP="00067CC0">
            <w:pPr>
              <w:pStyle w:val="Greentext-casestudytables"/>
              <w:spacing w:after="0"/>
              <w:ind w:left="681" w:hanging="397"/>
            </w:pPr>
            <w:r w:rsidRPr="00DF004C">
              <w:t>(1)</w:t>
            </w:r>
            <w:r w:rsidRPr="00DF004C">
              <w:tab/>
              <w:t xml:space="preserve">When making plans, or when changing plans in ways that affect the development of urban environments, local authorities must: </w:t>
            </w:r>
          </w:p>
          <w:p w14:paraId="6A41C0E9" w14:textId="77777777" w:rsidR="00067CC0" w:rsidRPr="00DF004C" w:rsidRDefault="00067CC0" w:rsidP="00C34591">
            <w:pPr>
              <w:pStyle w:val="Greentext-casestudytables"/>
              <w:spacing w:after="0"/>
              <w:ind w:left="1077" w:hanging="397"/>
            </w:pPr>
            <w:r w:rsidRPr="00DF004C">
              <w:t>(a)</w:t>
            </w:r>
            <w:r w:rsidRPr="00DF004C">
              <w:tab/>
              <w:t xml:space="preserve">clearly identify the resource management issues being managed; and </w:t>
            </w:r>
          </w:p>
          <w:p w14:paraId="7792902B" w14:textId="77777777" w:rsidR="00067CC0" w:rsidRPr="00DF004C" w:rsidRDefault="00067CC0" w:rsidP="00C34591">
            <w:pPr>
              <w:pStyle w:val="Greentext-casestudytables"/>
              <w:spacing w:after="0"/>
              <w:ind w:left="1077" w:hanging="397"/>
            </w:pPr>
            <w:r w:rsidRPr="00DF004C">
              <w:t>(b)</w:t>
            </w:r>
            <w:r w:rsidRPr="00DF004C">
              <w:tab/>
              <w:t xml:space="preserve">use evidence, particularly any relevant HBAs, about land and development markets, and the results of the monitoring required by this National Policy Statement, to assess the impact of different regulatory and non-regulatory options for urban development and their contribution to: </w:t>
            </w:r>
          </w:p>
          <w:p w14:paraId="4CB1C68B" w14:textId="77777777" w:rsidR="00067CC0" w:rsidRPr="00DF004C" w:rsidRDefault="00067CC0" w:rsidP="00C34591">
            <w:pPr>
              <w:pStyle w:val="Greentext-casestudytables"/>
              <w:spacing w:after="0"/>
              <w:ind w:left="1474" w:hanging="397"/>
            </w:pPr>
            <w:r w:rsidRPr="00DF004C">
              <w:t>(</w:t>
            </w:r>
            <w:proofErr w:type="spellStart"/>
            <w:r w:rsidRPr="00DF004C">
              <w:t>i</w:t>
            </w:r>
            <w:proofErr w:type="spellEnd"/>
            <w:r w:rsidRPr="00DF004C">
              <w:t>)</w:t>
            </w:r>
            <w:r w:rsidRPr="00DF004C">
              <w:tab/>
              <w:t xml:space="preserve">achieving well-functioning urban environments; and </w:t>
            </w:r>
          </w:p>
          <w:p w14:paraId="5B1AA553" w14:textId="77777777" w:rsidR="00067CC0" w:rsidRPr="00DF004C" w:rsidRDefault="00067CC0" w:rsidP="00C34591">
            <w:pPr>
              <w:pStyle w:val="Greentext-casestudytables"/>
              <w:spacing w:after="0"/>
              <w:ind w:left="1474" w:hanging="397"/>
            </w:pPr>
            <w:r w:rsidRPr="00DF004C">
              <w:t>(ii)</w:t>
            </w:r>
            <w:r w:rsidRPr="00DF004C">
              <w:tab/>
              <w:t xml:space="preserve">meeting the requirements to provide at least sufficient development capacity. </w:t>
            </w:r>
          </w:p>
          <w:p w14:paraId="68055341" w14:textId="06506D48" w:rsidR="006C586A" w:rsidRPr="00DF004C" w:rsidRDefault="00067CC0" w:rsidP="00C34591">
            <w:pPr>
              <w:pStyle w:val="Greentext-casestudytables"/>
              <w:spacing w:after="240"/>
              <w:ind w:left="681" w:hanging="397"/>
            </w:pPr>
            <w:r w:rsidRPr="00DF004C">
              <w:t>(2)</w:t>
            </w:r>
            <w:r w:rsidRPr="00DF004C">
              <w:tab/>
              <w:t>Local authorities must include the matters referred to in subclause (1)(a) and (b) in relevant evaluation reports and further evaluation reports prepared under sections 32 and 32AA of the Act.</w:t>
            </w:r>
          </w:p>
        </w:tc>
      </w:tr>
    </w:tbl>
    <w:p w14:paraId="76BFF0E0" w14:textId="77777777" w:rsidR="00174A13" w:rsidRPr="00DF004C" w:rsidRDefault="00174A13" w:rsidP="00C23E71">
      <w:pPr>
        <w:pStyle w:val="BodyText"/>
        <w:spacing w:before="240"/>
        <w:rPr>
          <w:rFonts w:cstheme="minorHAnsi"/>
        </w:rPr>
      </w:pPr>
      <w:r w:rsidRPr="00DF004C">
        <w:rPr>
          <w:rFonts w:cstheme="minorHAnsi"/>
        </w:rPr>
        <w:t xml:space="preserve">More about the evidence that HBAs must produce is available through the </w:t>
      </w:r>
      <w:hyperlink r:id="rId24" w:history="1">
        <w:r w:rsidRPr="00DF004C">
          <w:rPr>
            <w:rStyle w:val="Hyperlink"/>
            <w:rFonts w:asciiTheme="minorHAnsi" w:hAnsiTheme="minorHAnsi" w:cstheme="minorHAnsi"/>
          </w:rPr>
          <w:t>existing NPS-UDC guidance</w:t>
        </w:r>
      </w:hyperlink>
      <w:r w:rsidRPr="00DF004C">
        <w:rPr>
          <w:rFonts w:cstheme="minorHAnsi"/>
        </w:rPr>
        <w:t xml:space="preserve"> and in the updated HBA guidance for the NPS-UD published alongside this document. An overview of how the HBA requirements relate to the requirements of clause 3.11 is provided below.</w:t>
      </w:r>
    </w:p>
    <w:p w14:paraId="3ABC9484" w14:textId="2603D680" w:rsidR="00B40472" w:rsidRPr="00DF004C" w:rsidRDefault="00B40472" w:rsidP="00AD3B5A">
      <w:pPr>
        <w:pStyle w:val="Heading2"/>
        <w:numPr>
          <w:ilvl w:val="0"/>
          <w:numId w:val="46"/>
        </w:numPr>
      </w:pPr>
      <w:bookmarkStart w:id="18" w:name="_Toc57803219"/>
      <w:r w:rsidRPr="00DF004C">
        <w:t>Using HBAs as evidence for well-functioning urban environments (clause</w:t>
      </w:r>
      <w:r w:rsidR="00212009" w:rsidRPr="00DF004C">
        <w:t> </w:t>
      </w:r>
      <w:r w:rsidRPr="00DF004C">
        <w:t>3.11(b)(</w:t>
      </w:r>
      <w:proofErr w:type="spellStart"/>
      <w:r w:rsidRPr="00DF004C">
        <w:t>i</w:t>
      </w:r>
      <w:proofErr w:type="spellEnd"/>
      <w:r w:rsidRPr="00DF004C">
        <w:t>))</w:t>
      </w:r>
      <w:bookmarkEnd w:id="18"/>
    </w:p>
    <w:p w14:paraId="6F9A6C88" w14:textId="2D7BC735" w:rsidR="00B40472" w:rsidRPr="00DF004C" w:rsidRDefault="00B40472" w:rsidP="00B40472">
      <w:pPr>
        <w:pStyle w:val="BodyText"/>
      </w:pPr>
      <w:r w:rsidRPr="00DF004C">
        <w:t xml:space="preserve">While other evidence sources should be used, clause 3.11(b) requires local authorities to use the HBAs and monitoring publications as part of the evidence to “assess the impact of different regulatory and non-regulatory options for urban development”. When using the evidence base provided by HBAs and monitoring requirements, local authorities are required to consider how this supports planning decisions that contribute to a ‘well-functioning urban environment’ sought by Policy 1. The guidance for how the HBA evidence aligns with Policy 1 is supplied in the </w:t>
      </w:r>
      <w:hyperlink r:id="rId25" w:history="1">
        <w:r w:rsidRPr="00EE04FD">
          <w:rPr>
            <w:rStyle w:val="Hyperlink"/>
          </w:rPr>
          <w:t>HBA guidance under the NPS-UD</w:t>
        </w:r>
      </w:hyperlink>
      <w:r w:rsidRPr="00DF004C">
        <w:t>.</w:t>
      </w:r>
    </w:p>
    <w:p w14:paraId="216B926C" w14:textId="7F41F725" w:rsidR="00B40472" w:rsidRPr="00DF004C" w:rsidRDefault="00B40472" w:rsidP="00AD3B5A">
      <w:pPr>
        <w:pStyle w:val="Heading2"/>
        <w:numPr>
          <w:ilvl w:val="0"/>
          <w:numId w:val="46"/>
        </w:numPr>
      </w:pPr>
      <w:bookmarkStart w:id="19" w:name="_Toc57803220"/>
      <w:r w:rsidRPr="00DF004C">
        <w:lastRenderedPageBreak/>
        <w:t>Evidence for meeting at least sufficient development capacity (clause</w:t>
      </w:r>
      <w:r w:rsidR="00212009" w:rsidRPr="00DF004C">
        <w:t> </w:t>
      </w:r>
      <w:r w:rsidRPr="00DF004C">
        <w:t>3.11(b)(ii))</w:t>
      </w:r>
      <w:bookmarkEnd w:id="19"/>
    </w:p>
    <w:p w14:paraId="148B8C59" w14:textId="0B319F87" w:rsidR="00C172FF" w:rsidRPr="00DF004C" w:rsidRDefault="00B40472" w:rsidP="00285ABB">
      <w:pPr>
        <w:pStyle w:val="BodyText"/>
        <w:spacing w:after="240"/>
      </w:pPr>
      <w:r w:rsidRPr="00DF004C">
        <w:t>HBAs are required to show that sufficient capacity for housing is provided (in accordance with</w:t>
      </w:r>
      <w:r w:rsidR="00353D0C" w:rsidRPr="00DF004C">
        <w:t> </w:t>
      </w:r>
      <w:r w:rsidRPr="00DF004C">
        <w:t>clause 3.27), to satisfy clause 3.2:</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285ABB" w:rsidRPr="00DF004C" w14:paraId="38DB24DC" w14:textId="77777777" w:rsidTr="00B25DFA">
        <w:tc>
          <w:tcPr>
            <w:tcW w:w="8505" w:type="dxa"/>
            <w:shd w:val="clear" w:color="auto" w:fill="CFE5E5"/>
          </w:tcPr>
          <w:p w14:paraId="3C869B99" w14:textId="77ADF556" w:rsidR="002E3543" w:rsidRPr="00DF004C" w:rsidRDefault="002E3543" w:rsidP="002E3543">
            <w:pPr>
              <w:pStyle w:val="Greenheading-casestudytables"/>
            </w:pPr>
            <w:r w:rsidRPr="00DF004C">
              <w:t xml:space="preserve">3.2 </w:t>
            </w:r>
            <w:r w:rsidR="003D0520" w:rsidRPr="00DF004C">
              <w:tab/>
            </w:r>
            <w:r w:rsidRPr="00DF004C">
              <w:t xml:space="preserve">Sufficient development capacity for housing </w:t>
            </w:r>
          </w:p>
          <w:p w14:paraId="130C0724" w14:textId="77777777" w:rsidR="002E3543" w:rsidRPr="00DF004C" w:rsidRDefault="002E3543" w:rsidP="002E3543">
            <w:pPr>
              <w:pStyle w:val="Greentext-casestudytables"/>
              <w:spacing w:after="0"/>
              <w:ind w:left="681" w:hanging="397"/>
            </w:pPr>
            <w:r w:rsidRPr="00DF004C">
              <w:t>(1)</w:t>
            </w:r>
            <w:r w:rsidRPr="00DF004C">
              <w:tab/>
              <w:t>Every tier 1, 2, and 3 local authority must provide at least sufficient development capacity in its region or district to meet expected demand for housing:</w:t>
            </w:r>
          </w:p>
          <w:p w14:paraId="4F7A994A" w14:textId="77777777" w:rsidR="002E3543" w:rsidRPr="00DF004C" w:rsidRDefault="002E3543" w:rsidP="002E3543">
            <w:pPr>
              <w:pStyle w:val="Greentext-casestudytables"/>
              <w:spacing w:after="0"/>
              <w:ind w:left="1077" w:hanging="397"/>
            </w:pPr>
            <w:r w:rsidRPr="00DF004C">
              <w:t>(a)</w:t>
            </w:r>
            <w:r w:rsidRPr="00DF004C">
              <w:tab/>
              <w:t>in existing and new urban areas; and</w:t>
            </w:r>
          </w:p>
          <w:p w14:paraId="2D5781FA" w14:textId="77777777" w:rsidR="002E3543" w:rsidRPr="00DF004C" w:rsidRDefault="002E3543" w:rsidP="002E3543">
            <w:pPr>
              <w:pStyle w:val="Greentext-casestudytables"/>
              <w:spacing w:after="0"/>
              <w:ind w:left="1077" w:hanging="397"/>
            </w:pPr>
            <w:r w:rsidRPr="00DF004C">
              <w:t>(b)</w:t>
            </w:r>
            <w:r w:rsidRPr="00DF004C">
              <w:tab/>
              <w:t xml:space="preserve">for both standalone dwellings and attached dwellings; and </w:t>
            </w:r>
          </w:p>
          <w:p w14:paraId="11222259" w14:textId="77777777" w:rsidR="002E3543" w:rsidRPr="00DF004C" w:rsidRDefault="002E3543" w:rsidP="002E3543">
            <w:pPr>
              <w:pStyle w:val="Greentext-casestudytables"/>
              <w:spacing w:after="60"/>
              <w:ind w:left="1077" w:hanging="397"/>
            </w:pPr>
            <w:r w:rsidRPr="00DF004C">
              <w:t>(c)</w:t>
            </w:r>
            <w:r w:rsidRPr="00DF004C">
              <w:tab/>
              <w:t xml:space="preserve">in the short, medium, and long term. </w:t>
            </w:r>
          </w:p>
          <w:p w14:paraId="57EEB613" w14:textId="77777777" w:rsidR="002E3543" w:rsidRPr="00DF004C" w:rsidRDefault="002E3543" w:rsidP="002E3543">
            <w:pPr>
              <w:pStyle w:val="Greentext-casestudytables"/>
              <w:spacing w:after="0"/>
              <w:ind w:left="681" w:hanging="397"/>
            </w:pPr>
            <w:r w:rsidRPr="00DF004C">
              <w:t>(2)</w:t>
            </w:r>
            <w:r w:rsidRPr="00DF004C">
              <w:tab/>
              <w:t xml:space="preserve">In order to be </w:t>
            </w:r>
            <w:r w:rsidRPr="00DF004C">
              <w:rPr>
                <w:b/>
                <w:bCs/>
              </w:rPr>
              <w:t>sufficient</w:t>
            </w:r>
            <w:r w:rsidRPr="00DF004C">
              <w:t xml:space="preserve"> to meet expected demand for housing, the development capacity must be: </w:t>
            </w:r>
          </w:p>
          <w:p w14:paraId="7BCBD948" w14:textId="77777777" w:rsidR="002E3543" w:rsidRPr="00DF004C" w:rsidRDefault="002E3543" w:rsidP="002E3543">
            <w:pPr>
              <w:pStyle w:val="Greentext-casestudytables"/>
              <w:spacing w:after="0"/>
              <w:ind w:left="1077" w:hanging="397"/>
            </w:pPr>
            <w:r w:rsidRPr="00DF004C">
              <w:t>(a)</w:t>
            </w:r>
            <w:r w:rsidRPr="00DF004C">
              <w:tab/>
              <w:t xml:space="preserve">plan-enabled (see clause 3.4(1)); and </w:t>
            </w:r>
          </w:p>
          <w:p w14:paraId="565B8BF3" w14:textId="77777777" w:rsidR="002E3543" w:rsidRPr="00DF004C" w:rsidRDefault="002E3543" w:rsidP="002E3543">
            <w:pPr>
              <w:pStyle w:val="Greentext-casestudytables"/>
              <w:spacing w:after="0"/>
              <w:ind w:left="1077" w:hanging="397"/>
            </w:pPr>
            <w:r w:rsidRPr="00DF004C">
              <w:t>(b)</w:t>
            </w:r>
            <w:r w:rsidRPr="00DF004C">
              <w:tab/>
              <w:t xml:space="preserve">infrastructure-ready (see clause 3.4(3)); and </w:t>
            </w:r>
          </w:p>
          <w:p w14:paraId="1114DF98" w14:textId="77777777" w:rsidR="002E3543" w:rsidRPr="00DF004C" w:rsidRDefault="002E3543" w:rsidP="002E3543">
            <w:pPr>
              <w:pStyle w:val="Greentext-casestudytables"/>
              <w:spacing w:after="0"/>
              <w:ind w:left="1077" w:hanging="397"/>
            </w:pPr>
            <w:r w:rsidRPr="00DF004C">
              <w:t>(c)</w:t>
            </w:r>
            <w:r w:rsidRPr="00DF004C">
              <w:tab/>
              <w:t xml:space="preserve">feasible and reasonably expected to be realised (see clause 3.26); and </w:t>
            </w:r>
          </w:p>
          <w:p w14:paraId="5E1DD0AB" w14:textId="68D2766D" w:rsidR="00285ABB" w:rsidRPr="00DF004C" w:rsidRDefault="002E3543" w:rsidP="002E3543">
            <w:pPr>
              <w:pStyle w:val="Greentext-casestudytables"/>
              <w:spacing w:after="240"/>
              <w:ind w:left="1077" w:hanging="397"/>
            </w:pPr>
            <w:r w:rsidRPr="00DF004C">
              <w:t>(d)</w:t>
            </w:r>
            <w:r w:rsidRPr="00DF004C">
              <w:tab/>
              <w:t>for tier 1 and 2 local authorities only, meet the expected demand plus the appropriate competitiveness margin (see clause 3.22).</w:t>
            </w:r>
          </w:p>
        </w:tc>
      </w:tr>
    </w:tbl>
    <w:p w14:paraId="333BC767" w14:textId="129A03AE" w:rsidR="006B4317" w:rsidRPr="00DF004C" w:rsidRDefault="006B4317" w:rsidP="006B4317">
      <w:pPr>
        <w:pStyle w:val="BodyText"/>
        <w:spacing w:before="240"/>
      </w:pPr>
      <w:r w:rsidRPr="00DF004C">
        <w:t>These provisions provide an evidence base to inform planning decisions, as required by clause 3.11.</w:t>
      </w:r>
    </w:p>
    <w:p w14:paraId="175D843A" w14:textId="66681120" w:rsidR="006B4317" w:rsidRPr="00DF004C" w:rsidRDefault="006B4317" w:rsidP="006B4317">
      <w:pPr>
        <w:pStyle w:val="BodyText"/>
      </w:pPr>
      <w:r w:rsidRPr="00DF004C">
        <w:t xml:space="preserve">Only tier 1 local authorities are required to continually monitor capacity that has been realised by zones (see clause 3.9(2)), but all local authorities (tier 1, 2 and 3) must link monitoring indicators to sufficient development capacity. This may require identifying key indicators used for HBA modelling and assessments and incorporating them into the monitoring regime for clause 3.9(1). For instance, if property sales and dwelling consent data were used to model sufficiency of housing capacity, the local authority should monitor these for relevant changes. Changes </w:t>
      </w:r>
      <w:proofErr w:type="gramStart"/>
      <w:r w:rsidRPr="00DF004C">
        <w:t>in excess of</w:t>
      </w:r>
      <w:proofErr w:type="gramEnd"/>
      <w:r w:rsidRPr="00DF004C">
        <w:t xml:space="preserve"> what was expected from the modelling may indicate a material change in</w:t>
      </w:r>
      <w:r w:rsidR="00353D0C" w:rsidRPr="00DF004C">
        <w:t> </w:t>
      </w:r>
      <w:r w:rsidRPr="00DF004C">
        <w:t>the capacity required. Observations about the changes and their impact on capacity could be included in the annual publication of monitoring results for clause 3.9(3).</w:t>
      </w:r>
    </w:p>
    <w:p w14:paraId="79A65552" w14:textId="2CEAE9F2" w:rsidR="006B4317" w:rsidRPr="00DF004C" w:rsidRDefault="006B4317" w:rsidP="00AD3B5A">
      <w:pPr>
        <w:pStyle w:val="Heading2"/>
        <w:numPr>
          <w:ilvl w:val="0"/>
          <w:numId w:val="46"/>
        </w:numPr>
      </w:pPr>
      <w:bookmarkStart w:id="20" w:name="_Toc56141169"/>
      <w:bookmarkStart w:id="21" w:name="_Toc57803221"/>
      <w:r w:rsidRPr="00DF004C">
        <w:t>Including evidence in section 32 reports (clause 3.11(2)</w:t>
      </w:r>
      <w:bookmarkEnd w:id="20"/>
      <w:r w:rsidRPr="00DF004C">
        <w:t>)</w:t>
      </w:r>
      <w:bookmarkEnd w:id="21"/>
    </w:p>
    <w:p w14:paraId="7D242A17" w14:textId="2F47CD0E" w:rsidR="006B4317" w:rsidRPr="00DF004C" w:rsidRDefault="006B4317" w:rsidP="006B4317">
      <w:pPr>
        <w:pStyle w:val="BodyText"/>
      </w:pPr>
      <w:r w:rsidRPr="00DF004C">
        <w:t>As the HBA process is intended to inform RMA planning documents, clause 3.11(2) requires that matters in clause 3.11(1)(a) and (b) be included in “relevant evaluation reports and further evaluation reports prepared under section 32 and 32AA of the Act</w:t>
      </w:r>
      <w:r w:rsidR="003901ED" w:rsidRPr="00DF004C">
        <w:t>”</w:t>
      </w:r>
      <w:r w:rsidRPr="00DF004C">
        <w:t>. It is expected that the scope and detail of any HBA evidence used corresponds to the scale and significance of the effects from plans or plan changes. More guidance for section 32, 32AA, and evaluation reports is available from the Ministry for the Environment’s website (</w:t>
      </w:r>
      <w:hyperlink r:id="rId26" w:history="1">
        <w:r w:rsidRPr="00DF004C">
          <w:rPr>
            <w:rStyle w:val="Hyperlink"/>
          </w:rPr>
          <w:t>guide to section 32</w:t>
        </w:r>
      </w:hyperlink>
      <w:r w:rsidRPr="00DF004C">
        <w:t xml:space="preserve">). </w:t>
      </w:r>
    </w:p>
    <w:p w14:paraId="5963E980" w14:textId="77777777" w:rsidR="00B40472" w:rsidRPr="00DF004C" w:rsidRDefault="00B40472" w:rsidP="00B40472">
      <w:pPr>
        <w:pStyle w:val="BodyText"/>
      </w:pPr>
    </w:p>
    <w:sectPr w:rsidR="00B40472" w:rsidRPr="00DF004C" w:rsidSect="006F5908">
      <w:footerReference w:type="even" r:id="rId27"/>
      <w:footerReference w:type="default" r:id="rId2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0B75F" w14:textId="77777777" w:rsidR="009E7FEB" w:rsidRDefault="009E7FEB" w:rsidP="0080531E">
      <w:pPr>
        <w:spacing w:before="0" w:after="0" w:line="240" w:lineRule="auto"/>
      </w:pPr>
      <w:r>
        <w:separator/>
      </w:r>
    </w:p>
    <w:p w14:paraId="3817A25C" w14:textId="77777777" w:rsidR="009E7FEB" w:rsidRDefault="009E7FEB"/>
  </w:endnote>
  <w:endnote w:type="continuationSeparator" w:id="0">
    <w:p w14:paraId="433B03B8" w14:textId="77777777" w:rsidR="009E7FEB" w:rsidRDefault="009E7FEB" w:rsidP="0080531E">
      <w:pPr>
        <w:spacing w:before="0" w:after="0" w:line="240" w:lineRule="auto"/>
      </w:pPr>
      <w:r>
        <w:continuationSeparator/>
      </w:r>
    </w:p>
    <w:p w14:paraId="4A0A8063" w14:textId="77777777" w:rsidR="009E7FEB" w:rsidRDefault="009E7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1E369" w14:textId="7BE14B8C" w:rsidR="00E5210B" w:rsidRDefault="00E5210B"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426F6"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FBABA"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540CF" w14:textId="29CA2B33"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2A39D4">
      <w:rPr>
        <w:noProof/>
      </w:rPr>
      <w:t>10</w:t>
    </w:r>
    <w:r w:rsidRPr="004F458A">
      <w:rPr>
        <w:b/>
      </w:rPr>
      <w:fldChar w:fldCharType="end"/>
    </w:r>
    <w:r>
      <w:tab/>
    </w:r>
    <w:r w:rsidR="00622429" w:rsidRPr="00622429">
      <w:t>Evidence-based decision-making under the National Policy Statement on Urban Development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4CB24" w14:textId="1F7136B7" w:rsidR="00E453AB" w:rsidRDefault="00E5210B" w:rsidP="00CD25E1">
    <w:pPr>
      <w:pStyle w:val="Footerodd"/>
    </w:pPr>
    <w:r>
      <w:tab/>
    </w:r>
    <w:r w:rsidR="003901ED" w:rsidRPr="003901ED">
      <w:t>Evidence-based decision-making under the National Policy Statement on Urban Development</w:t>
    </w:r>
    <w:r>
      <w:tab/>
    </w:r>
    <w:r w:rsidR="008540A6">
      <w:fldChar w:fldCharType="begin"/>
    </w:r>
    <w:r w:rsidR="008540A6">
      <w:instrText xml:space="preserve"> PAGE   \* MERGEFORMAT </w:instrText>
    </w:r>
    <w:r w:rsidR="008540A6">
      <w:fldChar w:fldCharType="separate"/>
    </w:r>
    <w:r w:rsidR="002A39D4">
      <w:rPr>
        <w:noProof/>
      </w:rPr>
      <w:t>11</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FF2D2" w14:textId="77777777" w:rsidR="009E7FEB" w:rsidRDefault="009E7FEB" w:rsidP="00CB5C5F">
      <w:pPr>
        <w:spacing w:before="0" w:after="80" w:line="240" w:lineRule="auto"/>
      </w:pPr>
      <w:r>
        <w:separator/>
      </w:r>
    </w:p>
  </w:footnote>
  <w:footnote w:type="continuationSeparator" w:id="0">
    <w:p w14:paraId="23B93FC5" w14:textId="77777777" w:rsidR="009E7FEB" w:rsidRDefault="009E7FEB" w:rsidP="0080531E">
      <w:pPr>
        <w:spacing w:before="0" w:after="0" w:line="240" w:lineRule="auto"/>
      </w:pPr>
      <w:r>
        <w:continuationSeparator/>
      </w:r>
    </w:p>
    <w:p w14:paraId="14D04076" w14:textId="77777777" w:rsidR="009E7FEB" w:rsidRDefault="009E7F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B5DB7" w14:textId="155869D8" w:rsidR="00DE7BF8" w:rsidRPr="00DE7BF8" w:rsidRDefault="00DE7BF8"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3D76E"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16EF8"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F62F7"/>
    <w:multiLevelType w:val="multilevel"/>
    <w:tmpl w:val="F8568564"/>
    <w:lvl w:ilvl="0">
      <w:start w:val="1"/>
      <w:numFmt w:val="decimal"/>
      <w:lvlText w:val="4.%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3F7075"/>
    <w:multiLevelType w:val="multilevel"/>
    <w:tmpl w:val="972C1F62"/>
    <w:lvl w:ilvl="0">
      <w:start w:val="1"/>
      <w:numFmt w:val="decimal"/>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4527F"/>
    <w:multiLevelType w:val="hybridMultilevel"/>
    <w:tmpl w:val="4D506B60"/>
    <w:lvl w:ilvl="0" w:tplc="9FA2B93E">
      <w:start w:val="1"/>
      <w:numFmt w:val="lowerRoman"/>
      <w:lvlText w:val="(%1)"/>
      <w:lvlJc w:val="left"/>
      <w:pPr>
        <w:ind w:left="1800" w:hanging="720"/>
      </w:p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start w:val="1"/>
      <w:numFmt w:val="decimal"/>
      <w:lvlText w:val="%4."/>
      <w:lvlJc w:val="left"/>
      <w:pPr>
        <w:ind w:left="3600" w:hanging="360"/>
      </w:pPr>
    </w:lvl>
    <w:lvl w:ilvl="4" w:tplc="14090019">
      <w:start w:val="1"/>
      <w:numFmt w:val="lowerLetter"/>
      <w:lvlText w:val="%5."/>
      <w:lvlJc w:val="left"/>
      <w:pPr>
        <w:ind w:left="4320" w:hanging="360"/>
      </w:pPr>
    </w:lvl>
    <w:lvl w:ilvl="5" w:tplc="1409001B">
      <w:start w:val="1"/>
      <w:numFmt w:val="lowerRoman"/>
      <w:lvlText w:val="%6."/>
      <w:lvlJc w:val="right"/>
      <w:pPr>
        <w:ind w:left="5040" w:hanging="180"/>
      </w:pPr>
    </w:lvl>
    <w:lvl w:ilvl="6" w:tplc="1409000F">
      <w:start w:val="1"/>
      <w:numFmt w:val="decimal"/>
      <w:lvlText w:val="%7."/>
      <w:lvlJc w:val="left"/>
      <w:pPr>
        <w:ind w:left="5760" w:hanging="360"/>
      </w:pPr>
    </w:lvl>
    <w:lvl w:ilvl="7" w:tplc="14090019">
      <w:start w:val="1"/>
      <w:numFmt w:val="lowerLetter"/>
      <w:lvlText w:val="%8."/>
      <w:lvlJc w:val="left"/>
      <w:pPr>
        <w:ind w:left="6480" w:hanging="360"/>
      </w:pPr>
    </w:lvl>
    <w:lvl w:ilvl="8" w:tplc="1409001B">
      <w:start w:val="1"/>
      <w:numFmt w:val="lowerRoman"/>
      <w:lvlText w:val="%9."/>
      <w:lvlJc w:val="right"/>
      <w:pPr>
        <w:ind w:left="7200" w:hanging="180"/>
      </w:pPr>
    </w:lvl>
  </w:abstractNum>
  <w:abstractNum w:abstractNumId="7"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E6F201E"/>
    <w:multiLevelType w:val="multilevel"/>
    <w:tmpl w:val="C7440BB4"/>
    <w:numStyleLink w:val="Style2"/>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6"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8"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88B2542"/>
    <w:multiLevelType w:val="multilevel"/>
    <w:tmpl w:val="1D64D50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3C20AC"/>
    <w:multiLevelType w:val="multilevel"/>
    <w:tmpl w:val="13DAF6D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747712"/>
    <w:multiLevelType w:val="multilevel"/>
    <w:tmpl w:val="A0CA0D1A"/>
    <w:lvl w:ilvl="0">
      <w:start w:val="1"/>
      <w:numFmt w:val="decimal"/>
      <w:lvlText w:val="1.%1"/>
      <w:lvlJc w:val="left"/>
      <w:pPr>
        <w:ind w:left="851" w:hanging="851"/>
      </w:pPr>
      <w:rPr>
        <w:rFonts w:ascii="Calibri" w:hAnsi="Calibri" w:cs="Arial"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5"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F764A4"/>
    <w:multiLevelType w:val="multilevel"/>
    <w:tmpl w:val="1FD800BA"/>
    <w:lvl w:ilvl="0">
      <w:start w:val="1"/>
      <w:numFmt w:val="decimal"/>
      <w:lvlText w:val="2.%1"/>
      <w:lvlJc w:val="left"/>
      <w:pPr>
        <w:ind w:left="851" w:hanging="851"/>
      </w:pPr>
      <w:rPr>
        <w:rFonts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C042717"/>
    <w:multiLevelType w:val="multilevel"/>
    <w:tmpl w:val="DCDEB9D0"/>
    <w:numStyleLink w:val="Style1"/>
  </w:abstractNum>
  <w:abstractNum w:abstractNumId="3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0" w15:restartNumberingAfterBreak="0">
    <w:nsid w:val="71AA640E"/>
    <w:multiLevelType w:val="hybridMultilevel"/>
    <w:tmpl w:val="569614E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41"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7"/>
  </w:num>
  <w:num w:numId="2">
    <w:abstractNumId w:val="27"/>
  </w:num>
  <w:num w:numId="3">
    <w:abstractNumId w:val="43"/>
  </w:num>
  <w:num w:numId="4">
    <w:abstractNumId w:val="22"/>
  </w:num>
  <w:num w:numId="5">
    <w:abstractNumId w:val="15"/>
  </w:num>
  <w:num w:numId="6">
    <w:abstractNumId w:val="10"/>
  </w:num>
  <w:num w:numId="7">
    <w:abstractNumId w:val="25"/>
  </w:num>
  <w:num w:numId="8">
    <w:abstractNumId w:val="24"/>
  </w:num>
  <w:num w:numId="9">
    <w:abstractNumId w:val="4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4"/>
  </w:num>
  <w:num w:numId="13">
    <w:abstractNumId w:val="14"/>
  </w:num>
  <w:num w:numId="14">
    <w:abstractNumId w:val="37"/>
  </w:num>
  <w:num w:numId="15">
    <w:abstractNumId w:val="23"/>
  </w:num>
  <w:num w:numId="16">
    <w:abstractNumId w:val="13"/>
  </w:num>
  <w:num w:numId="17">
    <w:abstractNumId w:val="35"/>
  </w:num>
  <w:num w:numId="18">
    <w:abstractNumId w:val="28"/>
  </w:num>
  <w:num w:numId="19">
    <w:abstractNumId w:val="38"/>
  </w:num>
  <w:num w:numId="20">
    <w:abstractNumId w:val="16"/>
  </w:num>
  <w:num w:numId="21">
    <w:abstractNumId w:val="30"/>
  </w:num>
  <w:num w:numId="22">
    <w:abstractNumId w:val="7"/>
  </w:num>
  <w:num w:numId="23">
    <w:abstractNumId w:val="26"/>
  </w:num>
  <w:num w:numId="24">
    <w:abstractNumId w:val="18"/>
  </w:num>
  <w:num w:numId="25">
    <w:abstractNumId w:val="41"/>
  </w:num>
  <w:num w:numId="26">
    <w:abstractNumId w:val="33"/>
  </w:num>
  <w:num w:numId="27">
    <w:abstractNumId w:val="1"/>
  </w:num>
  <w:num w:numId="28">
    <w:abstractNumId w:val="20"/>
  </w:num>
  <w:num w:numId="29">
    <w:abstractNumId w:val="11"/>
  </w:num>
  <w:num w:numId="30">
    <w:abstractNumId w:val="5"/>
  </w:num>
  <w:num w:numId="31">
    <w:abstractNumId w:val="4"/>
  </w:num>
  <w:num w:numId="32">
    <w:abstractNumId w:val="8"/>
  </w:num>
  <w:num w:numId="33">
    <w:abstractNumId w:val="12"/>
  </w:num>
  <w:num w:numId="34">
    <w:abstractNumId w:val="21"/>
  </w:num>
  <w:num w:numId="35">
    <w:abstractNumId w:val="19"/>
  </w:num>
  <w:num w:numId="36">
    <w:abstractNumId w:val="9"/>
  </w:num>
  <w:num w:numId="37">
    <w:abstractNumId w:val="39"/>
  </w:num>
  <w:num w:numId="38">
    <w:abstractNumId w:val="31"/>
  </w:num>
  <w:num w:numId="39">
    <w:abstractNumId w:val="29"/>
  </w:num>
  <w:num w:numId="40">
    <w:abstractNumId w:val="2"/>
  </w:num>
  <w:num w:numId="41">
    <w:abstractNumId w:val="32"/>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36"/>
  </w:num>
  <w:num w:numId="4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E38"/>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EC7"/>
    <w:rsid w:val="00012244"/>
    <w:rsid w:val="00012555"/>
    <w:rsid w:val="00012ECC"/>
    <w:rsid w:val="00014236"/>
    <w:rsid w:val="000148F6"/>
    <w:rsid w:val="00015217"/>
    <w:rsid w:val="000159D2"/>
    <w:rsid w:val="00016264"/>
    <w:rsid w:val="0001634F"/>
    <w:rsid w:val="00016993"/>
    <w:rsid w:val="00016CAB"/>
    <w:rsid w:val="00016E5B"/>
    <w:rsid w:val="0001749B"/>
    <w:rsid w:val="00017D75"/>
    <w:rsid w:val="00017FE5"/>
    <w:rsid w:val="00021910"/>
    <w:rsid w:val="00022E8D"/>
    <w:rsid w:val="0002348A"/>
    <w:rsid w:val="00023BDA"/>
    <w:rsid w:val="00024708"/>
    <w:rsid w:val="00024EE7"/>
    <w:rsid w:val="00025F96"/>
    <w:rsid w:val="00025FAB"/>
    <w:rsid w:val="00026E89"/>
    <w:rsid w:val="000275A3"/>
    <w:rsid w:val="00030558"/>
    <w:rsid w:val="00030699"/>
    <w:rsid w:val="00030725"/>
    <w:rsid w:val="00030DB8"/>
    <w:rsid w:val="00031A83"/>
    <w:rsid w:val="000320D8"/>
    <w:rsid w:val="0003213A"/>
    <w:rsid w:val="00032A81"/>
    <w:rsid w:val="000340D8"/>
    <w:rsid w:val="0003427D"/>
    <w:rsid w:val="00034DFA"/>
    <w:rsid w:val="000357ED"/>
    <w:rsid w:val="00035E15"/>
    <w:rsid w:val="0003640E"/>
    <w:rsid w:val="0003688A"/>
    <w:rsid w:val="000368FC"/>
    <w:rsid w:val="00036DA3"/>
    <w:rsid w:val="000370D1"/>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2A43"/>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67CC0"/>
    <w:rsid w:val="000703B2"/>
    <w:rsid w:val="00070FBF"/>
    <w:rsid w:val="000711EE"/>
    <w:rsid w:val="0007180E"/>
    <w:rsid w:val="00071AE4"/>
    <w:rsid w:val="00071CB5"/>
    <w:rsid w:val="00071CCB"/>
    <w:rsid w:val="00071D03"/>
    <w:rsid w:val="0007232B"/>
    <w:rsid w:val="000735A2"/>
    <w:rsid w:val="0007517E"/>
    <w:rsid w:val="00075FE1"/>
    <w:rsid w:val="00076000"/>
    <w:rsid w:val="00076667"/>
    <w:rsid w:val="00077473"/>
    <w:rsid w:val="00077481"/>
    <w:rsid w:val="000776F9"/>
    <w:rsid w:val="00077EE0"/>
    <w:rsid w:val="000802F9"/>
    <w:rsid w:val="0008145A"/>
    <w:rsid w:val="0008162D"/>
    <w:rsid w:val="000831C8"/>
    <w:rsid w:val="000837FD"/>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4D18"/>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488F"/>
    <w:rsid w:val="000F50C7"/>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5BBB"/>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4F5"/>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4C9"/>
    <w:rsid w:val="00166E03"/>
    <w:rsid w:val="00167E4C"/>
    <w:rsid w:val="00171449"/>
    <w:rsid w:val="0017199C"/>
    <w:rsid w:val="00171C7E"/>
    <w:rsid w:val="00171F35"/>
    <w:rsid w:val="00172552"/>
    <w:rsid w:val="00172873"/>
    <w:rsid w:val="00172CF7"/>
    <w:rsid w:val="0017319E"/>
    <w:rsid w:val="00173A1F"/>
    <w:rsid w:val="00173BC3"/>
    <w:rsid w:val="00174128"/>
    <w:rsid w:val="00174A13"/>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2D4"/>
    <w:rsid w:val="00190A57"/>
    <w:rsid w:val="00190B3F"/>
    <w:rsid w:val="0019122C"/>
    <w:rsid w:val="00191908"/>
    <w:rsid w:val="00192DF3"/>
    <w:rsid w:val="0019301F"/>
    <w:rsid w:val="00193286"/>
    <w:rsid w:val="001937B8"/>
    <w:rsid w:val="00194BB7"/>
    <w:rsid w:val="00194CC5"/>
    <w:rsid w:val="001951B2"/>
    <w:rsid w:val="0019565D"/>
    <w:rsid w:val="00197564"/>
    <w:rsid w:val="00197CAE"/>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969"/>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009"/>
    <w:rsid w:val="0021230F"/>
    <w:rsid w:val="002125B0"/>
    <w:rsid w:val="00212A82"/>
    <w:rsid w:val="00214EA2"/>
    <w:rsid w:val="002160FA"/>
    <w:rsid w:val="002166DD"/>
    <w:rsid w:val="002168A2"/>
    <w:rsid w:val="00217867"/>
    <w:rsid w:val="002203B1"/>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C4B"/>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1D7B"/>
    <w:rsid w:val="00282317"/>
    <w:rsid w:val="00282D25"/>
    <w:rsid w:val="00282DF9"/>
    <w:rsid w:val="00283A44"/>
    <w:rsid w:val="0028529F"/>
    <w:rsid w:val="00285687"/>
    <w:rsid w:val="00285ABB"/>
    <w:rsid w:val="00287649"/>
    <w:rsid w:val="00287DAB"/>
    <w:rsid w:val="00287FB6"/>
    <w:rsid w:val="002900C5"/>
    <w:rsid w:val="002901E0"/>
    <w:rsid w:val="0029075B"/>
    <w:rsid w:val="00290BB1"/>
    <w:rsid w:val="00291BC1"/>
    <w:rsid w:val="002932BE"/>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9D4"/>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064D"/>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6CE9"/>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543"/>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000C"/>
    <w:rsid w:val="003314B6"/>
    <w:rsid w:val="00331A20"/>
    <w:rsid w:val="00331DC1"/>
    <w:rsid w:val="00331E65"/>
    <w:rsid w:val="00333107"/>
    <w:rsid w:val="0033343B"/>
    <w:rsid w:val="0033393C"/>
    <w:rsid w:val="003357EE"/>
    <w:rsid w:val="00336C13"/>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D0C"/>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1ED"/>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93A"/>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520"/>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8CF"/>
    <w:rsid w:val="003E7F1B"/>
    <w:rsid w:val="003F0B41"/>
    <w:rsid w:val="003F1E39"/>
    <w:rsid w:val="003F221C"/>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3BCB"/>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80"/>
    <w:rsid w:val="004765F4"/>
    <w:rsid w:val="00476B4D"/>
    <w:rsid w:val="00476CBC"/>
    <w:rsid w:val="00476E6C"/>
    <w:rsid w:val="00477282"/>
    <w:rsid w:val="00477947"/>
    <w:rsid w:val="00480FA1"/>
    <w:rsid w:val="00481FD7"/>
    <w:rsid w:val="0048231F"/>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4C"/>
    <w:rsid w:val="004C339D"/>
    <w:rsid w:val="004C33E8"/>
    <w:rsid w:val="004C4307"/>
    <w:rsid w:val="004C4309"/>
    <w:rsid w:val="004C49E3"/>
    <w:rsid w:val="004C4E8A"/>
    <w:rsid w:val="004C514A"/>
    <w:rsid w:val="004C6572"/>
    <w:rsid w:val="004C6D4F"/>
    <w:rsid w:val="004C7541"/>
    <w:rsid w:val="004D1E71"/>
    <w:rsid w:val="004D2CDF"/>
    <w:rsid w:val="004D33CE"/>
    <w:rsid w:val="004D3D29"/>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A5"/>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260"/>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378A"/>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5E3"/>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7DE"/>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29"/>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1E8E"/>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02C"/>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410"/>
    <w:rsid w:val="0069569E"/>
    <w:rsid w:val="006956C6"/>
    <w:rsid w:val="00696EE3"/>
    <w:rsid w:val="0069715D"/>
    <w:rsid w:val="00697392"/>
    <w:rsid w:val="006973E5"/>
    <w:rsid w:val="00697664"/>
    <w:rsid w:val="00697681"/>
    <w:rsid w:val="0069770C"/>
    <w:rsid w:val="006A08F2"/>
    <w:rsid w:val="006A151A"/>
    <w:rsid w:val="006A1669"/>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317"/>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2D1A"/>
    <w:rsid w:val="006C3031"/>
    <w:rsid w:val="006C3607"/>
    <w:rsid w:val="006C3990"/>
    <w:rsid w:val="006C3ED2"/>
    <w:rsid w:val="006C4233"/>
    <w:rsid w:val="006C42E7"/>
    <w:rsid w:val="006C4422"/>
    <w:rsid w:val="006C586A"/>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204"/>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908"/>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2AE"/>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6846"/>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8DF"/>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0EE0"/>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243A"/>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08BB"/>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581"/>
    <w:rsid w:val="0087281D"/>
    <w:rsid w:val="008732D8"/>
    <w:rsid w:val="00873377"/>
    <w:rsid w:val="00873577"/>
    <w:rsid w:val="0087409F"/>
    <w:rsid w:val="00874D58"/>
    <w:rsid w:val="008750D2"/>
    <w:rsid w:val="00875AB5"/>
    <w:rsid w:val="00875C91"/>
    <w:rsid w:val="00875F85"/>
    <w:rsid w:val="00876C6B"/>
    <w:rsid w:val="00876DC9"/>
    <w:rsid w:val="00877125"/>
    <w:rsid w:val="008775CB"/>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54"/>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4CF"/>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2799A"/>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37FF7"/>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3A7"/>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09A"/>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091"/>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71E"/>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E7FEB"/>
    <w:rsid w:val="009F08F5"/>
    <w:rsid w:val="009F0956"/>
    <w:rsid w:val="009F0EE5"/>
    <w:rsid w:val="009F1264"/>
    <w:rsid w:val="009F245B"/>
    <w:rsid w:val="009F25E6"/>
    <w:rsid w:val="009F2BE8"/>
    <w:rsid w:val="009F2F09"/>
    <w:rsid w:val="009F300F"/>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BB8"/>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76B"/>
    <w:rsid w:val="00A64815"/>
    <w:rsid w:val="00A65043"/>
    <w:rsid w:val="00A66DF9"/>
    <w:rsid w:val="00A704E4"/>
    <w:rsid w:val="00A70858"/>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0CC"/>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206"/>
    <w:rsid w:val="00A9468F"/>
    <w:rsid w:val="00A9498D"/>
    <w:rsid w:val="00A95335"/>
    <w:rsid w:val="00A9566B"/>
    <w:rsid w:val="00A9657F"/>
    <w:rsid w:val="00A9797D"/>
    <w:rsid w:val="00AA015F"/>
    <w:rsid w:val="00AA0C3A"/>
    <w:rsid w:val="00AA1723"/>
    <w:rsid w:val="00AA190D"/>
    <w:rsid w:val="00AA1FDD"/>
    <w:rsid w:val="00AA22C3"/>
    <w:rsid w:val="00AA230D"/>
    <w:rsid w:val="00AA3E8D"/>
    <w:rsid w:val="00AA4941"/>
    <w:rsid w:val="00AA49E9"/>
    <w:rsid w:val="00AA5475"/>
    <w:rsid w:val="00AA5876"/>
    <w:rsid w:val="00AA6A8A"/>
    <w:rsid w:val="00AA6DD8"/>
    <w:rsid w:val="00AA6FA3"/>
    <w:rsid w:val="00AA70BB"/>
    <w:rsid w:val="00AA757C"/>
    <w:rsid w:val="00AA7F10"/>
    <w:rsid w:val="00AB0391"/>
    <w:rsid w:val="00AB1AAD"/>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B5A"/>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2E3C"/>
    <w:rsid w:val="00B2302B"/>
    <w:rsid w:val="00B24363"/>
    <w:rsid w:val="00B2456E"/>
    <w:rsid w:val="00B24979"/>
    <w:rsid w:val="00B250A5"/>
    <w:rsid w:val="00B25651"/>
    <w:rsid w:val="00B25DFA"/>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0472"/>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1D9"/>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1690"/>
    <w:rsid w:val="00B62A48"/>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3A4D"/>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5F67"/>
    <w:rsid w:val="00C060A0"/>
    <w:rsid w:val="00C07187"/>
    <w:rsid w:val="00C075C9"/>
    <w:rsid w:val="00C07FAD"/>
    <w:rsid w:val="00C106C4"/>
    <w:rsid w:val="00C111EA"/>
    <w:rsid w:val="00C119AD"/>
    <w:rsid w:val="00C1228D"/>
    <w:rsid w:val="00C13FED"/>
    <w:rsid w:val="00C14E7D"/>
    <w:rsid w:val="00C15722"/>
    <w:rsid w:val="00C16897"/>
    <w:rsid w:val="00C172FF"/>
    <w:rsid w:val="00C200C9"/>
    <w:rsid w:val="00C21D8E"/>
    <w:rsid w:val="00C22525"/>
    <w:rsid w:val="00C23DBB"/>
    <w:rsid w:val="00C23E71"/>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591"/>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11C"/>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7C8"/>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6A4"/>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4E4"/>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2DED"/>
    <w:rsid w:val="00D74160"/>
    <w:rsid w:val="00D75D22"/>
    <w:rsid w:val="00D75DA5"/>
    <w:rsid w:val="00D76C58"/>
    <w:rsid w:val="00D76CF2"/>
    <w:rsid w:val="00D76E7C"/>
    <w:rsid w:val="00D80572"/>
    <w:rsid w:val="00D80B40"/>
    <w:rsid w:val="00D8155B"/>
    <w:rsid w:val="00D81B38"/>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3B3"/>
    <w:rsid w:val="00D957FA"/>
    <w:rsid w:val="00D9664C"/>
    <w:rsid w:val="00D97404"/>
    <w:rsid w:val="00D975A3"/>
    <w:rsid w:val="00D979D0"/>
    <w:rsid w:val="00DA08CA"/>
    <w:rsid w:val="00DA0F37"/>
    <w:rsid w:val="00DA101A"/>
    <w:rsid w:val="00DA122C"/>
    <w:rsid w:val="00DA195A"/>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C76"/>
    <w:rsid w:val="00DC7E78"/>
    <w:rsid w:val="00DD040F"/>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04C"/>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7DAA"/>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149C"/>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039D"/>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E38"/>
    <w:rsid w:val="00EB190F"/>
    <w:rsid w:val="00EB235B"/>
    <w:rsid w:val="00EB31A3"/>
    <w:rsid w:val="00EB325B"/>
    <w:rsid w:val="00EB3E22"/>
    <w:rsid w:val="00EB693B"/>
    <w:rsid w:val="00EB7BA9"/>
    <w:rsid w:val="00EB7D75"/>
    <w:rsid w:val="00EC0752"/>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04FD"/>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060"/>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25A"/>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18"/>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DC78B0B"/>
  <w14:defaultImageDpi w14:val="330"/>
  <w15:docId w15:val="{1CB57A69-37A8-4D82-BDBF-B7AB4E53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B1AA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1AAD"/>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AB1AAD"/>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AB1AAD"/>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semiHidden/>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uiPriority w:val="1"/>
    <w:qFormat/>
    <w:rsid w:val="00EA64B4"/>
    <w:pPr>
      <w:keepNext/>
      <w:ind w:left="1134" w:hanging="1134"/>
      <w:jc w:val="left"/>
    </w:pPr>
    <w:rPr>
      <w:b/>
      <w:sz w:val="20"/>
    </w:rPr>
  </w:style>
  <w:style w:type="paragraph" w:customStyle="1" w:styleId="TableText">
    <w:name w:val="TableText"/>
    <w:basedOn w:val="Normal"/>
    <w:uiPriority w:val="1"/>
    <w:qFormat/>
    <w:rsid w:val="00EA64B4"/>
    <w:pPr>
      <w:spacing w:before="60" w:after="60" w:line="240" w:lineRule="atLeast"/>
      <w:jc w:val="left"/>
    </w:pPr>
    <w:rPr>
      <w:sz w:val="18"/>
    </w:rPr>
  </w:style>
  <w:style w:type="paragraph" w:customStyle="1" w:styleId="TableTextbold">
    <w:name w:val="TableText bold"/>
    <w:basedOn w:val="TableText"/>
    <w:uiPriority w:val="1"/>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uiPriority w:val="1"/>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uiPriority w:val="1"/>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customStyle="1" w:styleId="Default">
    <w:name w:val="Default"/>
    <w:semiHidden/>
    <w:rsid w:val="005022A5"/>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D80572"/>
    <w:rPr>
      <w:color w:val="605E5C"/>
      <w:shd w:val="clear" w:color="auto" w:fill="E1DFDD"/>
    </w:rPr>
  </w:style>
  <w:style w:type="paragraph" w:styleId="CommentText">
    <w:name w:val="annotation text"/>
    <w:basedOn w:val="Normal"/>
    <w:link w:val="CommentTextChar"/>
    <w:uiPriority w:val="99"/>
    <w:semiHidden/>
    <w:rsid w:val="000837FD"/>
    <w:pPr>
      <w:spacing w:line="240" w:lineRule="auto"/>
    </w:pPr>
    <w:rPr>
      <w:sz w:val="20"/>
      <w:szCs w:val="20"/>
    </w:rPr>
  </w:style>
  <w:style w:type="character" w:customStyle="1" w:styleId="CommentTextChar">
    <w:name w:val="Comment Text Char"/>
    <w:basedOn w:val="DefaultParagraphFont"/>
    <w:link w:val="CommentText"/>
    <w:uiPriority w:val="99"/>
    <w:semiHidden/>
    <w:rsid w:val="000837FD"/>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EE0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mfe.govt.nz/publications/towns-and-cities/national-policy-statement-urban-development-capacity-guide-evidence" TargetMode="External"/><Relationship Id="rId26" Type="http://schemas.openxmlformats.org/officeDocument/2006/relationships/hyperlink" Target="https://www.mfe.govt.nz/sites/default/files/media/RMA/guide-to-section-32-of-resource-manangemnt-amendment-act-1991.pdf" TargetMode="External"/><Relationship Id="rId3" Type="http://schemas.openxmlformats.org/officeDocument/2006/relationships/styles" Target="styles.xml"/><Relationship Id="rId21" Type="http://schemas.openxmlformats.org/officeDocument/2006/relationships/hyperlink" Target="https://www.mfe.govt.nz/publications/towns-and-cities/guidance-housing-and-business-development-capacity-assessments-hbas"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hyperlink" Target="file:///C:\Users\Baylism\AppData\Roaming\OpenText\OTEdit\tepuna_mfe_govt_nz-otcs\c11971600\Guidance%20on%20Housing%20and%20Business%20Development%20Capacity%20Assessments%20(HBAs)%20under%20the%20National%20Policy%20Statement%20on%20Urban%20Development"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mfe.govt.nz/publications/towns-and-cities/nps-ud-2020-hba-fact-she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hyperlink" Target="https://www.mfe.govt.nz/publications/towns-and-cities/national-policy-statement-urban-development-capacity-guide-evidence"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mfe.govt.nz/publications/towns-and-cities/signals-under-capacity-practicalities-monitoring-price-signals-under" TargetMode="External"/><Relationship Id="rId28"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yperlink" Target="https://www.mfe.govt.nz/more/towns-and-cities/implementing-national-policy-statement-urban-development-capacit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www.hud.govt.nz/urban-development/urban-development-dashboard/"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14EB39-0E8C-4F75-92AC-B267F38C4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0</TotalTime>
  <Pages>11</Pages>
  <Words>3236</Words>
  <Characters>18322</Characters>
  <Application>Microsoft Office Word</Application>
  <DocSecurity>0</DocSecurity>
  <Lines>359</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Melanie Baylis</cp:lastModifiedBy>
  <cp:revision>2</cp:revision>
  <dcterms:created xsi:type="dcterms:W3CDTF">2020-12-08T02:13:00Z</dcterms:created>
  <dcterms:modified xsi:type="dcterms:W3CDTF">2020-12-08T02:13:00Z</dcterms:modified>
</cp:coreProperties>
</file>