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EBF7F8" w14:textId="17300E02" w:rsidR="0080531E" w:rsidRPr="006B77BB" w:rsidRDefault="006C596E" w:rsidP="0003640E">
      <w:pPr>
        <w:pStyle w:val="BodyText"/>
      </w:pPr>
      <w:r>
        <w:rPr>
          <w:noProof/>
        </w:rPr>
        <w:drawing>
          <wp:anchor distT="0" distB="0" distL="114300" distR="114300" simplePos="0" relativeHeight="251658240" behindDoc="0" locked="0" layoutInCell="1" allowOverlap="1" wp14:anchorId="29962B55" wp14:editId="6F07C303">
            <wp:simplePos x="0" y="0"/>
            <wp:positionH relativeFrom="column">
              <wp:posOffset>-1115761</wp:posOffset>
            </wp:positionH>
            <wp:positionV relativeFrom="paragraph">
              <wp:posOffset>-3588575</wp:posOffset>
            </wp:positionV>
            <wp:extent cx="7614607" cy="10771246"/>
            <wp:effectExtent l="0" t="0" r="571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a:stretch>
                      <a:fillRect/>
                    </a:stretch>
                  </pic:blipFill>
                  <pic:spPr>
                    <a:xfrm>
                      <a:off x="0" y="0"/>
                      <a:ext cx="7617264" cy="10775005"/>
                    </a:xfrm>
                    <a:prstGeom prst="rect">
                      <a:avLst/>
                    </a:prstGeom>
                  </pic:spPr>
                </pic:pic>
              </a:graphicData>
            </a:graphic>
            <wp14:sizeRelH relativeFrom="page">
              <wp14:pctWidth>0</wp14:pctWidth>
            </wp14:sizeRelH>
            <wp14:sizeRelV relativeFrom="page">
              <wp14:pctHeight>0</wp14:pctHeight>
            </wp14:sizeRelV>
          </wp:anchor>
        </w:drawing>
      </w:r>
    </w:p>
    <w:p w14:paraId="0B94AFE0" w14:textId="77777777" w:rsidR="0003640E" w:rsidRPr="006B77BB" w:rsidRDefault="0003640E" w:rsidP="0003640E">
      <w:pPr>
        <w:pStyle w:val="BodyText"/>
      </w:pPr>
    </w:p>
    <w:p w14:paraId="622BE27D" w14:textId="77777777" w:rsidR="0003640E" w:rsidRPr="006B77BB" w:rsidRDefault="0003640E" w:rsidP="0080531E">
      <w:pPr>
        <w:jc w:val="left"/>
        <w:rPr>
          <w:color w:val="FF0000"/>
        </w:rPr>
        <w:sectPr w:rsidR="0003640E" w:rsidRPr="006B77BB" w:rsidSect="00B86F2A">
          <w:headerReference w:type="even" r:id="rId13"/>
          <w:headerReference w:type="default" r:id="rId14"/>
          <w:footerReference w:type="even" r:id="rId15"/>
          <w:footerReference w:type="default" r:id="rId16"/>
          <w:headerReference w:type="first" r:id="rId17"/>
          <w:footerReference w:type="first" r:id="rId18"/>
          <w:pgSz w:w="11907" w:h="16840" w:code="9"/>
          <w:pgMar w:top="5670" w:right="1701" w:bottom="1701" w:left="1701" w:header="567" w:footer="1134" w:gutter="0"/>
          <w:cols w:space="720"/>
        </w:sectPr>
      </w:pPr>
    </w:p>
    <w:p w14:paraId="489CC581" w14:textId="77777777" w:rsidR="00452EC4" w:rsidRPr="006B77BB" w:rsidRDefault="00452EC4" w:rsidP="00775F57">
      <w:pPr>
        <w:pStyle w:val="Imprint"/>
        <w:spacing w:before="0" w:after="0"/>
        <w:rPr>
          <w:b/>
        </w:rPr>
      </w:pPr>
      <w:r w:rsidRPr="006B77BB">
        <w:rPr>
          <w:b/>
        </w:rPr>
        <w:lastRenderedPageBreak/>
        <w:t>Disclaimer</w:t>
      </w:r>
    </w:p>
    <w:p w14:paraId="0BA0D6FA" w14:textId="51ACA979" w:rsidR="0059040D" w:rsidRDefault="0059040D" w:rsidP="00C10B6A">
      <w:pPr>
        <w:pStyle w:val="BodyText"/>
      </w:pPr>
      <w:r>
        <w:t xml:space="preserve">The information in this publication is, according to the Ministry for the Environment’s best efforts, accurate at the time of publication. The Ministry will make every reasonable effort to keep it current and accurate. However, users of this publication are advised that: </w:t>
      </w:r>
    </w:p>
    <w:p w14:paraId="3463DBEF" w14:textId="7E017878" w:rsidR="0059040D" w:rsidRDefault="0059040D" w:rsidP="00D01DD6">
      <w:pPr>
        <w:pStyle w:val="Bullet"/>
      </w:pPr>
      <w:r>
        <w:t xml:space="preserve">the information does not alter the laws of New Zealand, other official guidelines, or requirements </w:t>
      </w:r>
    </w:p>
    <w:p w14:paraId="75F9329E" w14:textId="1B53EC19" w:rsidR="0059040D" w:rsidRDefault="0059040D" w:rsidP="00D01DD6">
      <w:pPr>
        <w:pStyle w:val="Bullet"/>
      </w:pPr>
      <w:r>
        <w:t xml:space="preserve">it does not constitute legal advice, and users should take specific advice from qualified professionals before taking any action based on information in this publication </w:t>
      </w:r>
    </w:p>
    <w:p w14:paraId="7417CC95" w14:textId="60FC808A" w:rsidR="0059040D" w:rsidRDefault="0059040D" w:rsidP="00D01DD6">
      <w:pPr>
        <w:pStyle w:val="Bullet"/>
      </w:pPr>
      <w:r>
        <w:t xml:space="preserve">the Ministry does not accept any responsibility or liability whatsoever whether in contract, tort, equity, or otherwise for any action taken as a result of reading, or reliance placed on this publication because of having read any part, or all, of the information in this publication or for any error, or inadequacy, deficiency, flaw in, or omission from the information in this publication </w:t>
      </w:r>
    </w:p>
    <w:p w14:paraId="76AD3FA6" w14:textId="03EDCD52" w:rsidR="00452EC4" w:rsidRPr="006B77BB" w:rsidRDefault="0059040D" w:rsidP="00D01DD6">
      <w:pPr>
        <w:pStyle w:val="Bullet"/>
      </w:pPr>
      <w:r>
        <w:t>all references to websites, organisations or people not within the Ministry are for convenience only and should not be taken as endorsement of those websites or information contained in those websites nor of organisations or people referred to.</w:t>
      </w:r>
    </w:p>
    <w:p w14:paraId="08586D6A" w14:textId="77777777" w:rsidR="003D2475" w:rsidRDefault="003D2475" w:rsidP="00775F57">
      <w:pPr>
        <w:pStyle w:val="Imprint"/>
        <w:spacing w:after="0"/>
        <w:rPr>
          <w:b/>
        </w:rPr>
      </w:pPr>
    </w:p>
    <w:p w14:paraId="6F6FB412" w14:textId="4335F72E" w:rsidR="00452EC4" w:rsidRPr="006B77BB" w:rsidRDefault="00452EC4" w:rsidP="00775F57">
      <w:pPr>
        <w:pStyle w:val="Imprint"/>
        <w:spacing w:after="0"/>
        <w:rPr>
          <w:b/>
        </w:rPr>
      </w:pPr>
      <w:r w:rsidRPr="006B77BB">
        <w:rPr>
          <w:b/>
        </w:rPr>
        <w:t>Acknowledgements</w:t>
      </w:r>
    </w:p>
    <w:p w14:paraId="55D8DC7B" w14:textId="28768356" w:rsidR="00182C3E" w:rsidRDefault="003B0999" w:rsidP="00182C3E">
      <w:pPr>
        <w:pStyle w:val="BodyText"/>
      </w:pPr>
      <w:r>
        <w:t xml:space="preserve">Prepared for the Ministry for the Environment by </w:t>
      </w:r>
      <w:r w:rsidRPr="00101A6F">
        <w:t>Chandra Ghimire, Mike Rollo and Gina Lucci</w:t>
      </w:r>
      <w:r w:rsidR="004A2C22">
        <w:t xml:space="preserve"> from </w:t>
      </w:r>
      <w:r>
        <w:t>AgResearch Ltd, October 2022 (</w:t>
      </w:r>
      <w:r w:rsidRPr="00101A6F">
        <w:t>RE450/2022/044</w:t>
      </w:r>
      <w:r>
        <w:t>).</w:t>
      </w:r>
      <w:r w:rsidR="00182C3E">
        <w:t xml:space="preserve"> The authors would like to acknowledge the </w:t>
      </w:r>
      <w:r w:rsidR="0009697F">
        <w:t>feedback</w:t>
      </w:r>
      <w:r w:rsidR="00182C3E">
        <w:t xml:space="preserve"> from industry groups, councils, farmers, and AgResearch colleagues</w:t>
      </w:r>
      <w:r w:rsidR="00AA04D4">
        <w:t xml:space="preserve">. </w:t>
      </w:r>
    </w:p>
    <w:p w14:paraId="3CB22B80" w14:textId="2A2132B7" w:rsidR="006B7FEE" w:rsidRDefault="006B7FEE" w:rsidP="00182C3E">
      <w:pPr>
        <w:pStyle w:val="BodyText"/>
      </w:pPr>
      <w:r>
        <w:t xml:space="preserve">The Ministry for the Environment would also like to thank the regional council and Ministry for Primary Industries staff who provided feedback during the development of this guidance. </w:t>
      </w:r>
    </w:p>
    <w:p w14:paraId="5DAD134B" w14:textId="77777777" w:rsidR="003D2475" w:rsidRDefault="003D2475" w:rsidP="006B7FEE">
      <w:pPr>
        <w:pStyle w:val="BodyText"/>
      </w:pPr>
    </w:p>
    <w:p w14:paraId="07CEFC0A" w14:textId="77777777" w:rsidR="003D2475" w:rsidRDefault="003D2475" w:rsidP="006B7FEE">
      <w:pPr>
        <w:pStyle w:val="BodyText"/>
      </w:pPr>
    </w:p>
    <w:p w14:paraId="57205D21" w14:textId="53CA0281" w:rsidR="00452EC4" w:rsidRPr="006B77BB" w:rsidRDefault="00452EC4" w:rsidP="006B7FEE">
      <w:pPr>
        <w:pStyle w:val="BodyText"/>
      </w:pPr>
      <w:r w:rsidRPr="006B77BB">
        <w:t xml:space="preserve">This </w:t>
      </w:r>
      <w:r w:rsidR="00775F57" w:rsidRPr="006B77BB">
        <w:t>document</w:t>
      </w:r>
      <w:r w:rsidRPr="006B77BB">
        <w:t xml:space="preserve"> may be cited as:</w:t>
      </w:r>
      <w:r w:rsidR="00775F57" w:rsidRPr="006B77BB">
        <w:t xml:space="preserve"> Ministry for the Environment. </w:t>
      </w:r>
      <w:r w:rsidR="003B0999">
        <w:t>2023</w:t>
      </w:r>
      <w:r w:rsidR="00775F57" w:rsidRPr="006B77BB">
        <w:t xml:space="preserve">. </w:t>
      </w:r>
      <w:r w:rsidR="003B0999" w:rsidRPr="006B7FEE">
        <w:rPr>
          <w:i/>
          <w:iCs/>
        </w:rPr>
        <w:t xml:space="preserve">Critical source areas: </w:t>
      </w:r>
      <w:r w:rsidR="003D40E5">
        <w:rPr>
          <w:i/>
          <w:iCs/>
        </w:rPr>
        <w:t>G</w:t>
      </w:r>
      <w:r w:rsidR="003B0999" w:rsidRPr="006B7FEE">
        <w:rPr>
          <w:i/>
          <w:iCs/>
        </w:rPr>
        <w:t>uidance for intensive</w:t>
      </w:r>
      <w:r w:rsidR="003B0999">
        <w:rPr>
          <w:i/>
          <w:iCs/>
        </w:rPr>
        <w:t xml:space="preserve"> </w:t>
      </w:r>
      <w:r w:rsidR="003B0999" w:rsidRPr="006B7FEE">
        <w:rPr>
          <w:i/>
          <w:iCs/>
        </w:rPr>
        <w:t>winter grazing</w:t>
      </w:r>
      <w:r w:rsidR="00775F57" w:rsidRPr="006B77BB">
        <w:t>. Wellington: Ministry for the Environment.</w:t>
      </w:r>
    </w:p>
    <w:p w14:paraId="7E58DDFD" w14:textId="77777777" w:rsidR="003D2475" w:rsidRDefault="003D2475" w:rsidP="0080531E">
      <w:pPr>
        <w:pStyle w:val="Imprint"/>
      </w:pPr>
    </w:p>
    <w:p w14:paraId="3E79C301" w14:textId="77777777" w:rsidR="003D2475" w:rsidRDefault="003D2475" w:rsidP="0080531E">
      <w:pPr>
        <w:pStyle w:val="Imprint"/>
      </w:pPr>
    </w:p>
    <w:p w14:paraId="2B6ADE01" w14:textId="32493B6E" w:rsidR="0080531E" w:rsidRPr="006B77BB" w:rsidRDefault="0080531E" w:rsidP="0080531E">
      <w:pPr>
        <w:pStyle w:val="Imprint"/>
      </w:pPr>
      <w:r w:rsidRPr="006B77BB">
        <w:t xml:space="preserve">Published in </w:t>
      </w:r>
      <w:r w:rsidR="00A648FA">
        <w:t>March</w:t>
      </w:r>
      <w:r w:rsidR="00A648FA" w:rsidRPr="00663783">
        <w:t xml:space="preserve"> </w:t>
      </w:r>
      <w:r w:rsidR="002A12A6">
        <w:t>2023</w:t>
      </w:r>
      <w:r w:rsidRPr="006B77BB">
        <w:t xml:space="preserve"> by the</w:t>
      </w:r>
      <w:r w:rsidRPr="006B77BB">
        <w:br/>
        <w:t xml:space="preserve">Ministry for the Environment </w:t>
      </w:r>
      <w:r w:rsidRPr="006B77BB">
        <w:br/>
        <w:t xml:space="preserve">Manatū </w:t>
      </w:r>
      <w:r w:rsidR="00C10B6A">
        <w:t>m</w:t>
      </w:r>
      <w:r w:rsidRPr="006B77BB">
        <w:t xml:space="preserve">ō </w:t>
      </w:r>
      <w:r w:rsidR="00C10B6A">
        <w:t>t</w:t>
      </w:r>
      <w:r w:rsidRPr="006B77BB">
        <w:t>e Taiao</w:t>
      </w:r>
      <w:r w:rsidRPr="006B77BB">
        <w:br/>
        <w:t>PO Box 10362, Wellington 6143, New Zealand</w:t>
      </w:r>
      <w:r w:rsidR="00F27E5C">
        <w:br/>
      </w:r>
    </w:p>
    <w:p w14:paraId="795464D0" w14:textId="557C8465" w:rsidR="0080531E" w:rsidRPr="00D50AFC" w:rsidRDefault="0080531E" w:rsidP="00257395">
      <w:pPr>
        <w:pStyle w:val="Imprint"/>
        <w:tabs>
          <w:tab w:val="left" w:pos="0"/>
        </w:tabs>
        <w:spacing w:before="0"/>
        <w:rPr>
          <w:lang w:val="en-US"/>
        </w:rPr>
      </w:pPr>
      <w:r w:rsidRPr="006B77BB">
        <w:t xml:space="preserve">ISBN: </w:t>
      </w:r>
      <w:r w:rsidR="00D50AFC" w:rsidRPr="00D50AFC">
        <w:rPr>
          <w:lang w:val="en-US"/>
        </w:rPr>
        <w:t>978-1-991077-33-2</w:t>
      </w:r>
      <w:r w:rsidR="00D50AFC">
        <w:rPr>
          <w:lang w:val="en-US"/>
        </w:rPr>
        <w:br/>
      </w:r>
      <w:r w:rsidRPr="006B77BB">
        <w:t xml:space="preserve">Publication number: </w:t>
      </w:r>
      <w:r w:rsidRPr="0028672A">
        <w:t xml:space="preserve">ME </w:t>
      </w:r>
      <w:r w:rsidR="0028672A">
        <w:t>1744</w:t>
      </w:r>
    </w:p>
    <w:p w14:paraId="35AC77E6" w14:textId="09F17BBA" w:rsidR="0080531E" w:rsidRPr="006B77BB" w:rsidRDefault="0080531E" w:rsidP="00593E94">
      <w:pPr>
        <w:pStyle w:val="Imprint"/>
        <w:spacing w:after="80"/>
      </w:pPr>
      <w:r w:rsidRPr="006B77BB">
        <w:t xml:space="preserve">© Crown copyright New Zealand </w:t>
      </w:r>
      <w:r w:rsidR="0009697F">
        <w:t>2023</w:t>
      </w:r>
    </w:p>
    <w:p w14:paraId="40F8E2FD" w14:textId="77777777" w:rsidR="0080531E" w:rsidRPr="00A84FE1" w:rsidRDefault="0080531E" w:rsidP="00A84FE1">
      <w:pPr>
        <w:sectPr w:rsidR="0080531E" w:rsidRPr="00A84FE1" w:rsidSect="008A7498">
          <w:headerReference w:type="even" r:id="rId19"/>
          <w:headerReference w:type="default" r:id="rId20"/>
          <w:footerReference w:type="even" r:id="rId21"/>
          <w:footerReference w:type="default" r:id="rId22"/>
          <w:pgSz w:w="11907" w:h="16840" w:code="9"/>
          <w:pgMar w:top="1134" w:right="1701" w:bottom="1134" w:left="1701" w:header="567" w:footer="567" w:gutter="0"/>
          <w:pgNumType w:fmt="lowerRoman"/>
          <w:cols w:space="720"/>
        </w:sectPr>
      </w:pPr>
    </w:p>
    <w:p w14:paraId="2728C8EC" w14:textId="77777777" w:rsidR="0080531E" w:rsidRPr="00F06E0B" w:rsidRDefault="0080531E" w:rsidP="00585FD0">
      <w:pPr>
        <w:pStyle w:val="Heading"/>
      </w:pPr>
      <w:r w:rsidRPr="00F06E0B">
        <w:lastRenderedPageBreak/>
        <w:t>Contents</w:t>
      </w:r>
    </w:p>
    <w:p w14:paraId="7337F728" w14:textId="61CA51C3" w:rsidR="00A03F0C" w:rsidRDefault="00B15416">
      <w:pPr>
        <w:pStyle w:val="TOC1"/>
        <w:rPr>
          <w:rFonts w:asciiTheme="minorHAnsi" w:hAnsiTheme="minorHAnsi"/>
          <w:noProof/>
        </w:rPr>
      </w:pPr>
      <w:r>
        <w:rPr>
          <w:color w:val="0092CF"/>
        </w:rPr>
        <w:fldChar w:fldCharType="begin"/>
      </w:r>
      <w:r>
        <w:rPr>
          <w:color w:val="0092CF"/>
        </w:rPr>
        <w:instrText xml:space="preserve"> TOC \o "2-3" \h \z \t "Heading 1,1" </w:instrText>
      </w:r>
      <w:r>
        <w:rPr>
          <w:color w:val="0092CF"/>
        </w:rPr>
        <w:fldChar w:fldCharType="separate"/>
      </w:r>
      <w:hyperlink w:anchor="_Toc129957912" w:history="1">
        <w:r w:rsidR="00A03F0C" w:rsidRPr="00ED7E2A">
          <w:rPr>
            <w:rStyle w:val="Hyperlink"/>
            <w:noProof/>
          </w:rPr>
          <w:t>1.</w:t>
        </w:r>
        <w:r w:rsidR="00A03F0C">
          <w:rPr>
            <w:rFonts w:asciiTheme="minorHAnsi" w:hAnsiTheme="minorHAnsi"/>
            <w:noProof/>
          </w:rPr>
          <w:tab/>
        </w:r>
        <w:r w:rsidR="00A03F0C" w:rsidRPr="00ED7E2A">
          <w:rPr>
            <w:rStyle w:val="Hyperlink"/>
            <w:noProof/>
          </w:rPr>
          <w:t>Executive summary</w:t>
        </w:r>
        <w:r w:rsidR="00A03F0C">
          <w:rPr>
            <w:noProof/>
            <w:webHidden/>
          </w:rPr>
          <w:tab/>
        </w:r>
        <w:r w:rsidR="00A03F0C">
          <w:rPr>
            <w:noProof/>
            <w:webHidden/>
          </w:rPr>
          <w:fldChar w:fldCharType="begin"/>
        </w:r>
        <w:r w:rsidR="00A03F0C">
          <w:rPr>
            <w:noProof/>
            <w:webHidden/>
          </w:rPr>
          <w:instrText xml:space="preserve"> PAGEREF _Toc129957912 \h </w:instrText>
        </w:r>
        <w:r w:rsidR="00A03F0C">
          <w:rPr>
            <w:noProof/>
            <w:webHidden/>
          </w:rPr>
        </w:r>
        <w:r w:rsidR="00A03F0C">
          <w:rPr>
            <w:noProof/>
            <w:webHidden/>
          </w:rPr>
          <w:fldChar w:fldCharType="separate"/>
        </w:r>
        <w:r w:rsidR="00DB1991">
          <w:rPr>
            <w:noProof/>
            <w:webHidden/>
          </w:rPr>
          <w:t>5</w:t>
        </w:r>
        <w:r w:rsidR="00A03F0C">
          <w:rPr>
            <w:noProof/>
            <w:webHidden/>
          </w:rPr>
          <w:fldChar w:fldCharType="end"/>
        </w:r>
      </w:hyperlink>
    </w:p>
    <w:p w14:paraId="4511A042" w14:textId="140FFFF0" w:rsidR="00A03F0C" w:rsidRDefault="00C427E2">
      <w:pPr>
        <w:pStyle w:val="TOC1"/>
        <w:rPr>
          <w:rFonts w:asciiTheme="minorHAnsi" w:hAnsiTheme="minorHAnsi"/>
          <w:noProof/>
        </w:rPr>
      </w:pPr>
      <w:hyperlink w:anchor="_Toc129957913" w:history="1">
        <w:r w:rsidR="00A03F0C" w:rsidRPr="00ED7E2A">
          <w:rPr>
            <w:rStyle w:val="Hyperlink"/>
            <w:noProof/>
          </w:rPr>
          <w:t>2.</w:t>
        </w:r>
        <w:r w:rsidR="00A03F0C">
          <w:rPr>
            <w:rFonts w:asciiTheme="minorHAnsi" w:hAnsiTheme="minorHAnsi"/>
            <w:noProof/>
          </w:rPr>
          <w:tab/>
        </w:r>
        <w:r w:rsidR="00A03F0C" w:rsidRPr="00ED7E2A">
          <w:rPr>
            <w:rStyle w:val="Hyperlink"/>
            <w:noProof/>
          </w:rPr>
          <w:t>Introduction</w:t>
        </w:r>
        <w:r w:rsidR="00A03F0C">
          <w:rPr>
            <w:noProof/>
            <w:webHidden/>
          </w:rPr>
          <w:tab/>
        </w:r>
        <w:r w:rsidR="00A03F0C">
          <w:rPr>
            <w:noProof/>
            <w:webHidden/>
          </w:rPr>
          <w:fldChar w:fldCharType="begin"/>
        </w:r>
        <w:r w:rsidR="00A03F0C">
          <w:rPr>
            <w:noProof/>
            <w:webHidden/>
          </w:rPr>
          <w:instrText xml:space="preserve"> PAGEREF _Toc129957913 \h </w:instrText>
        </w:r>
        <w:r w:rsidR="00A03F0C">
          <w:rPr>
            <w:noProof/>
            <w:webHidden/>
          </w:rPr>
        </w:r>
        <w:r w:rsidR="00A03F0C">
          <w:rPr>
            <w:noProof/>
            <w:webHidden/>
          </w:rPr>
          <w:fldChar w:fldCharType="separate"/>
        </w:r>
        <w:r w:rsidR="00DB1991">
          <w:rPr>
            <w:noProof/>
            <w:webHidden/>
          </w:rPr>
          <w:t>6</w:t>
        </w:r>
        <w:r w:rsidR="00A03F0C">
          <w:rPr>
            <w:noProof/>
            <w:webHidden/>
          </w:rPr>
          <w:fldChar w:fldCharType="end"/>
        </w:r>
      </w:hyperlink>
    </w:p>
    <w:p w14:paraId="503DDF04" w14:textId="2106063A" w:rsidR="00A03F0C" w:rsidRDefault="00C427E2">
      <w:pPr>
        <w:pStyle w:val="TOC2"/>
        <w:tabs>
          <w:tab w:val="left" w:pos="1134"/>
        </w:tabs>
        <w:rPr>
          <w:rFonts w:asciiTheme="minorHAnsi" w:hAnsiTheme="minorHAnsi"/>
          <w:noProof/>
        </w:rPr>
      </w:pPr>
      <w:hyperlink w:anchor="_Toc129957914" w:history="1">
        <w:r w:rsidR="00A03F0C" w:rsidRPr="00ED7E2A">
          <w:rPr>
            <w:rStyle w:val="Hyperlink"/>
            <w:noProof/>
          </w:rPr>
          <w:t>2.1</w:t>
        </w:r>
        <w:r w:rsidR="00A03F0C">
          <w:rPr>
            <w:rFonts w:asciiTheme="minorHAnsi" w:hAnsiTheme="minorHAnsi"/>
            <w:noProof/>
          </w:rPr>
          <w:tab/>
        </w:r>
        <w:r w:rsidR="00A03F0C" w:rsidRPr="00ED7E2A">
          <w:rPr>
            <w:rStyle w:val="Hyperlink"/>
            <w:noProof/>
          </w:rPr>
          <w:t>Purpose</w:t>
        </w:r>
        <w:r w:rsidR="00A03F0C">
          <w:rPr>
            <w:noProof/>
            <w:webHidden/>
          </w:rPr>
          <w:tab/>
        </w:r>
        <w:r w:rsidR="00A03F0C">
          <w:rPr>
            <w:noProof/>
            <w:webHidden/>
          </w:rPr>
          <w:fldChar w:fldCharType="begin"/>
        </w:r>
        <w:r w:rsidR="00A03F0C">
          <w:rPr>
            <w:noProof/>
            <w:webHidden/>
          </w:rPr>
          <w:instrText xml:space="preserve"> PAGEREF _Toc129957914 \h </w:instrText>
        </w:r>
        <w:r w:rsidR="00A03F0C">
          <w:rPr>
            <w:noProof/>
            <w:webHidden/>
          </w:rPr>
        </w:r>
        <w:r w:rsidR="00A03F0C">
          <w:rPr>
            <w:noProof/>
            <w:webHidden/>
          </w:rPr>
          <w:fldChar w:fldCharType="separate"/>
        </w:r>
        <w:r w:rsidR="00DB1991">
          <w:rPr>
            <w:noProof/>
            <w:webHidden/>
          </w:rPr>
          <w:t>6</w:t>
        </w:r>
        <w:r w:rsidR="00A03F0C">
          <w:rPr>
            <w:noProof/>
            <w:webHidden/>
          </w:rPr>
          <w:fldChar w:fldCharType="end"/>
        </w:r>
      </w:hyperlink>
    </w:p>
    <w:p w14:paraId="70A16A87" w14:textId="2D8C4FF8" w:rsidR="00A03F0C" w:rsidRDefault="00C427E2">
      <w:pPr>
        <w:pStyle w:val="TOC2"/>
        <w:tabs>
          <w:tab w:val="left" w:pos="1134"/>
        </w:tabs>
        <w:rPr>
          <w:rFonts w:asciiTheme="minorHAnsi" w:hAnsiTheme="minorHAnsi"/>
          <w:noProof/>
        </w:rPr>
      </w:pPr>
      <w:hyperlink w:anchor="_Toc129957915" w:history="1">
        <w:r w:rsidR="00A03F0C" w:rsidRPr="00ED7E2A">
          <w:rPr>
            <w:rStyle w:val="Hyperlink"/>
            <w:noProof/>
          </w:rPr>
          <w:t>2.2</w:t>
        </w:r>
        <w:r w:rsidR="00A03F0C">
          <w:rPr>
            <w:rFonts w:asciiTheme="minorHAnsi" w:hAnsiTheme="minorHAnsi"/>
            <w:noProof/>
          </w:rPr>
          <w:tab/>
        </w:r>
        <w:r w:rsidR="00A03F0C" w:rsidRPr="00ED7E2A">
          <w:rPr>
            <w:rStyle w:val="Hyperlink"/>
            <w:noProof/>
          </w:rPr>
          <w:t>Document structure</w:t>
        </w:r>
        <w:r w:rsidR="00A03F0C">
          <w:rPr>
            <w:noProof/>
            <w:webHidden/>
          </w:rPr>
          <w:tab/>
        </w:r>
        <w:r w:rsidR="00A03F0C">
          <w:rPr>
            <w:noProof/>
            <w:webHidden/>
          </w:rPr>
          <w:fldChar w:fldCharType="begin"/>
        </w:r>
        <w:r w:rsidR="00A03F0C">
          <w:rPr>
            <w:noProof/>
            <w:webHidden/>
          </w:rPr>
          <w:instrText xml:space="preserve"> PAGEREF _Toc129957915 \h </w:instrText>
        </w:r>
        <w:r w:rsidR="00A03F0C">
          <w:rPr>
            <w:noProof/>
            <w:webHidden/>
          </w:rPr>
        </w:r>
        <w:r w:rsidR="00A03F0C">
          <w:rPr>
            <w:noProof/>
            <w:webHidden/>
          </w:rPr>
          <w:fldChar w:fldCharType="separate"/>
        </w:r>
        <w:r w:rsidR="00DB1991">
          <w:rPr>
            <w:noProof/>
            <w:webHidden/>
          </w:rPr>
          <w:t>6</w:t>
        </w:r>
        <w:r w:rsidR="00A03F0C">
          <w:rPr>
            <w:noProof/>
            <w:webHidden/>
          </w:rPr>
          <w:fldChar w:fldCharType="end"/>
        </w:r>
      </w:hyperlink>
    </w:p>
    <w:p w14:paraId="7B80A138" w14:textId="2F4C6323" w:rsidR="00A03F0C" w:rsidRDefault="00C427E2">
      <w:pPr>
        <w:pStyle w:val="TOC1"/>
        <w:rPr>
          <w:rFonts w:asciiTheme="minorHAnsi" w:hAnsiTheme="minorHAnsi"/>
          <w:noProof/>
        </w:rPr>
      </w:pPr>
      <w:hyperlink w:anchor="_Toc129957916" w:history="1">
        <w:r w:rsidR="00A03F0C" w:rsidRPr="00ED7E2A">
          <w:rPr>
            <w:rStyle w:val="Hyperlink"/>
            <w:noProof/>
          </w:rPr>
          <w:t>3.</w:t>
        </w:r>
        <w:r w:rsidR="00A03F0C">
          <w:rPr>
            <w:rFonts w:asciiTheme="minorHAnsi" w:hAnsiTheme="minorHAnsi"/>
            <w:noProof/>
          </w:rPr>
          <w:tab/>
        </w:r>
        <w:r w:rsidR="00A03F0C" w:rsidRPr="00ED7E2A">
          <w:rPr>
            <w:rStyle w:val="Hyperlink"/>
            <w:noProof/>
          </w:rPr>
          <w:t>What are critical source areas?</w:t>
        </w:r>
        <w:r w:rsidR="00A03F0C">
          <w:rPr>
            <w:noProof/>
            <w:webHidden/>
          </w:rPr>
          <w:tab/>
        </w:r>
        <w:r w:rsidR="00A03F0C">
          <w:rPr>
            <w:noProof/>
            <w:webHidden/>
          </w:rPr>
          <w:fldChar w:fldCharType="begin"/>
        </w:r>
        <w:r w:rsidR="00A03F0C">
          <w:rPr>
            <w:noProof/>
            <w:webHidden/>
          </w:rPr>
          <w:instrText xml:space="preserve"> PAGEREF _Toc129957916 \h </w:instrText>
        </w:r>
        <w:r w:rsidR="00A03F0C">
          <w:rPr>
            <w:noProof/>
            <w:webHidden/>
          </w:rPr>
        </w:r>
        <w:r w:rsidR="00A03F0C">
          <w:rPr>
            <w:noProof/>
            <w:webHidden/>
          </w:rPr>
          <w:fldChar w:fldCharType="separate"/>
        </w:r>
        <w:r w:rsidR="00DB1991">
          <w:rPr>
            <w:noProof/>
            <w:webHidden/>
          </w:rPr>
          <w:t>7</w:t>
        </w:r>
        <w:r w:rsidR="00A03F0C">
          <w:rPr>
            <w:noProof/>
            <w:webHidden/>
          </w:rPr>
          <w:fldChar w:fldCharType="end"/>
        </w:r>
      </w:hyperlink>
    </w:p>
    <w:p w14:paraId="10B5DC01" w14:textId="63EB470D" w:rsidR="00A03F0C" w:rsidRDefault="00C427E2">
      <w:pPr>
        <w:pStyle w:val="TOC2"/>
        <w:tabs>
          <w:tab w:val="left" w:pos="1134"/>
        </w:tabs>
        <w:rPr>
          <w:rFonts w:asciiTheme="minorHAnsi" w:hAnsiTheme="minorHAnsi"/>
          <w:noProof/>
        </w:rPr>
      </w:pPr>
      <w:hyperlink w:anchor="_Toc129957917" w:history="1">
        <w:r w:rsidR="00A03F0C" w:rsidRPr="00ED7E2A">
          <w:rPr>
            <w:rStyle w:val="Hyperlink"/>
            <w:noProof/>
          </w:rPr>
          <w:t>3.1</w:t>
        </w:r>
        <w:r w:rsidR="00A03F0C">
          <w:rPr>
            <w:rFonts w:asciiTheme="minorHAnsi" w:hAnsiTheme="minorHAnsi"/>
            <w:noProof/>
          </w:rPr>
          <w:tab/>
        </w:r>
        <w:r w:rsidR="00A03F0C" w:rsidRPr="00ED7E2A">
          <w:rPr>
            <w:rStyle w:val="Hyperlink"/>
            <w:noProof/>
          </w:rPr>
          <w:t>General concept of critical source areas</w:t>
        </w:r>
        <w:r w:rsidR="00A03F0C">
          <w:rPr>
            <w:noProof/>
            <w:webHidden/>
          </w:rPr>
          <w:tab/>
        </w:r>
        <w:r w:rsidR="00A03F0C">
          <w:rPr>
            <w:noProof/>
            <w:webHidden/>
          </w:rPr>
          <w:fldChar w:fldCharType="begin"/>
        </w:r>
        <w:r w:rsidR="00A03F0C">
          <w:rPr>
            <w:noProof/>
            <w:webHidden/>
          </w:rPr>
          <w:instrText xml:space="preserve"> PAGEREF _Toc129957917 \h </w:instrText>
        </w:r>
        <w:r w:rsidR="00A03F0C">
          <w:rPr>
            <w:noProof/>
            <w:webHidden/>
          </w:rPr>
        </w:r>
        <w:r w:rsidR="00A03F0C">
          <w:rPr>
            <w:noProof/>
            <w:webHidden/>
          </w:rPr>
          <w:fldChar w:fldCharType="separate"/>
        </w:r>
        <w:r w:rsidR="00DB1991">
          <w:rPr>
            <w:noProof/>
            <w:webHidden/>
          </w:rPr>
          <w:t>7</w:t>
        </w:r>
        <w:r w:rsidR="00A03F0C">
          <w:rPr>
            <w:noProof/>
            <w:webHidden/>
          </w:rPr>
          <w:fldChar w:fldCharType="end"/>
        </w:r>
      </w:hyperlink>
    </w:p>
    <w:p w14:paraId="2BC5D32E" w14:textId="3851F64C" w:rsidR="00A03F0C" w:rsidRDefault="00C427E2">
      <w:pPr>
        <w:pStyle w:val="TOC2"/>
        <w:tabs>
          <w:tab w:val="left" w:pos="1134"/>
        </w:tabs>
        <w:rPr>
          <w:rFonts w:asciiTheme="minorHAnsi" w:hAnsiTheme="minorHAnsi"/>
          <w:noProof/>
        </w:rPr>
      </w:pPr>
      <w:hyperlink w:anchor="_Toc129957918" w:history="1">
        <w:r w:rsidR="00A03F0C" w:rsidRPr="00ED7E2A">
          <w:rPr>
            <w:rStyle w:val="Hyperlink"/>
            <w:noProof/>
          </w:rPr>
          <w:t>3.2</w:t>
        </w:r>
        <w:r w:rsidR="00A03F0C">
          <w:rPr>
            <w:rFonts w:asciiTheme="minorHAnsi" w:hAnsiTheme="minorHAnsi"/>
            <w:noProof/>
          </w:rPr>
          <w:tab/>
        </w:r>
        <w:r w:rsidR="00A03F0C" w:rsidRPr="00ED7E2A">
          <w:rPr>
            <w:rStyle w:val="Hyperlink"/>
            <w:noProof/>
          </w:rPr>
          <w:t>Critical source areas and intensive winter grazing</w:t>
        </w:r>
        <w:r w:rsidR="00A03F0C">
          <w:rPr>
            <w:noProof/>
            <w:webHidden/>
          </w:rPr>
          <w:tab/>
        </w:r>
        <w:r w:rsidR="00A03F0C">
          <w:rPr>
            <w:noProof/>
            <w:webHidden/>
          </w:rPr>
          <w:fldChar w:fldCharType="begin"/>
        </w:r>
        <w:r w:rsidR="00A03F0C">
          <w:rPr>
            <w:noProof/>
            <w:webHidden/>
          </w:rPr>
          <w:instrText xml:space="preserve"> PAGEREF _Toc129957918 \h </w:instrText>
        </w:r>
        <w:r w:rsidR="00A03F0C">
          <w:rPr>
            <w:noProof/>
            <w:webHidden/>
          </w:rPr>
        </w:r>
        <w:r w:rsidR="00A03F0C">
          <w:rPr>
            <w:noProof/>
            <w:webHidden/>
          </w:rPr>
          <w:fldChar w:fldCharType="separate"/>
        </w:r>
        <w:r w:rsidR="00DB1991">
          <w:rPr>
            <w:noProof/>
            <w:webHidden/>
          </w:rPr>
          <w:t>8</w:t>
        </w:r>
        <w:r w:rsidR="00A03F0C">
          <w:rPr>
            <w:noProof/>
            <w:webHidden/>
          </w:rPr>
          <w:fldChar w:fldCharType="end"/>
        </w:r>
      </w:hyperlink>
    </w:p>
    <w:p w14:paraId="5F4343C1" w14:textId="38759F4C" w:rsidR="00A03F0C" w:rsidRDefault="00C427E2">
      <w:pPr>
        <w:pStyle w:val="TOC2"/>
        <w:tabs>
          <w:tab w:val="left" w:pos="1134"/>
        </w:tabs>
        <w:rPr>
          <w:rFonts w:asciiTheme="minorHAnsi" w:hAnsiTheme="minorHAnsi"/>
          <w:noProof/>
        </w:rPr>
      </w:pPr>
      <w:hyperlink w:anchor="_Toc129957919" w:history="1">
        <w:r w:rsidR="00A03F0C" w:rsidRPr="00ED7E2A">
          <w:rPr>
            <w:rStyle w:val="Hyperlink"/>
            <w:noProof/>
          </w:rPr>
          <w:t>3.3</w:t>
        </w:r>
        <w:r w:rsidR="00A03F0C">
          <w:rPr>
            <w:rFonts w:asciiTheme="minorHAnsi" w:hAnsiTheme="minorHAnsi"/>
            <w:noProof/>
          </w:rPr>
          <w:tab/>
        </w:r>
        <w:r w:rsidR="00A03F0C" w:rsidRPr="00ED7E2A">
          <w:rPr>
            <w:rStyle w:val="Hyperlink"/>
            <w:noProof/>
          </w:rPr>
          <w:t>Other critical source areas</w:t>
        </w:r>
        <w:r w:rsidR="00A03F0C">
          <w:rPr>
            <w:noProof/>
            <w:webHidden/>
          </w:rPr>
          <w:tab/>
        </w:r>
        <w:r w:rsidR="00A03F0C">
          <w:rPr>
            <w:noProof/>
            <w:webHidden/>
          </w:rPr>
          <w:fldChar w:fldCharType="begin"/>
        </w:r>
        <w:r w:rsidR="00A03F0C">
          <w:rPr>
            <w:noProof/>
            <w:webHidden/>
          </w:rPr>
          <w:instrText xml:space="preserve"> PAGEREF _Toc129957919 \h </w:instrText>
        </w:r>
        <w:r w:rsidR="00A03F0C">
          <w:rPr>
            <w:noProof/>
            <w:webHidden/>
          </w:rPr>
        </w:r>
        <w:r w:rsidR="00A03F0C">
          <w:rPr>
            <w:noProof/>
            <w:webHidden/>
          </w:rPr>
          <w:fldChar w:fldCharType="separate"/>
        </w:r>
        <w:r w:rsidR="00DB1991">
          <w:rPr>
            <w:noProof/>
            <w:webHidden/>
          </w:rPr>
          <w:t>9</w:t>
        </w:r>
        <w:r w:rsidR="00A03F0C">
          <w:rPr>
            <w:noProof/>
            <w:webHidden/>
          </w:rPr>
          <w:fldChar w:fldCharType="end"/>
        </w:r>
      </w:hyperlink>
    </w:p>
    <w:p w14:paraId="328B3E39" w14:textId="7A11E2D7" w:rsidR="00A03F0C" w:rsidRDefault="00C427E2">
      <w:pPr>
        <w:pStyle w:val="TOC1"/>
        <w:rPr>
          <w:rFonts w:asciiTheme="minorHAnsi" w:hAnsiTheme="minorHAnsi"/>
          <w:noProof/>
        </w:rPr>
      </w:pPr>
      <w:hyperlink w:anchor="_Toc129957920" w:history="1">
        <w:r w:rsidR="00A03F0C" w:rsidRPr="00ED7E2A">
          <w:rPr>
            <w:rStyle w:val="Hyperlink"/>
            <w:noProof/>
          </w:rPr>
          <w:t>4.</w:t>
        </w:r>
        <w:r w:rsidR="00A03F0C">
          <w:rPr>
            <w:rFonts w:asciiTheme="minorHAnsi" w:hAnsiTheme="minorHAnsi"/>
            <w:noProof/>
          </w:rPr>
          <w:tab/>
        </w:r>
        <w:r w:rsidR="00A03F0C" w:rsidRPr="00ED7E2A">
          <w:rPr>
            <w:rStyle w:val="Hyperlink"/>
            <w:noProof/>
          </w:rPr>
          <w:t>Regulation requirements</w:t>
        </w:r>
        <w:r w:rsidR="00A03F0C">
          <w:rPr>
            <w:noProof/>
            <w:webHidden/>
          </w:rPr>
          <w:tab/>
        </w:r>
        <w:r w:rsidR="00A03F0C">
          <w:rPr>
            <w:noProof/>
            <w:webHidden/>
          </w:rPr>
          <w:fldChar w:fldCharType="begin"/>
        </w:r>
        <w:r w:rsidR="00A03F0C">
          <w:rPr>
            <w:noProof/>
            <w:webHidden/>
          </w:rPr>
          <w:instrText xml:space="preserve"> PAGEREF _Toc129957920 \h </w:instrText>
        </w:r>
        <w:r w:rsidR="00A03F0C">
          <w:rPr>
            <w:noProof/>
            <w:webHidden/>
          </w:rPr>
        </w:r>
        <w:r w:rsidR="00A03F0C">
          <w:rPr>
            <w:noProof/>
            <w:webHidden/>
          </w:rPr>
          <w:fldChar w:fldCharType="separate"/>
        </w:r>
        <w:r w:rsidR="00DB1991">
          <w:rPr>
            <w:noProof/>
            <w:webHidden/>
          </w:rPr>
          <w:t>10</w:t>
        </w:r>
        <w:r w:rsidR="00A03F0C">
          <w:rPr>
            <w:noProof/>
            <w:webHidden/>
          </w:rPr>
          <w:fldChar w:fldCharType="end"/>
        </w:r>
      </w:hyperlink>
    </w:p>
    <w:p w14:paraId="22DED4E5" w14:textId="03D31FA1" w:rsidR="00A03F0C" w:rsidRDefault="00C427E2">
      <w:pPr>
        <w:pStyle w:val="TOC2"/>
        <w:tabs>
          <w:tab w:val="left" w:pos="1134"/>
        </w:tabs>
        <w:rPr>
          <w:rFonts w:asciiTheme="minorHAnsi" w:hAnsiTheme="minorHAnsi"/>
          <w:noProof/>
        </w:rPr>
      </w:pPr>
      <w:hyperlink w:anchor="_Toc129957921" w:history="1">
        <w:r w:rsidR="00A03F0C" w:rsidRPr="00ED7E2A">
          <w:rPr>
            <w:rStyle w:val="Hyperlink"/>
            <w:noProof/>
          </w:rPr>
          <w:t>4.1</w:t>
        </w:r>
        <w:r w:rsidR="00A03F0C">
          <w:rPr>
            <w:rFonts w:asciiTheme="minorHAnsi" w:hAnsiTheme="minorHAnsi"/>
            <w:noProof/>
          </w:rPr>
          <w:tab/>
        </w:r>
        <w:r w:rsidR="00A03F0C" w:rsidRPr="00ED7E2A">
          <w:rPr>
            <w:rStyle w:val="Hyperlink"/>
            <w:noProof/>
          </w:rPr>
          <w:t>Intensive winter grazing regulations</w:t>
        </w:r>
        <w:r w:rsidR="00A03F0C">
          <w:rPr>
            <w:noProof/>
            <w:webHidden/>
          </w:rPr>
          <w:tab/>
        </w:r>
        <w:r w:rsidR="00A03F0C">
          <w:rPr>
            <w:noProof/>
            <w:webHidden/>
          </w:rPr>
          <w:fldChar w:fldCharType="begin"/>
        </w:r>
        <w:r w:rsidR="00A03F0C">
          <w:rPr>
            <w:noProof/>
            <w:webHidden/>
          </w:rPr>
          <w:instrText xml:space="preserve"> PAGEREF _Toc129957921 \h </w:instrText>
        </w:r>
        <w:r w:rsidR="00A03F0C">
          <w:rPr>
            <w:noProof/>
            <w:webHidden/>
          </w:rPr>
        </w:r>
        <w:r w:rsidR="00A03F0C">
          <w:rPr>
            <w:noProof/>
            <w:webHidden/>
          </w:rPr>
          <w:fldChar w:fldCharType="separate"/>
        </w:r>
        <w:r w:rsidR="00DB1991">
          <w:rPr>
            <w:noProof/>
            <w:webHidden/>
          </w:rPr>
          <w:t>10</w:t>
        </w:r>
        <w:r w:rsidR="00A03F0C">
          <w:rPr>
            <w:noProof/>
            <w:webHidden/>
          </w:rPr>
          <w:fldChar w:fldCharType="end"/>
        </w:r>
      </w:hyperlink>
    </w:p>
    <w:p w14:paraId="599A13E8" w14:textId="0D20E9CE" w:rsidR="00A03F0C" w:rsidRDefault="00C427E2">
      <w:pPr>
        <w:pStyle w:val="TOC2"/>
        <w:tabs>
          <w:tab w:val="left" w:pos="1134"/>
        </w:tabs>
        <w:rPr>
          <w:rFonts w:asciiTheme="minorHAnsi" w:hAnsiTheme="minorHAnsi"/>
          <w:noProof/>
        </w:rPr>
      </w:pPr>
      <w:hyperlink w:anchor="_Toc129957922" w:history="1">
        <w:r w:rsidR="00A03F0C" w:rsidRPr="00ED7E2A">
          <w:rPr>
            <w:rStyle w:val="Hyperlink"/>
            <w:noProof/>
          </w:rPr>
          <w:t>4.2</w:t>
        </w:r>
        <w:r w:rsidR="00A03F0C">
          <w:rPr>
            <w:rFonts w:asciiTheme="minorHAnsi" w:hAnsiTheme="minorHAnsi"/>
            <w:noProof/>
          </w:rPr>
          <w:tab/>
        </w:r>
        <w:r w:rsidR="00A03F0C" w:rsidRPr="00ED7E2A">
          <w:rPr>
            <w:rStyle w:val="Hyperlink"/>
            <w:noProof/>
          </w:rPr>
          <w:t>Freshwater farm plans</w:t>
        </w:r>
        <w:r w:rsidR="00A03F0C">
          <w:rPr>
            <w:noProof/>
            <w:webHidden/>
          </w:rPr>
          <w:tab/>
        </w:r>
        <w:r w:rsidR="00A03F0C">
          <w:rPr>
            <w:noProof/>
            <w:webHidden/>
          </w:rPr>
          <w:fldChar w:fldCharType="begin"/>
        </w:r>
        <w:r w:rsidR="00A03F0C">
          <w:rPr>
            <w:noProof/>
            <w:webHidden/>
          </w:rPr>
          <w:instrText xml:space="preserve"> PAGEREF _Toc129957922 \h </w:instrText>
        </w:r>
        <w:r w:rsidR="00A03F0C">
          <w:rPr>
            <w:noProof/>
            <w:webHidden/>
          </w:rPr>
        </w:r>
        <w:r w:rsidR="00A03F0C">
          <w:rPr>
            <w:noProof/>
            <w:webHidden/>
          </w:rPr>
          <w:fldChar w:fldCharType="separate"/>
        </w:r>
        <w:r w:rsidR="00DB1991">
          <w:rPr>
            <w:noProof/>
            <w:webHidden/>
          </w:rPr>
          <w:t>11</w:t>
        </w:r>
        <w:r w:rsidR="00A03F0C">
          <w:rPr>
            <w:noProof/>
            <w:webHidden/>
          </w:rPr>
          <w:fldChar w:fldCharType="end"/>
        </w:r>
      </w:hyperlink>
    </w:p>
    <w:p w14:paraId="06FA8666" w14:textId="61336940" w:rsidR="00A03F0C" w:rsidRDefault="00C427E2">
      <w:pPr>
        <w:pStyle w:val="TOC1"/>
        <w:rPr>
          <w:rFonts w:asciiTheme="minorHAnsi" w:hAnsiTheme="minorHAnsi"/>
          <w:noProof/>
        </w:rPr>
      </w:pPr>
      <w:hyperlink w:anchor="_Toc129957923" w:history="1">
        <w:r w:rsidR="00A03F0C" w:rsidRPr="00ED7E2A">
          <w:rPr>
            <w:rStyle w:val="Hyperlink"/>
            <w:noProof/>
          </w:rPr>
          <w:t>5.</w:t>
        </w:r>
        <w:r w:rsidR="00A03F0C">
          <w:rPr>
            <w:rFonts w:asciiTheme="minorHAnsi" w:hAnsiTheme="minorHAnsi"/>
            <w:noProof/>
          </w:rPr>
          <w:tab/>
        </w:r>
        <w:r w:rsidR="00A03F0C" w:rsidRPr="00ED7E2A">
          <w:rPr>
            <w:rStyle w:val="Hyperlink"/>
            <w:noProof/>
          </w:rPr>
          <w:t>Impacts on the environment</w:t>
        </w:r>
        <w:r w:rsidR="00A03F0C">
          <w:rPr>
            <w:noProof/>
            <w:webHidden/>
          </w:rPr>
          <w:tab/>
        </w:r>
        <w:r w:rsidR="00A03F0C">
          <w:rPr>
            <w:noProof/>
            <w:webHidden/>
          </w:rPr>
          <w:fldChar w:fldCharType="begin"/>
        </w:r>
        <w:r w:rsidR="00A03F0C">
          <w:rPr>
            <w:noProof/>
            <w:webHidden/>
          </w:rPr>
          <w:instrText xml:space="preserve"> PAGEREF _Toc129957923 \h </w:instrText>
        </w:r>
        <w:r w:rsidR="00A03F0C">
          <w:rPr>
            <w:noProof/>
            <w:webHidden/>
          </w:rPr>
        </w:r>
        <w:r w:rsidR="00A03F0C">
          <w:rPr>
            <w:noProof/>
            <w:webHidden/>
          </w:rPr>
          <w:fldChar w:fldCharType="separate"/>
        </w:r>
        <w:r w:rsidR="00DB1991">
          <w:rPr>
            <w:noProof/>
            <w:webHidden/>
          </w:rPr>
          <w:t>12</w:t>
        </w:r>
        <w:r w:rsidR="00A03F0C">
          <w:rPr>
            <w:noProof/>
            <w:webHidden/>
          </w:rPr>
          <w:fldChar w:fldCharType="end"/>
        </w:r>
      </w:hyperlink>
    </w:p>
    <w:p w14:paraId="5402A5BC" w14:textId="640912A8" w:rsidR="00A03F0C" w:rsidRDefault="00C427E2">
      <w:pPr>
        <w:pStyle w:val="TOC2"/>
        <w:tabs>
          <w:tab w:val="left" w:pos="1134"/>
        </w:tabs>
        <w:rPr>
          <w:rFonts w:asciiTheme="minorHAnsi" w:hAnsiTheme="minorHAnsi"/>
          <w:noProof/>
        </w:rPr>
      </w:pPr>
      <w:hyperlink w:anchor="_Toc129957924" w:history="1">
        <w:r w:rsidR="00A03F0C" w:rsidRPr="00ED7E2A">
          <w:rPr>
            <w:rStyle w:val="Hyperlink"/>
            <w:noProof/>
          </w:rPr>
          <w:t>5.1</w:t>
        </w:r>
        <w:r w:rsidR="00A03F0C">
          <w:rPr>
            <w:rFonts w:asciiTheme="minorHAnsi" w:hAnsiTheme="minorHAnsi"/>
            <w:noProof/>
          </w:rPr>
          <w:tab/>
        </w:r>
        <w:r w:rsidR="00A03F0C" w:rsidRPr="00ED7E2A">
          <w:rPr>
            <w:rStyle w:val="Hyperlink"/>
            <w:noProof/>
          </w:rPr>
          <w:t>Critical sources and pathways</w:t>
        </w:r>
        <w:r w:rsidR="00A03F0C">
          <w:rPr>
            <w:noProof/>
            <w:webHidden/>
          </w:rPr>
          <w:tab/>
        </w:r>
        <w:r w:rsidR="00A03F0C">
          <w:rPr>
            <w:noProof/>
            <w:webHidden/>
          </w:rPr>
          <w:fldChar w:fldCharType="begin"/>
        </w:r>
        <w:r w:rsidR="00A03F0C">
          <w:rPr>
            <w:noProof/>
            <w:webHidden/>
          </w:rPr>
          <w:instrText xml:space="preserve"> PAGEREF _Toc129957924 \h </w:instrText>
        </w:r>
        <w:r w:rsidR="00A03F0C">
          <w:rPr>
            <w:noProof/>
            <w:webHidden/>
          </w:rPr>
        </w:r>
        <w:r w:rsidR="00A03F0C">
          <w:rPr>
            <w:noProof/>
            <w:webHidden/>
          </w:rPr>
          <w:fldChar w:fldCharType="separate"/>
        </w:r>
        <w:r w:rsidR="00DB1991">
          <w:rPr>
            <w:noProof/>
            <w:webHidden/>
          </w:rPr>
          <w:t>12</w:t>
        </w:r>
        <w:r w:rsidR="00A03F0C">
          <w:rPr>
            <w:noProof/>
            <w:webHidden/>
          </w:rPr>
          <w:fldChar w:fldCharType="end"/>
        </w:r>
      </w:hyperlink>
    </w:p>
    <w:p w14:paraId="049CFD5C" w14:textId="1E499D10" w:rsidR="00A03F0C" w:rsidRDefault="00C427E2">
      <w:pPr>
        <w:pStyle w:val="TOC2"/>
        <w:tabs>
          <w:tab w:val="left" w:pos="1134"/>
        </w:tabs>
        <w:rPr>
          <w:rFonts w:asciiTheme="minorHAnsi" w:hAnsiTheme="minorHAnsi"/>
          <w:noProof/>
        </w:rPr>
      </w:pPr>
      <w:hyperlink w:anchor="_Toc129957925" w:history="1">
        <w:r w:rsidR="00A03F0C" w:rsidRPr="00ED7E2A">
          <w:rPr>
            <w:rStyle w:val="Hyperlink"/>
            <w:noProof/>
          </w:rPr>
          <w:t>5.2</w:t>
        </w:r>
        <w:r w:rsidR="00A03F0C">
          <w:rPr>
            <w:rFonts w:asciiTheme="minorHAnsi" w:hAnsiTheme="minorHAnsi"/>
            <w:noProof/>
          </w:rPr>
          <w:tab/>
        </w:r>
        <w:r w:rsidR="00A03F0C" w:rsidRPr="00ED7E2A">
          <w:rPr>
            <w:rStyle w:val="Hyperlink"/>
            <w:noProof/>
          </w:rPr>
          <w:t>Intensive winter grazing and critical source areas</w:t>
        </w:r>
        <w:r w:rsidR="00A03F0C">
          <w:rPr>
            <w:noProof/>
            <w:webHidden/>
          </w:rPr>
          <w:tab/>
        </w:r>
        <w:r w:rsidR="00A03F0C">
          <w:rPr>
            <w:noProof/>
            <w:webHidden/>
          </w:rPr>
          <w:fldChar w:fldCharType="begin"/>
        </w:r>
        <w:r w:rsidR="00A03F0C">
          <w:rPr>
            <w:noProof/>
            <w:webHidden/>
          </w:rPr>
          <w:instrText xml:space="preserve"> PAGEREF _Toc129957925 \h </w:instrText>
        </w:r>
        <w:r w:rsidR="00A03F0C">
          <w:rPr>
            <w:noProof/>
            <w:webHidden/>
          </w:rPr>
        </w:r>
        <w:r w:rsidR="00A03F0C">
          <w:rPr>
            <w:noProof/>
            <w:webHidden/>
          </w:rPr>
          <w:fldChar w:fldCharType="separate"/>
        </w:r>
        <w:r w:rsidR="00DB1991">
          <w:rPr>
            <w:noProof/>
            <w:webHidden/>
          </w:rPr>
          <w:t>13</w:t>
        </w:r>
        <w:r w:rsidR="00A03F0C">
          <w:rPr>
            <w:noProof/>
            <w:webHidden/>
          </w:rPr>
          <w:fldChar w:fldCharType="end"/>
        </w:r>
      </w:hyperlink>
    </w:p>
    <w:p w14:paraId="15B060A8" w14:textId="71C67DA0" w:rsidR="00A03F0C" w:rsidRDefault="00C427E2">
      <w:pPr>
        <w:pStyle w:val="TOC1"/>
        <w:rPr>
          <w:rFonts w:asciiTheme="minorHAnsi" w:hAnsiTheme="minorHAnsi"/>
          <w:noProof/>
        </w:rPr>
      </w:pPr>
      <w:hyperlink w:anchor="_Toc129957926" w:history="1">
        <w:r w:rsidR="00A03F0C" w:rsidRPr="00ED7E2A">
          <w:rPr>
            <w:rStyle w:val="Hyperlink"/>
            <w:noProof/>
          </w:rPr>
          <w:t>6.</w:t>
        </w:r>
        <w:r w:rsidR="00A03F0C">
          <w:rPr>
            <w:rFonts w:asciiTheme="minorHAnsi" w:hAnsiTheme="minorHAnsi"/>
            <w:noProof/>
          </w:rPr>
          <w:tab/>
        </w:r>
        <w:r w:rsidR="00A03F0C" w:rsidRPr="00ED7E2A">
          <w:rPr>
            <w:rStyle w:val="Hyperlink"/>
            <w:noProof/>
          </w:rPr>
          <w:t>Implementing the regulations</w:t>
        </w:r>
        <w:r w:rsidR="00A03F0C">
          <w:rPr>
            <w:noProof/>
            <w:webHidden/>
          </w:rPr>
          <w:tab/>
        </w:r>
        <w:r w:rsidR="00A03F0C">
          <w:rPr>
            <w:noProof/>
            <w:webHidden/>
          </w:rPr>
          <w:fldChar w:fldCharType="begin"/>
        </w:r>
        <w:r w:rsidR="00A03F0C">
          <w:rPr>
            <w:noProof/>
            <w:webHidden/>
          </w:rPr>
          <w:instrText xml:space="preserve"> PAGEREF _Toc129957926 \h </w:instrText>
        </w:r>
        <w:r w:rsidR="00A03F0C">
          <w:rPr>
            <w:noProof/>
            <w:webHidden/>
          </w:rPr>
        </w:r>
        <w:r w:rsidR="00A03F0C">
          <w:rPr>
            <w:noProof/>
            <w:webHidden/>
          </w:rPr>
          <w:fldChar w:fldCharType="separate"/>
        </w:r>
        <w:r w:rsidR="00DB1991">
          <w:rPr>
            <w:noProof/>
            <w:webHidden/>
          </w:rPr>
          <w:t>16</w:t>
        </w:r>
        <w:r w:rsidR="00A03F0C">
          <w:rPr>
            <w:noProof/>
            <w:webHidden/>
          </w:rPr>
          <w:fldChar w:fldCharType="end"/>
        </w:r>
      </w:hyperlink>
    </w:p>
    <w:p w14:paraId="2A78C348" w14:textId="1C76FBBD" w:rsidR="00A03F0C" w:rsidRDefault="00C427E2">
      <w:pPr>
        <w:pStyle w:val="TOC2"/>
        <w:tabs>
          <w:tab w:val="left" w:pos="1134"/>
        </w:tabs>
        <w:rPr>
          <w:rFonts w:asciiTheme="minorHAnsi" w:hAnsiTheme="minorHAnsi"/>
          <w:noProof/>
        </w:rPr>
      </w:pPr>
      <w:hyperlink w:anchor="_Toc129957927" w:history="1">
        <w:r w:rsidR="00A03F0C" w:rsidRPr="00ED7E2A">
          <w:rPr>
            <w:rStyle w:val="Hyperlink"/>
            <w:noProof/>
          </w:rPr>
          <w:t>6.1</w:t>
        </w:r>
        <w:r w:rsidR="00A03F0C">
          <w:rPr>
            <w:rFonts w:asciiTheme="minorHAnsi" w:hAnsiTheme="minorHAnsi"/>
            <w:noProof/>
          </w:rPr>
          <w:tab/>
        </w:r>
        <w:r w:rsidR="00A03F0C" w:rsidRPr="00ED7E2A">
          <w:rPr>
            <w:rStyle w:val="Hyperlink"/>
            <w:noProof/>
          </w:rPr>
          <w:t>Identifying critical source areas</w:t>
        </w:r>
        <w:r w:rsidR="00A03F0C">
          <w:rPr>
            <w:noProof/>
            <w:webHidden/>
          </w:rPr>
          <w:tab/>
        </w:r>
        <w:r w:rsidR="00A03F0C">
          <w:rPr>
            <w:noProof/>
            <w:webHidden/>
          </w:rPr>
          <w:fldChar w:fldCharType="begin"/>
        </w:r>
        <w:r w:rsidR="00A03F0C">
          <w:rPr>
            <w:noProof/>
            <w:webHidden/>
          </w:rPr>
          <w:instrText xml:space="preserve"> PAGEREF _Toc129957927 \h </w:instrText>
        </w:r>
        <w:r w:rsidR="00A03F0C">
          <w:rPr>
            <w:noProof/>
            <w:webHidden/>
          </w:rPr>
        </w:r>
        <w:r w:rsidR="00A03F0C">
          <w:rPr>
            <w:noProof/>
            <w:webHidden/>
          </w:rPr>
          <w:fldChar w:fldCharType="separate"/>
        </w:r>
        <w:r w:rsidR="00DB1991">
          <w:rPr>
            <w:noProof/>
            <w:webHidden/>
          </w:rPr>
          <w:t>16</w:t>
        </w:r>
        <w:r w:rsidR="00A03F0C">
          <w:rPr>
            <w:noProof/>
            <w:webHidden/>
          </w:rPr>
          <w:fldChar w:fldCharType="end"/>
        </w:r>
      </w:hyperlink>
    </w:p>
    <w:p w14:paraId="75E8681C" w14:textId="20F77599" w:rsidR="00A03F0C" w:rsidRDefault="00C427E2">
      <w:pPr>
        <w:pStyle w:val="TOC3"/>
        <w:rPr>
          <w:rFonts w:asciiTheme="minorHAnsi" w:hAnsiTheme="minorHAnsi"/>
          <w:noProof/>
        </w:rPr>
      </w:pPr>
      <w:hyperlink w:anchor="_Toc129957928" w:history="1">
        <w:r w:rsidR="00A03F0C" w:rsidRPr="00ED7E2A">
          <w:rPr>
            <w:rStyle w:val="Hyperlink"/>
            <w:noProof/>
          </w:rPr>
          <w:t>6.1.1</w:t>
        </w:r>
        <w:r w:rsidR="00A03F0C">
          <w:rPr>
            <w:rFonts w:asciiTheme="minorHAnsi" w:hAnsiTheme="minorHAnsi"/>
            <w:noProof/>
          </w:rPr>
          <w:tab/>
        </w:r>
        <w:r w:rsidR="00A03F0C" w:rsidRPr="00ED7E2A">
          <w:rPr>
            <w:rStyle w:val="Hyperlink"/>
            <w:noProof/>
          </w:rPr>
          <w:t>Spatial and hydrological modelling approaches</w:t>
        </w:r>
        <w:r w:rsidR="00A03F0C">
          <w:rPr>
            <w:noProof/>
            <w:webHidden/>
          </w:rPr>
          <w:tab/>
        </w:r>
        <w:r w:rsidR="00A03F0C">
          <w:rPr>
            <w:noProof/>
            <w:webHidden/>
          </w:rPr>
          <w:fldChar w:fldCharType="begin"/>
        </w:r>
        <w:r w:rsidR="00A03F0C">
          <w:rPr>
            <w:noProof/>
            <w:webHidden/>
          </w:rPr>
          <w:instrText xml:space="preserve"> PAGEREF _Toc129957928 \h </w:instrText>
        </w:r>
        <w:r w:rsidR="00A03F0C">
          <w:rPr>
            <w:noProof/>
            <w:webHidden/>
          </w:rPr>
        </w:r>
        <w:r w:rsidR="00A03F0C">
          <w:rPr>
            <w:noProof/>
            <w:webHidden/>
          </w:rPr>
          <w:fldChar w:fldCharType="separate"/>
        </w:r>
        <w:r w:rsidR="00DB1991">
          <w:rPr>
            <w:noProof/>
            <w:webHidden/>
          </w:rPr>
          <w:t>16</w:t>
        </w:r>
        <w:r w:rsidR="00A03F0C">
          <w:rPr>
            <w:noProof/>
            <w:webHidden/>
          </w:rPr>
          <w:fldChar w:fldCharType="end"/>
        </w:r>
      </w:hyperlink>
    </w:p>
    <w:p w14:paraId="6FEEFAE5" w14:textId="7CD1081F" w:rsidR="00A03F0C" w:rsidRDefault="00C427E2">
      <w:pPr>
        <w:pStyle w:val="TOC3"/>
        <w:rPr>
          <w:rFonts w:asciiTheme="minorHAnsi" w:hAnsiTheme="minorHAnsi"/>
          <w:noProof/>
        </w:rPr>
      </w:pPr>
      <w:hyperlink w:anchor="_Toc129957929" w:history="1">
        <w:r w:rsidR="00A03F0C" w:rsidRPr="00ED7E2A">
          <w:rPr>
            <w:rStyle w:val="Hyperlink"/>
            <w:noProof/>
          </w:rPr>
          <w:t>6.1.2</w:t>
        </w:r>
        <w:r w:rsidR="00A03F0C">
          <w:rPr>
            <w:rFonts w:asciiTheme="minorHAnsi" w:hAnsiTheme="minorHAnsi"/>
            <w:noProof/>
          </w:rPr>
          <w:tab/>
        </w:r>
        <w:r w:rsidR="00A03F0C" w:rsidRPr="00ED7E2A">
          <w:rPr>
            <w:rStyle w:val="Hyperlink"/>
            <w:noProof/>
          </w:rPr>
          <w:t>Walkover surveys</w:t>
        </w:r>
        <w:r w:rsidR="00A03F0C">
          <w:rPr>
            <w:noProof/>
            <w:webHidden/>
          </w:rPr>
          <w:tab/>
        </w:r>
        <w:r w:rsidR="00A03F0C">
          <w:rPr>
            <w:noProof/>
            <w:webHidden/>
          </w:rPr>
          <w:fldChar w:fldCharType="begin"/>
        </w:r>
        <w:r w:rsidR="00A03F0C">
          <w:rPr>
            <w:noProof/>
            <w:webHidden/>
          </w:rPr>
          <w:instrText xml:space="preserve"> PAGEREF _Toc129957929 \h </w:instrText>
        </w:r>
        <w:r w:rsidR="00A03F0C">
          <w:rPr>
            <w:noProof/>
            <w:webHidden/>
          </w:rPr>
        </w:r>
        <w:r w:rsidR="00A03F0C">
          <w:rPr>
            <w:noProof/>
            <w:webHidden/>
          </w:rPr>
          <w:fldChar w:fldCharType="separate"/>
        </w:r>
        <w:r w:rsidR="00DB1991">
          <w:rPr>
            <w:noProof/>
            <w:webHidden/>
          </w:rPr>
          <w:t>17</w:t>
        </w:r>
        <w:r w:rsidR="00A03F0C">
          <w:rPr>
            <w:noProof/>
            <w:webHidden/>
          </w:rPr>
          <w:fldChar w:fldCharType="end"/>
        </w:r>
      </w:hyperlink>
    </w:p>
    <w:p w14:paraId="3E1C25CB" w14:textId="203DCA62" w:rsidR="00A03F0C" w:rsidRDefault="00C427E2">
      <w:pPr>
        <w:pStyle w:val="TOC2"/>
        <w:tabs>
          <w:tab w:val="left" w:pos="1134"/>
        </w:tabs>
        <w:rPr>
          <w:rFonts w:asciiTheme="minorHAnsi" w:hAnsiTheme="minorHAnsi"/>
          <w:noProof/>
        </w:rPr>
      </w:pPr>
      <w:hyperlink w:anchor="_Toc129957930" w:history="1">
        <w:r w:rsidR="00A03F0C" w:rsidRPr="00ED7E2A">
          <w:rPr>
            <w:rStyle w:val="Hyperlink"/>
            <w:noProof/>
          </w:rPr>
          <w:t>6.2</w:t>
        </w:r>
        <w:r w:rsidR="00A03F0C">
          <w:rPr>
            <w:rFonts w:asciiTheme="minorHAnsi" w:hAnsiTheme="minorHAnsi"/>
            <w:noProof/>
          </w:rPr>
          <w:tab/>
        </w:r>
        <w:r w:rsidR="00A03F0C" w:rsidRPr="00ED7E2A">
          <w:rPr>
            <w:rStyle w:val="Hyperlink"/>
            <w:noProof/>
          </w:rPr>
          <w:t>Managing critical source areas</w:t>
        </w:r>
        <w:r w:rsidR="00A03F0C">
          <w:rPr>
            <w:noProof/>
            <w:webHidden/>
          </w:rPr>
          <w:tab/>
        </w:r>
        <w:r w:rsidR="00A03F0C">
          <w:rPr>
            <w:noProof/>
            <w:webHidden/>
          </w:rPr>
          <w:fldChar w:fldCharType="begin"/>
        </w:r>
        <w:r w:rsidR="00A03F0C">
          <w:rPr>
            <w:noProof/>
            <w:webHidden/>
          </w:rPr>
          <w:instrText xml:space="preserve"> PAGEREF _Toc129957930 \h </w:instrText>
        </w:r>
        <w:r w:rsidR="00A03F0C">
          <w:rPr>
            <w:noProof/>
            <w:webHidden/>
          </w:rPr>
        </w:r>
        <w:r w:rsidR="00A03F0C">
          <w:rPr>
            <w:noProof/>
            <w:webHidden/>
          </w:rPr>
          <w:fldChar w:fldCharType="separate"/>
        </w:r>
        <w:r w:rsidR="00DB1991">
          <w:rPr>
            <w:noProof/>
            <w:webHidden/>
          </w:rPr>
          <w:t>19</w:t>
        </w:r>
        <w:r w:rsidR="00A03F0C">
          <w:rPr>
            <w:noProof/>
            <w:webHidden/>
          </w:rPr>
          <w:fldChar w:fldCharType="end"/>
        </w:r>
      </w:hyperlink>
    </w:p>
    <w:p w14:paraId="58E2A74C" w14:textId="77ECF66D" w:rsidR="00A03F0C" w:rsidRDefault="00C427E2">
      <w:pPr>
        <w:pStyle w:val="TOC3"/>
        <w:rPr>
          <w:rFonts w:asciiTheme="minorHAnsi" w:hAnsiTheme="minorHAnsi"/>
          <w:noProof/>
        </w:rPr>
      </w:pPr>
      <w:hyperlink w:anchor="_Toc129957931" w:history="1">
        <w:r w:rsidR="00A03F0C" w:rsidRPr="00ED7E2A">
          <w:rPr>
            <w:rStyle w:val="Hyperlink"/>
            <w:noProof/>
          </w:rPr>
          <w:t>6.2.1</w:t>
        </w:r>
        <w:r w:rsidR="00A03F0C">
          <w:rPr>
            <w:rFonts w:asciiTheme="minorHAnsi" w:hAnsiTheme="minorHAnsi"/>
            <w:noProof/>
          </w:rPr>
          <w:tab/>
        </w:r>
        <w:r w:rsidR="00A03F0C" w:rsidRPr="00ED7E2A">
          <w:rPr>
            <w:rStyle w:val="Hyperlink"/>
            <w:noProof/>
          </w:rPr>
          <w:t>Management before winter grazing</w:t>
        </w:r>
        <w:r w:rsidR="00A03F0C">
          <w:rPr>
            <w:noProof/>
            <w:webHidden/>
          </w:rPr>
          <w:tab/>
        </w:r>
        <w:r w:rsidR="00A03F0C">
          <w:rPr>
            <w:noProof/>
            <w:webHidden/>
          </w:rPr>
          <w:fldChar w:fldCharType="begin"/>
        </w:r>
        <w:r w:rsidR="00A03F0C">
          <w:rPr>
            <w:noProof/>
            <w:webHidden/>
          </w:rPr>
          <w:instrText xml:space="preserve"> PAGEREF _Toc129957931 \h </w:instrText>
        </w:r>
        <w:r w:rsidR="00A03F0C">
          <w:rPr>
            <w:noProof/>
            <w:webHidden/>
          </w:rPr>
        </w:r>
        <w:r w:rsidR="00A03F0C">
          <w:rPr>
            <w:noProof/>
            <w:webHidden/>
          </w:rPr>
          <w:fldChar w:fldCharType="separate"/>
        </w:r>
        <w:r w:rsidR="00DB1991">
          <w:rPr>
            <w:noProof/>
            <w:webHidden/>
          </w:rPr>
          <w:t>19</w:t>
        </w:r>
        <w:r w:rsidR="00A03F0C">
          <w:rPr>
            <w:noProof/>
            <w:webHidden/>
          </w:rPr>
          <w:fldChar w:fldCharType="end"/>
        </w:r>
      </w:hyperlink>
    </w:p>
    <w:p w14:paraId="0A39048D" w14:textId="66F84ED5" w:rsidR="00A03F0C" w:rsidRDefault="00C427E2">
      <w:pPr>
        <w:pStyle w:val="TOC3"/>
        <w:rPr>
          <w:rFonts w:asciiTheme="minorHAnsi" w:hAnsiTheme="minorHAnsi"/>
          <w:noProof/>
        </w:rPr>
      </w:pPr>
      <w:hyperlink w:anchor="_Toc129957932" w:history="1">
        <w:r w:rsidR="00A03F0C" w:rsidRPr="00ED7E2A">
          <w:rPr>
            <w:rStyle w:val="Hyperlink"/>
            <w:noProof/>
          </w:rPr>
          <w:t>6.2.2</w:t>
        </w:r>
        <w:r w:rsidR="00A03F0C">
          <w:rPr>
            <w:rFonts w:asciiTheme="minorHAnsi" w:hAnsiTheme="minorHAnsi"/>
            <w:noProof/>
          </w:rPr>
          <w:tab/>
        </w:r>
        <w:r w:rsidR="00A03F0C" w:rsidRPr="00ED7E2A">
          <w:rPr>
            <w:rStyle w:val="Hyperlink"/>
            <w:noProof/>
          </w:rPr>
          <w:t>Management between 1 May and 30 September</w:t>
        </w:r>
        <w:r w:rsidR="00A03F0C">
          <w:rPr>
            <w:noProof/>
            <w:webHidden/>
          </w:rPr>
          <w:tab/>
        </w:r>
        <w:r w:rsidR="00A03F0C">
          <w:rPr>
            <w:noProof/>
            <w:webHidden/>
          </w:rPr>
          <w:fldChar w:fldCharType="begin"/>
        </w:r>
        <w:r w:rsidR="00A03F0C">
          <w:rPr>
            <w:noProof/>
            <w:webHidden/>
          </w:rPr>
          <w:instrText xml:space="preserve"> PAGEREF _Toc129957932 \h </w:instrText>
        </w:r>
        <w:r w:rsidR="00A03F0C">
          <w:rPr>
            <w:noProof/>
            <w:webHidden/>
          </w:rPr>
        </w:r>
        <w:r w:rsidR="00A03F0C">
          <w:rPr>
            <w:noProof/>
            <w:webHidden/>
          </w:rPr>
          <w:fldChar w:fldCharType="separate"/>
        </w:r>
        <w:r w:rsidR="00DB1991">
          <w:rPr>
            <w:noProof/>
            <w:webHidden/>
          </w:rPr>
          <w:t>22</w:t>
        </w:r>
        <w:r w:rsidR="00A03F0C">
          <w:rPr>
            <w:noProof/>
            <w:webHidden/>
          </w:rPr>
          <w:fldChar w:fldCharType="end"/>
        </w:r>
      </w:hyperlink>
    </w:p>
    <w:p w14:paraId="487044F4" w14:textId="0CD3CF25" w:rsidR="00A03F0C" w:rsidRDefault="00C427E2">
      <w:pPr>
        <w:pStyle w:val="TOC1"/>
        <w:rPr>
          <w:rFonts w:asciiTheme="minorHAnsi" w:hAnsiTheme="minorHAnsi"/>
          <w:noProof/>
        </w:rPr>
      </w:pPr>
      <w:hyperlink w:anchor="_Toc129957933" w:history="1">
        <w:r w:rsidR="00A03F0C" w:rsidRPr="00ED7E2A">
          <w:rPr>
            <w:rStyle w:val="Hyperlink"/>
            <w:noProof/>
          </w:rPr>
          <w:t>7.</w:t>
        </w:r>
        <w:r w:rsidR="00A03F0C">
          <w:rPr>
            <w:rFonts w:asciiTheme="minorHAnsi" w:hAnsiTheme="minorHAnsi"/>
            <w:noProof/>
          </w:rPr>
          <w:tab/>
        </w:r>
        <w:r w:rsidR="00A03F0C" w:rsidRPr="00ED7E2A">
          <w:rPr>
            <w:rStyle w:val="Hyperlink"/>
            <w:noProof/>
          </w:rPr>
          <w:t>Integrating critical source area management with the winter forage crop cycle</w:t>
        </w:r>
        <w:r w:rsidR="00A03F0C">
          <w:rPr>
            <w:noProof/>
            <w:webHidden/>
          </w:rPr>
          <w:tab/>
        </w:r>
        <w:r w:rsidR="00A03F0C">
          <w:rPr>
            <w:noProof/>
            <w:webHidden/>
          </w:rPr>
          <w:fldChar w:fldCharType="begin"/>
        </w:r>
        <w:r w:rsidR="00A03F0C">
          <w:rPr>
            <w:noProof/>
            <w:webHidden/>
          </w:rPr>
          <w:instrText xml:space="preserve"> PAGEREF _Toc129957933 \h </w:instrText>
        </w:r>
        <w:r w:rsidR="00A03F0C">
          <w:rPr>
            <w:noProof/>
            <w:webHidden/>
          </w:rPr>
        </w:r>
        <w:r w:rsidR="00A03F0C">
          <w:rPr>
            <w:noProof/>
            <w:webHidden/>
          </w:rPr>
          <w:fldChar w:fldCharType="separate"/>
        </w:r>
        <w:r w:rsidR="00DB1991">
          <w:rPr>
            <w:noProof/>
            <w:webHidden/>
          </w:rPr>
          <w:t>23</w:t>
        </w:r>
        <w:r w:rsidR="00A03F0C">
          <w:rPr>
            <w:noProof/>
            <w:webHidden/>
          </w:rPr>
          <w:fldChar w:fldCharType="end"/>
        </w:r>
      </w:hyperlink>
    </w:p>
    <w:p w14:paraId="1612132B" w14:textId="7101C604" w:rsidR="00A03F0C" w:rsidRDefault="00C427E2">
      <w:pPr>
        <w:pStyle w:val="TOC2"/>
        <w:tabs>
          <w:tab w:val="left" w:pos="1134"/>
        </w:tabs>
        <w:rPr>
          <w:rFonts w:asciiTheme="minorHAnsi" w:hAnsiTheme="minorHAnsi"/>
          <w:noProof/>
        </w:rPr>
      </w:pPr>
      <w:hyperlink w:anchor="_Toc129957934" w:history="1">
        <w:r w:rsidR="00A03F0C" w:rsidRPr="00ED7E2A">
          <w:rPr>
            <w:rStyle w:val="Hyperlink"/>
            <w:noProof/>
          </w:rPr>
          <w:t>7.1</w:t>
        </w:r>
        <w:r w:rsidR="00A03F0C">
          <w:rPr>
            <w:rFonts w:asciiTheme="minorHAnsi" w:hAnsiTheme="minorHAnsi"/>
            <w:noProof/>
          </w:rPr>
          <w:tab/>
        </w:r>
        <w:r w:rsidR="00A03F0C" w:rsidRPr="00ED7E2A">
          <w:rPr>
            <w:rStyle w:val="Hyperlink"/>
            <w:noProof/>
          </w:rPr>
          <w:t>Winter forage planning</w:t>
        </w:r>
        <w:r w:rsidR="00A03F0C">
          <w:rPr>
            <w:noProof/>
            <w:webHidden/>
          </w:rPr>
          <w:tab/>
        </w:r>
        <w:r w:rsidR="00A03F0C">
          <w:rPr>
            <w:noProof/>
            <w:webHidden/>
          </w:rPr>
          <w:fldChar w:fldCharType="begin"/>
        </w:r>
        <w:r w:rsidR="00A03F0C">
          <w:rPr>
            <w:noProof/>
            <w:webHidden/>
          </w:rPr>
          <w:instrText xml:space="preserve"> PAGEREF _Toc129957934 \h </w:instrText>
        </w:r>
        <w:r w:rsidR="00A03F0C">
          <w:rPr>
            <w:noProof/>
            <w:webHidden/>
          </w:rPr>
        </w:r>
        <w:r w:rsidR="00A03F0C">
          <w:rPr>
            <w:noProof/>
            <w:webHidden/>
          </w:rPr>
          <w:fldChar w:fldCharType="separate"/>
        </w:r>
        <w:r w:rsidR="00DB1991">
          <w:rPr>
            <w:noProof/>
            <w:webHidden/>
          </w:rPr>
          <w:t>23</w:t>
        </w:r>
        <w:r w:rsidR="00A03F0C">
          <w:rPr>
            <w:noProof/>
            <w:webHidden/>
          </w:rPr>
          <w:fldChar w:fldCharType="end"/>
        </w:r>
      </w:hyperlink>
    </w:p>
    <w:p w14:paraId="4E7619E2" w14:textId="5CC9C7EB" w:rsidR="00A03F0C" w:rsidRDefault="00C427E2">
      <w:pPr>
        <w:pStyle w:val="TOC2"/>
        <w:tabs>
          <w:tab w:val="left" w:pos="1134"/>
        </w:tabs>
        <w:rPr>
          <w:rFonts w:asciiTheme="minorHAnsi" w:hAnsiTheme="minorHAnsi"/>
          <w:noProof/>
        </w:rPr>
      </w:pPr>
      <w:hyperlink w:anchor="_Toc129957935" w:history="1">
        <w:r w:rsidR="00A03F0C" w:rsidRPr="00ED7E2A">
          <w:rPr>
            <w:rStyle w:val="Hyperlink"/>
            <w:noProof/>
          </w:rPr>
          <w:t>7.2</w:t>
        </w:r>
        <w:r w:rsidR="00A03F0C">
          <w:rPr>
            <w:rFonts w:asciiTheme="minorHAnsi" w:hAnsiTheme="minorHAnsi"/>
            <w:noProof/>
          </w:rPr>
          <w:tab/>
        </w:r>
        <w:r w:rsidR="00A03F0C" w:rsidRPr="00ED7E2A">
          <w:rPr>
            <w:rStyle w:val="Hyperlink"/>
            <w:noProof/>
          </w:rPr>
          <w:t>Case studies of critical source area management</w:t>
        </w:r>
        <w:r w:rsidR="00A03F0C">
          <w:rPr>
            <w:noProof/>
            <w:webHidden/>
          </w:rPr>
          <w:tab/>
        </w:r>
        <w:r w:rsidR="00A03F0C">
          <w:rPr>
            <w:noProof/>
            <w:webHidden/>
          </w:rPr>
          <w:fldChar w:fldCharType="begin"/>
        </w:r>
        <w:r w:rsidR="00A03F0C">
          <w:rPr>
            <w:noProof/>
            <w:webHidden/>
          </w:rPr>
          <w:instrText xml:space="preserve"> PAGEREF _Toc129957935 \h </w:instrText>
        </w:r>
        <w:r w:rsidR="00A03F0C">
          <w:rPr>
            <w:noProof/>
            <w:webHidden/>
          </w:rPr>
        </w:r>
        <w:r w:rsidR="00A03F0C">
          <w:rPr>
            <w:noProof/>
            <w:webHidden/>
          </w:rPr>
          <w:fldChar w:fldCharType="separate"/>
        </w:r>
        <w:r w:rsidR="00DB1991">
          <w:rPr>
            <w:noProof/>
            <w:webHidden/>
          </w:rPr>
          <w:t>26</w:t>
        </w:r>
        <w:r w:rsidR="00A03F0C">
          <w:rPr>
            <w:noProof/>
            <w:webHidden/>
          </w:rPr>
          <w:fldChar w:fldCharType="end"/>
        </w:r>
      </w:hyperlink>
    </w:p>
    <w:p w14:paraId="23CBD4F6" w14:textId="3CAD8CEF" w:rsidR="00A03F0C" w:rsidRDefault="00C427E2">
      <w:pPr>
        <w:pStyle w:val="TOC1"/>
        <w:rPr>
          <w:rFonts w:asciiTheme="minorHAnsi" w:hAnsiTheme="minorHAnsi"/>
          <w:noProof/>
        </w:rPr>
      </w:pPr>
      <w:hyperlink w:anchor="_Toc129957936" w:history="1">
        <w:r w:rsidR="00A03F0C" w:rsidRPr="00ED7E2A">
          <w:rPr>
            <w:rStyle w:val="Hyperlink"/>
            <w:noProof/>
            <w:spacing w:val="-8"/>
          </w:rPr>
          <w:t>8.</w:t>
        </w:r>
        <w:r w:rsidR="00A03F0C">
          <w:rPr>
            <w:rFonts w:asciiTheme="minorHAnsi" w:hAnsiTheme="minorHAnsi"/>
            <w:noProof/>
          </w:rPr>
          <w:tab/>
        </w:r>
        <w:r w:rsidR="00A03F0C" w:rsidRPr="00ED7E2A">
          <w:rPr>
            <w:rStyle w:val="Hyperlink"/>
            <w:noProof/>
            <w:spacing w:val="-8"/>
          </w:rPr>
          <w:t>Knowledge gaps and limitations</w:t>
        </w:r>
        <w:r w:rsidR="00A03F0C">
          <w:rPr>
            <w:noProof/>
            <w:webHidden/>
          </w:rPr>
          <w:tab/>
        </w:r>
        <w:r w:rsidR="00A03F0C">
          <w:rPr>
            <w:noProof/>
            <w:webHidden/>
          </w:rPr>
          <w:fldChar w:fldCharType="begin"/>
        </w:r>
        <w:r w:rsidR="00A03F0C">
          <w:rPr>
            <w:noProof/>
            <w:webHidden/>
          </w:rPr>
          <w:instrText xml:space="preserve"> PAGEREF _Toc129957936 \h </w:instrText>
        </w:r>
        <w:r w:rsidR="00A03F0C">
          <w:rPr>
            <w:noProof/>
            <w:webHidden/>
          </w:rPr>
        </w:r>
        <w:r w:rsidR="00A03F0C">
          <w:rPr>
            <w:noProof/>
            <w:webHidden/>
          </w:rPr>
          <w:fldChar w:fldCharType="separate"/>
        </w:r>
        <w:r w:rsidR="00DB1991">
          <w:rPr>
            <w:noProof/>
            <w:webHidden/>
          </w:rPr>
          <w:t>32</w:t>
        </w:r>
        <w:r w:rsidR="00A03F0C">
          <w:rPr>
            <w:noProof/>
            <w:webHidden/>
          </w:rPr>
          <w:fldChar w:fldCharType="end"/>
        </w:r>
      </w:hyperlink>
    </w:p>
    <w:p w14:paraId="5DB59D62" w14:textId="471EF425" w:rsidR="00A03F0C" w:rsidRDefault="00C427E2">
      <w:pPr>
        <w:pStyle w:val="TOC1"/>
        <w:rPr>
          <w:rFonts w:asciiTheme="minorHAnsi" w:hAnsiTheme="minorHAnsi"/>
          <w:noProof/>
        </w:rPr>
      </w:pPr>
      <w:hyperlink w:anchor="_Toc129957937" w:history="1">
        <w:r w:rsidR="00A03F0C" w:rsidRPr="00ED7E2A">
          <w:rPr>
            <w:rStyle w:val="Hyperlink"/>
            <w:noProof/>
          </w:rPr>
          <w:t>Appendix 1: Walkover survey guide</w:t>
        </w:r>
        <w:r w:rsidR="00A03F0C">
          <w:rPr>
            <w:noProof/>
            <w:webHidden/>
          </w:rPr>
          <w:tab/>
        </w:r>
        <w:r w:rsidR="00A03F0C">
          <w:rPr>
            <w:noProof/>
            <w:webHidden/>
          </w:rPr>
          <w:fldChar w:fldCharType="begin"/>
        </w:r>
        <w:r w:rsidR="00A03F0C">
          <w:rPr>
            <w:noProof/>
            <w:webHidden/>
          </w:rPr>
          <w:instrText xml:space="preserve"> PAGEREF _Toc129957937 \h </w:instrText>
        </w:r>
        <w:r w:rsidR="00A03F0C">
          <w:rPr>
            <w:noProof/>
            <w:webHidden/>
          </w:rPr>
        </w:r>
        <w:r w:rsidR="00A03F0C">
          <w:rPr>
            <w:noProof/>
            <w:webHidden/>
          </w:rPr>
          <w:fldChar w:fldCharType="separate"/>
        </w:r>
        <w:r w:rsidR="00DB1991">
          <w:rPr>
            <w:noProof/>
            <w:webHidden/>
          </w:rPr>
          <w:t>33</w:t>
        </w:r>
        <w:r w:rsidR="00A03F0C">
          <w:rPr>
            <w:noProof/>
            <w:webHidden/>
          </w:rPr>
          <w:fldChar w:fldCharType="end"/>
        </w:r>
      </w:hyperlink>
    </w:p>
    <w:p w14:paraId="1B63A566" w14:textId="52B88CF5" w:rsidR="00A03F0C" w:rsidRDefault="00C427E2">
      <w:pPr>
        <w:pStyle w:val="TOC1"/>
        <w:rPr>
          <w:rFonts w:asciiTheme="minorHAnsi" w:hAnsiTheme="minorHAnsi"/>
          <w:noProof/>
        </w:rPr>
      </w:pPr>
      <w:hyperlink w:anchor="_Toc129957938" w:history="1">
        <w:r w:rsidR="00A03F0C" w:rsidRPr="00ED7E2A">
          <w:rPr>
            <w:rStyle w:val="Hyperlink"/>
            <w:noProof/>
          </w:rPr>
          <w:t>Appendix 2: Other critical source areas</w:t>
        </w:r>
        <w:r w:rsidR="00A03F0C">
          <w:rPr>
            <w:noProof/>
            <w:webHidden/>
          </w:rPr>
          <w:tab/>
        </w:r>
        <w:r w:rsidR="00A03F0C">
          <w:rPr>
            <w:noProof/>
            <w:webHidden/>
          </w:rPr>
          <w:fldChar w:fldCharType="begin"/>
        </w:r>
        <w:r w:rsidR="00A03F0C">
          <w:rPr>
            <w:noProof/>
            <w:webHidden/>
          </w:rPr>
          <w:instrText xml:space="preserve"> PAGEREF _Toc129957938 \h </w:instrText>
        </w:r>
        <w:r w:rsidR="00A03F0C">
          <w:rPr>
            <w:noProof/>
            <w:webHidden/>
          </w:rPr>
        </w:r>
        <w:r w:rsidR="00A03F0C">
          <w:rPr>
            <w:noProof/>
            <w:webHidden/>
          </w:rPr>
          <w:fldChar w:fldCharType="separate"/>
        </w:r>
        <w:r w:rsidR="00DB1991">
          <w:rPr>
            <w:noProof/>
            <w:webHidden/>
          </w:rPr>
          <w:t>35</w:t>
        </w:r>
        <w:r w:rsidR="00A03F0C">
          <w:rPr>
            <w:noProof/>
            <w:webHidden/>
          </w:rPr>
          <w:fldChar w:fldCharType="end"/>
        </w:r>
      </w:hyperlink>
    </w:p>
    <w:p w14:paraId="58CD0A01" w14:textId="0D342E9C" w:rsidR="00A03F0C" w:rsidRDefault="00C427E2">
      <w:pPr>
        <w:pStyle w:val="TOC1"/>
        <w:rPr>
          <w:rFonts w:asciiTheme="minorHAnsi" w:hAnsiTheme="minorHAnsi"/>
          <w:noProof/>
        </w:rPr>
      </w:pPr>
      <w:hyperlink w:anchor="_Toc129957939" w:history="1">
        <w:r w:rsidR="00A03F0C" w:rsidRPr="00ED7E2A">
          <w:rPr>
            <w:rStyle w:val="Hyperlink"/>
            <w:noProof/>
          </w:rPr>
          <w:t>Appendix 3: Quick reference guide to critical source area guidance</w:t>
        </w:r>
        <w:r w:rsidR="00A03F0C">
          <w:rPr>
            <w:noProof/>
            <w:webHidden/>
          </w:rPr>
          <w:tab/>
        </w:r>
        <w:r w:rsidR="00A03F0C">
          <w:rPr>
            <w:noProof/>
            <w:webHidden/>
          </w:rPr>
          <w:fldChar w:fldCharType="begin"/>
        </w:r>
        <w:r w:rsidR="00A03F0C">
          <w:rPr>
            <w:noProof/>
            <w:webHidden/>
          </w:rPr>
          <w:instrText xml:space="preserve"> PAGEREF _Toc129957939 \h </w:instrText>
        </w:r>
        <w:r w:rsidR="00A03F0C">
          <w:rPr>
            <w:noProof/>
            <w:webHidden/>
          </w:rPr>
        </w:r>
        <w:r w:rsidR="00A03F0C">
          <w:rPr>
            <w:noProof/>
            <w:webHidden/>
          </w:rPr>
          <w:fldChar w:fldCharType="separate"/>
        </w:r>
        <w:r w:rsidR="00DB1991">
          <w:rPr>
            <w:noProof/>
            <w:webHidden/>
          </w:rPr>
          <w:t>37</w:t>
        </w:r>
        <w:r w:rsidR="00A03F0C">
          <w:rPr>
            <w:noProof/>
            <w:webHidden/>
          </w:rPr>
          <w:fldChar w:fldCharType="end"/>
        </w:r>
      </w:hyperlink>
    </w:p>
    <w:p w14:paraId="4D059AEF" w14:textId="29F139DD" w:rsidR="00A03F0C" w:rsidRDefault="00C427E2">
      <w:pPr>
        <w:pStyle w:val="TOC1"/>
        <w:rPr>
          <w:rFonts w:asciiTheme="minorHAnsi" w:hAnsiTheme="minorHAnsi"/>
          <w:noProof/>
        </w:rPr>
      </w:pPr>
      <w:hyperlink w:anchor="_Toc129957940" w:history="1">
        <w:r w:rsidR="00A03F0C" w:rsidRPr="00ED7E2A">
          <w:rPr>
            <w:rStyle w:val="Hyperlink"/>
            <w:noProof/>
          </w:rPr>
          <w:t>References</w:t>
        </w:r>
        <w:r w:rsidR="00A03F0C">
          <w:rPr>
            <w:noProof/>
            <w:webHidden/>
          </w:rPr>
          <w:tab/>
        </w:r>
        <w:r w:rsidR="00A03F0C">
          <w:rPr>
            <w:noProof/>
            <w:webHidden/>
          </w:rPr>
          <w:fldChar w:fldCharType="begin"/>
        </w:r>
        <w:r w:rsidR="00A03F0C">
          <w:rPr>
            <w:noProof/>
            <w:webHidden/>
          </w:rPr>
          <w:instrText xml:space="preserve"> PAGEREF _Toc129957940 \h </w:instrText>
        </w:r>
        <w:r w:rsidR="00A03F0C">
          <w:rPr>
            <w:noProof/>
            <w:webHidden/>
          </w:rPr>
        </w:r>
        <w:r w:rsidR="00A03F0C">
          <w:rPr>
            <w:noProof/>
            <w:webHidden/>
          </w:rPr>
          <w:fldChar w:fldCharType="separate"/>
        </w:r>
        <w:r w:rsidR="00DB1991">
          <w:rPr>
            <w:noProof/>
            <w:webHidden/>
          </w:rPr>
          <w:t>41</w:t>
        </w:r>
        <w:r w:rsidR="00A03F0C">
          <w:rPr>
            <w:noProof/>
            <w:webHidden/>
          </w:rPr>
          <w:fldChar w:fldCharType="end"/>
        </w:r>
      </w:hyperlink>
    </w:p>
    <w:p w14:paraId="3F34050F" w14:textId="6B15A31B" w:rsidR="00796A6F" w:rsidRPr="00107D33" w:rsidRDefault="00B15416" w:rsidP="00107D33">
      <w:pPr>
        <w:pStyle w:val="TOC1"/>
        <w:spacing w:before="0"/>
        <w:rPr>
          <w:sz w:val="2"/>
          <w:szCs w:val="2"/>
        </w:rPr>
      </w:pPr>
      <w:r>
        <w:rPr>
          <w:color w:val="0092CF"/>
        </w:rPr>
        <w:fldChar w:fldCharType="end"/>
      </w:r>
      <w:r w:rsidR="00796A6F" w:rsidRPr="00554B30">
        <w:br w:type="page"/>
      </w:r>
    </w:p>
    <w:p w14:paraId="49B2D59C" w14:textId="79C58783" w:rsidR="00532334" w:rsidRPr="006B77BB" w:rsidRDefault="00532334" w:rsidP="00585FD0">
      <w:pPr>
        <w:pStyle w:val="Heading"/>
      </w:pPr>
      <w:r w:rsidRPr="006B77BB">
        <w:lastRenderedPageBreak/>
        <w:t>Table</w:t>
      </w:r>
      <w:r w:rsidR="000E16C7">
        <w:t>s</w:t>
      </w:r>
    </w:p>
    <w:p w14:paraId="3C9474B4" w14:textId="17DB937F" w:rsidR="00A03F0C" w:rsidRDefault="004943C2">
      <w:pPr>
        <w:pStyle w:val="TableofFigures"/>
        <w:tabs>
          <w:tab w:val="right" w:pos="8495"/>
        </w:tabs>
        <w:rPr>
          <w:rFonts w:asciiTheme="minorHAnsi" w:hAnsiTheme="minorHAnsi"/>
          <w:noProof/>
        </w:rPr>
      </w:pPr>
      <w:r w:rsidRPr="006B77BB">
        <w:fldChar w:fldCharType="begin"/>
      </w:r>
      <w:r w:rsidRPr="006B77BB">
        <w:instrText xml:space="preserve"> TOC \h \z \t "Table heading" \c </w:instrText>
      </w:r>
      <w:r w:rsidRPr="006B77BB">
        <w:fldChar w:fldCharType="separate"/>
      </w:r>
      <w:hyperlink w:anchor="_Toc129957941" w:history="1">
        <w:r w:rsidR="00A03F0C" w:rsidRPr="00595758">
          <w:rPr>
            <w:rStyle w:val="Hyperlink"/>
            <w:noProof/>
          </w:rPr>
          <w:t>Table 1:</w:t>
        </w:r>
        <w:r w:rsidR="00A03F0C">
          <w:rPr>
            <w:rFonts w:asciiTheme="minorHAnsi" w:hAnsiTheme="minorHAnsi"/>
            <w:noProof/>
          </w:rPr>
          <w:tab/>
        </w:r>
        <w:r w:rsidR="00A03F0C" w:rsidRPr="00595758">
          <w:rPr>
            <w:rStyle w:val="Hyperlink"/>
            <w:noProof/>
          </w:rPr>
          <w:t>Contaminant sources in intensive winter grazing</w:t>
        </w:r>
        <w:r w:rsidR="00A03F0C">
          <w:rPr>
            <w:noProof/>
            <w:webHidden/>
          </w:rPr>
          <w:tab/>
        </w:r>
        <w:r w:rsidR="00A03F0C">
          <w:rPr>
            <w:noProof/>
            <w:webHidden/>
          </w:rPr>
          <w:fldChar w:fldCharType="begin"/>
        </w:r>
        <w:r w:rsidR="00A03F0C">
          <w:rPr>
            <w:noProof/>
            <w:webHidden/>
          </w:rPr>
          <w:instrText xml:space="preserve"> PAGEREF _Toc129957941 \h </w:instrText>
        </w:r>
        <w:r w:rsidR="00A03F0C">
          <w:rPr>
            <w:noProof/>
            <w:webHidden/>
          </w:rPr>
        </w:r>
        <w:r w:rsidR="00A03F0C">
          <w:rPr>
            <w:noProof/>
            <w:webHidden/>
          </w:rPr>
          <w:fldChar w:fldCharType="separate"/>
        </w:r>
        <w:r w:rsidR="00DB1991">
          <w:rPr>
            <w:noProof/>
            <w:webHidden/>
          </w:rPr>
          <w:t>12</w:t>
        </w:r>
        <w:r w:rsidR="00A03F0C">
          <w:rPr>
            <w:noProof/>
            <w:webHidden/>
          </w:rPr>
          <w:fldChar w:fldCharType="end"/>
        </w:r>
      </w:hyperlink>
    </w:p>
    <w:p w14:paraId="264DFC7A" w14:textId="1B23D4B9" w:rsidR="00A03F0C" w:rsidRDefault="00C427E2">
      <w:pPr>
        <w:pStyle w:val="TableofFigures"/>
        <w:tabs>
          <w:tab w:val="right" w:pos="8495"/>
        </w:tabs>
        <w:rPr>
          <w:rFonts w:asciiTheme="minorHAnsi" w:hAnsiTheme="minorHAnsi"/>
          <w:noProof/>
        </w:rPr>
      </w:pPr>
      <w:hyperlink w:anchor="_Toc129957942" w:history="1">
        <w:r w:rsidR="00A03F0C" w:rsidRPr="00595758">
          <w:rPr>
            <w:rStyle w:val="Hyperlink"/>
            <w:noProof/>
          </w:rPr>
          <w:t>Table 2:</w:t>
        </w:r>
        <w:r w:rsidR="00A03F0C">
          <w:rPr>
            <w:rFonts w:asciiTheme="minorHAnsi" w:hAnsiTheme="minorHAnsi"/>
            <w:noProof/>
          </w:rPr>
          <w:tab/>
        </w:r>
        <w:r w:rsidR="00A03F0C" w:rsidRPr="00595758">
          <w:rPr>
            <w:rStyle w:val="Hyperlink"/>
            <w:noProof/>
          </w:rPr>
          <w:t>A decision framework for intensive winter grazing, covering the planning phase through to the review stage</w:t>
        </w:r>
        <w:r w:rsidR="00A03F0C">
          <w:rPr>
            <w:noProof/>
            <w:webHidden/>
          </w:rPr>
          <w:tab/>
        </w:r>
        <w:r w:rsidR="00A03F0C">
          <w:rPr>
            <w:noProof/>
            <w:webHidden/>
          </w:rPr>
          <w:fldChar w:fldCharType="begin"/>
        </w:r>
        <w:r w:rsidR="00A03F0C">
          <w:rPr>
            <w:noProof/>
            <w:webHidden/>
          </w:rPr>
          <w:instrText xml:space="preserve"> PAGEREF _Toc129957942 \h </w:instrText>
        </w:r>
        <w:r w:rsidR="00A03F0C">
          <w:rPr>
            <w:noProof/>
            <w:webHidden/>
          </w:rPr>
        </w:r>
        <w:r w:rsidR="00A03F0C">
          <w:rPr>
            <w:noProof/>
            <w:webHidden/>
          </w:rPr>
          <w:fldChar w:fldCharType="separate"/>
        </w:r>
        <w:r w:rsidR="00DB1991">
          <w:rPr>
            <w:noProof/>
            <w:webHidden/>
          </w:rPr>
          <w:t>24</w:t>
        </w:r>
        <w:r w:rsidR="00A03F0C">
          <w:rPr>
            <w:noProof/>
            <w:webHidden/>
          </w:rPr>
          <w:fldChar w:fldCharType="end"/>
        </w:r>
      </w:hyperlink>
    </w:p>
    <w:p w14:paraId="2592F928" w14:textId="18DB9B0E" w:rsidR="00532334" w:rsidRPr="006B77BB" w:rsidRDefault="004943C2" w:rsidP="00107D33">
      <w:pPr>
        <w:pStyle w:val="BodyText"/>
        <w:tabs>
          <w:tab w:val="left" w:pos="938"/>
        </w:tabs>
      </w:pPr>
      <w:r w:rsidRPr="006B77BB">
        <w:fldChar w:fldCharType="end"/>
      </w:r>
    </w:p>
    <w:p w14:paraId="126D2729" w14:textId="77777777" w:rsidR="00532334" w:rsidRPr="006B77BB" w:rsidRDefault="00532334" w:rsidP="004B5BDD"/>
    <w:p w14:paraId="00840925" w14:textId="77777777" w:rsidR="00532334" w:rsidRPr="006B77BB" w:rsidRDefault="00B51610" w:rsidP="00585FD0">
      <w:pPr>
        <w:pStyle w:val="Heading"/>
      </w:pPr>
      <w:r w:rsidRPr="006B77BB">
        <w:t>Figure</w:t>
      </w:r>
      <w:r w:rsidR="00532334" w:rsidRPr="006B77BB">
        <w:t>s</w:t>
      </w:r>
    </w:p>
    <w:p w14:paraId="25905D16" w14:textId="0F48F9D3" w:rsidR="00A03F0C" w:rsidRDefault="004943C2">
      <w:pPr>
        <w:pStyle w:val="TableofFigures"/>
        <w:tabs>
          <w:tab w:val="right" w:pos="8495"/>
        </w:tabs>
        <w:rPr>
          <w:rFonts w:asciiTheme="minorHAnsi" w:hAnsiTheme="minorHAnsi"/>
          <w:noProof/>
        </w:rPr>
      </w:pPr>
      <w:r w:rsidRPr="006B77BB">
        <w:fldChar w:fldCharType="begin"/>
      </w:r>
      <w:r w:rsidRPr="006B77BB">
        <w:instrText xml:space="preserve"> TOC \h \z \t "Figure heading" \c </w:instrText>
      </w:r>
      <w:r w:rsidRPr="006B77BB">
        <w:fldChar w:fldCharType="separate"/>
      </w:r>
      <w:hyperlink w:anchor="_Toc129957943" w:history="1">
        <w:r w:rsidR="00A03F0C" w:rsidRPr="0023548C">
          <w:rPr>
            <w:rStyle w:val="Hyperlink"/>
            <w:noProof/>
            <w:spacing w:val="-4"/>
          </w:rPr>
          <w:t>Figure 1:</w:t>
        </w:r>
        <w:r w:rsidR="00A03F0C">
          <w:rPr>
            <w:rFonts w:asciiTheme="minorHAnsi" w:hAnsiTheme="minorHAnsi"/>
            <w:noProof/>
          </w:rPr>
          <w:tab/>
        </w:r>
        <w:r w:rsidR="00A03F0C" w:rsidRPr="0023548C">
          <w:rPr>
            <w:rStyle w:val="Hyperlink"/>
            <w:noProof/>
            <w:spacing w:val="-4"/>
          </w:rPr>
          <w:t>The concept of a critical source area</w:t>
        </w:r>
        <w:r w:rsidR="00A03F0C">
          <w:rPr>
            <w:noProof/>
            <w:webHidden/>
          </w:rPr>
          <w:tab/>
        </w:r>
        <w:r w:rsidR="00A03F0C">
          <w:rPr>
            <w:noProof/>
            <w:webHidden/>
          </w:rPr>
          <w:fldChar w:fldCharType="begin"/>
        </w:r>
        <w:r w:rsidR="00A03F0C">
          <w:rPr>
            <w:noProof/>
            <w:webHidden/>
          </w:rPr>
          <w:instrText xml:space="preserve"> PAGEREF _Toc129957943 \h </w:instrText>
        </w:r>
        <w:r w:rsidR="00A03F0C">
          <w:rPr>
            <w:noProof/>
            <w:webHidden/>
          </w:rPr>
        </w:r>
        <w:r w:rsidR="00A03F0C">
          <w:rPr>
            <w:noProof/>
            <w:webHidden/>
          </w:rPr>
          <w:fldChar w:fldCharType="separate"/>
        </w:r>
        <w:r w:rsidR="00DB1991">
          <w:rPr>
            <w:noProof/>
            <w:webHidden/>
          </w:rPr>
          <w:t>8</w:t>
        </w:r>
        <w:r w:rsidR="00A03F0C">
          <w:rPr>
            <w:noProof/>
            <w:webHidden/>
          </w:rPr>
          <w:fldChar w:fldCharType="end"/>
        </w:r>
      </w:hyperlink>
    </w:p>
    <w:p w14:paraId="2E4FE7B7" w14:textId="1452BCA1" w:rsidR="00A03F0C" w:rsidRDefault="00C427E2">
      <w:pPr>
        <w:pStyle w:val="TableofFigures"/>
        <w:tabs>
          <w:tab w:val="right" w:pos="8495"/>
        </w:tabs>
        <w:rPr>
          <w:rFonts w:asciiTheme="minorHAnsi" w:hAnsiTheme="minorHAnsi"/>
          <w:noProof/>
        </w:rPr>
      </w:pPr>
      <w:hyperlink w:anchor="_Toc129957944" w:history="1">
        <w:r w:rsidR="00A03F0C" w:rsidRPr="0023548C">
          <w:rPr>
            <w:rStyle w:val="Hyperlink"/>
            <w:noProof/>
          </w:rPr>
          <w:t>Figure 2:</w:t>
        </w:r>
        <w:r w:rsidR="00A03F0C">
          <w:rPr>
            <w:rFonts w:asciiTheme="minorHAnsi" w:hAnsiTheme="minorHAnsi"/>
            <w:noProof/>
          </w:rPr>
          <w:tab/>
        </w:r>
        <w:r w:rsidR="00A03F0C" w:rsidRPr="0023548C">
          <w:rPr>
            <w:rStyle w:val="Hyperlink"/>
            <w:noProof/>
          </w:rPr>
          <w:t>An example of buffer strip on either side of a critical source area</w:t>
        </w:r>
        <w:r w:rsidR="00A03F0C">
          <w:rPr>
            <w:noProof/>
            <w:webHidden/>
          </w:rPr>
          <w:tab/>
        </w:r>
        <w:r w:rsidR="00A03F0C">
          <w:rPr>
            <w:noProof/>
            <w:webHidden/>
          </w:rPr>
          <w:fldChar w:fldCharType="begin"/>
        </w:r>
        <w:r w:rsidR="00A03F0C">
          <w:rPr>
            <w:noProof/>
            <w:webHidden/>
          </w:rPr>
          <w:instrText xml:space="preserve"> PAGEREF _Toc129957944 \h </w:instrText>
        </w:r>
        <w:r w:rsidR="00A03F0C">
          <w:rPr>
            <w:noProof/>
            <w:webHidden/>
          </w:rPr>
        </w:r>
        <w:r w:rsidR="00A03F0C">
          <w:rPr>
            <w:noProof/>
            <w:webHidden/>
          </w:rPr>
          <w:fldChar w:fldCharType="separate"/>
        </w:r>
        <w:r w:rsidR="00DB1991">
          <w:rPr>
            <w:noProof/>
            <w:webHidden/>
          </w:rPr>
          <w:t>21</w:t>
        </w:r>
        <w:r w:rsidR="00A03F0C">
          <w:rPr>
            <w:noProof/>
            <w:webHidden/>
          </w:rPr>
          <w:fldChar w:fldCharType="end"/>
        </w:r>
      </w:hyperlink>
    </w:p>
    <w:p w14:paraId="4A791F56" w14:textId="6221EBCB" w:rsidR="00A03F0C" w:rsidRDefault="00C427E2">
      <w:pPr>
        <w:pStyle w:val="TableofFigures"/>
        <w:tabs>
          <w:tab w:val="right" w:pos="8495"/>
        </w:tabs>
        <w:rPr>
          <w:rFonts w:asciiTheme="minorHAnsi" w:hAnsiTheme="minorHAnsi"/>
          <w:noProof/>
        </w:rPr>
      </w:pPr>
      <w:hyperlink w:anchor="_Toc129957945" w:history="1">
        <w:r w:rsidR="00A03F0C" w:rsidRPr="0023548C">
          <w:rPr>
            <w:rStyle w:val="Hyperlink"/>
            <w:noProof/>
          </w:rPr>
          <w:t>Figure 3:</w:t>
        </w:r>
        <w:r w:rsidR="00A03F0C">
          <w:rPr>
            <w:rFonts w:asciiTheme="minorHAnsi" w:hAnsiTheme="minorHAnsi"/>
            <w:noProof/>
          </w:rPr>
          <w:tab/>
        </w:r>
        <w:r w:rsidR="00A03F0C" w:rsidRPr="0023548C">
          <w:rPr>
            <w:rStyle w:val="Hyperlink"/>
            <w:noProof/>
          </w:rPr>
          <w:t>Contaminant removal efficacy versus buffer width for: (a) sediment, (b) pesticide, (c) nitrogen and (d) phosphorus</w:t>
        </w:r>
        <w:r w:rsidR="00A03F0C">
          <w:rPr>
            <w:noProof/>
            <w:webHidden/>
          </w:rPr>
          <w:tab/>
        </w:r>
        <w:r w:rsidR="00A03F0C">
          <w:rPr>
            <w:noProof/>
            <w:webHidden/>
          </w:rPr>
          <w:fldChar w:fldCharType="begin"/>
        </w:r>
        <w:r w:rsidR="00A03F0C">
          <w:rPr>
            <w:noProof/>
            <w:webHidden/>
          </w:rPr>
          <w:instrText xml:space="preserve"> PAGEREF _Toc129957945 \h </w:instrText>
        </w:r>
        <w:r w:rsidR="00A03F0C">
          <w:rPr>
            <w:noProof/>
            <w:webHidden/>
          </w:rPr>
        </w:r>
        <w:r w:rsidR="00A03F0C">
          <w:rPr>
            <w:noProof/>
            <w:webHidden/>
          </w:rPr>
          <w:fldChar w:fldCharType="separate"/>
        </w:r>
        <w:r w:rsidR="00DB1991">
          <w:rPr>
            <w:noProof/>
            <w:webHidden/>
          </w:rPr>
          <w:t>21</w:t>
        </w:r>
        <w:r w:rsidR="00A03F0C">
          <w:rPr>
            <w:noProof/>
            <w:webHidden/>
          </w:rPr>
          <w:fldChar w:fldCharType="end"/>
        </w:r>
      </w:hyperlink>
    </w:p>
    <w:p w14:paraId="23B40780" w14:textId="718CCE4A" w:rsidR="00A03F0C" w:rsidRDefault="00C427E2">
      <w:pPr>
        <w:pStyle w:val="TableofFigures"/>
        <w:tabs>
          <w:tab w:val="right" w:pos="8495"/>
        </w:tabs>
        <w:rPr>
          <w:rFonts w:asciiTheme="minorHAnsi" w:hAnsiTheme="minorHAnsi"/>
          <w:noProof/>
        </w:rPr>
      </w:pPr>
      <w:hyperlink w:anchor="_Toc129957946" w:history="1">
        <w:r w:rsidR="00A03F0C" w:rsidRPr="0023548C">
          <w:rPr>
            <w:rStyle w:val="Hyperlink"/>
            <w:noProof/>
          </w:rPr>
          <w:t>Figure 4:</w:t>
        </w:r>
        <w:r w:rsidR="00A03F0C">
          <w:rPr>
            <w:rFonts w:asciiTheme="minorHAnsi" w:hAnsiTheme="minorHAnsi"/>
            <w:noProof/>
          </w:rPr>
          <w:tab/>
        </w:r>
        <w:r w:rsidR="00A03F0C" w:rsidRPr="0023548C">
          <w:rPr>
            <w:rStyle w:val="Hyperlink"/>
            <w:noProof/>
          </w:rPr>
          <w:t>Overview of the stages and key decision points in the grazed winter forage cropping cycle</w:t>
        </w:r>
        <w:r w:rsidR="00A03F0C">
          <w:rPr>
            <w:noProof/>
            <w:webHidden/>
          </w:rPr>
          <w:tab/>
        </w:r>
        <w:r w:rsidR="00A03F0C">
          <w:rPr>
            <w:noProof/>
            <w:webHidden/>
          </w:rPr>
          <w:fldChar w:fldCharType="begin"/>
        </w:r>
        <w:r w:rsidR="00A03F0C">
          <w:rPr>
            <w:noProof/>
            <w:webHidden/>
          </w:rPr>
          <w:instrText xml:space="preserve"> PAGEREF _Toc129957946 \h </w:instrText>
        </w:r>
        <w:r w:rsidR="00A03F0C">
          <w:rPr>
            <w:noProof/>
            <w:webHidden/>
          </w:rPr>
        </w:r>
        <w:r w:rsidR="00A03F0C">
          <w:rPr>
            <w:noProof/>
            <w:webHidden/>
          </w:rPr>
          <w:fldChar w:fldCharType="separate"/>
        </w:r>
        <w:r w:rsidR="00DB1991">
          <w:rPr>
            <w:noProof/>
            <w:webHidden/>
          </w:rPr>
          <w:t>23</w:t>
        </w:r>
        <w:r w:rsidR="00A03F0C">
          <w:rPr>
            <w:noProof/>
            <w:webHidden/>
          </w:rPr>
          <w:fldChar w:fldCharType="end"/>
        </w:r>
      </w:hyperlink>
    </w:p>
    <w:p w14:paraId="3E072F0C" w14:textId="4C908A7F" w:rsidR="008A2FF1" w:rsidRPr="006B77BB" w:rsidRDefault="004943C2" w:rsidP="00D51469">
      <w:pPr>
        <w:pStyle w:val="BodyText"/>
      </w:pPr>
      <w:r w:rsidRPr="006B77BB">
        <w:fldChar w:fldCharType="end"/>
      </w:r>
    </w:p>
    <w:p w14:paraId="34A4AF89" w14:textId="77777777" w:rsidR="00796A6F" w:rsidRPr="00554B30" w:rsidRDefault="00796A6F" w:rsidP="00554B30">
      <w:bookmarkStart w:id="0" w:name="_Toc215561202"/>
      <w:r w:rsidRPr="00554B30">
        <w:br w:type="page"/>
      </w:r>
    </w:p>
    <w:p w14:paraId="4928E020" w14:textId="77777777" w:rsidR="00142D51" w:rsidRDefault="00142D51" w:rsidP="00331578">
      <w:pPr>
        <w:pStyle w:val="Heading1"/>
      </w:pPr>
      <w:bookmarkStart w:id="1" w:name="_Toc129957912"/>
      <w:bookmarkEnd w:id="0"/>
      <w:r>
        <w:lastRenderedPageBreak/>
        <w:t>1.</w:t>
      </w:r>
      <w:r>
        <w:tab/>
        <w:t>Executive summary</w:t>
      </w:r>
      <w:bookmarkEnd w:id="1"/>
    </w:p>
    <w:p w14:paraId="402B1965" w14:textId="610A1661" w:rsidR="00142D51" w:rsidRDefault="00142D51" w:rsidP="00142D51">
      <w:pPr>
        <w:pStyle w:val="BodyText"/>
      </w:pPr>
      <w:r>
        <w:t xml:space="preserve">This document synthesises scientific evidence into guidance to inform </w:t>
      </w:r>
      <w:r w:rsidR="001540CE">
        <w:t>i</w:t>
      </w:r>
      <w:r>
        <w:t xml:space="preserve">ntensive </w:t>
      </w:r>
      <w:r w:rsidR="001540CE">
        <w:t>w</w:t>
      </w:r>
      <w:r>
        <w:t xml:space="preserve">inter </w:t>
      </w:r>
      <w:r w:rsidR="001540CE">
        <w:t>g</w:t>
      </w:r>
      <w:r>
        <w:t xml:space="preserve">razing (IWG) activities in accordance with the </w:t>
      </w:r>
      <w:r w:rsidR="00AA04D4">
        <w:t xml:space="preserve">Resource Management </w:t>
      </w:r>
      <w:r w:rsidR="00E20D1B">
        <w:t>(</w:t>
      </w:r>
      <w:r>
        <w:t>National Environmental Standards for Freshwater</w:t>
      </w:r>
      <w:r w:rsidR="00E20D1B">
        <w:t>) Regulations 2020</w:t>
      </w:r>
      <w:r>
        <w:t xml:space="preserve"> (NES-F). </w:t>
      </w:r>
      <w:r w:rsidR="003B0999">
        <w:t>It</w:t>
      </w:r>
      <w:r>
        <w:t xml:space="preserve"> provides recommendations on practical actions that </w:t>
      </w:r>
      <w:r w:rsidR="003B0999">
        <w:t>farmers</w:t>
      </w:r>
      <w:r w:rsidR="00CF6C97">
        <w:t>,</w:t>
      </w:r>
      <w:r w:rsidR="003B0999">
        <w:t xml:space="preserve"> land managers and councils </w:t>
      </w:r>
      <w:r>
        <w:t xml:space="preserve">can </w:t>
      </w:r>
      <w:r w:rsidR="003B0999">
        <w:t>take</w:t>
      </w:r>
      <w:r>
        <w:t xml:space="preserve"> to plan, manage and mitigate adverse effects from IWG activities</w:t>
      </w:r>
      <w:r w:rsidR="003B0999">
        <w:t>,</w:t>
      </w:r>
      <w:r>
        <w:t xml:space="preserve"> </w:t>
      </w:r>
      <w:r w:rsidR="003B0999">
        <w:t xml:space="preserve">with a focus </w:t>
      </w:r>
      <w:r>
        <w:t xml:space="preserve">on </w:t>
      </w:r>
      <w:r w:rsidR="003B0999">
        <w:t>c</w:t>
      </w:r>
      <w:r>
        <w:t xml:space="preserve">ritical </w:t>
      </w:r>
      <w:r w:rsidR="003B0999">
        <w:t>s</w:t>
      </w:r>
      <w:r>
        <w:t xml:space="preserve">ource </w:t>
      </w:r>
      <w:r w:rsidR="003B0999">
        <w:t>a</w:t>
      </w:r>
      <w:r>
        <w:t xml:space="preserve">reas (CSAs). </w:t>
      </w:r>
    </w:p>
    <w:p w14:paraId="507A1580" w14:textId="7B639FBC" w:rsidR="00142D51" w:rsidRDefault="00142D51" w:rsidP="00142D51">
      <w:pPr>
        <w:pStyle w:val="BodyText"/>
      </w:pPr>
      <w:r>
        <w:t xml:space="preserve">Phosphorus, sediment and faecal microorganisms are the contaminants most susceptible to surface </w:t>
      </w:r>
      <w:r w:rsidR="003B0999">
        <w:t>run-off</w:t>
      </w:r>
      <w:r>
        <w:t xml:space="preserve"> from winter grazing. Nitrogen is mainly lost via drainage but can be found in surface </w:t>
      </w:r>
      <w:r w:rsidR="003B0999">
        <w:t>run-off</w:t>
      </w:r>
      <w:r>
        <w:t xml:space="preserve"> on heavy or compacted soils. Livestock treading damage due to winter grazing results in decreased infiltration capacity</w:t>
      </w:r>
      <w:r w:rsidR="003B0999">
        <w:t xml:space="preserve">. This, in turn, leads </w:t>
      </w:r>
      <w:r>
        <w:t xml:space="preserve">to higher sediment and P losses in surface </w:t>
      </w:r>
      <w:r w:rsidR="003B0999">
        <w:t>run-off</w:t>
      </w:r>
      <w:r>
        <w:t xml:space="preserve"> and</w:t>
      </w:r>
      <w:r w:rsidR="003B0999">
        <w:t xml:space="preserve"> more chance that </w:t>
      </w:r>
      <w:r>
        <w:t xml:space="preserve">ponding of water on the soil surface </w:t>
      </w:r>
      <w:r w:rsidR="003B0999">
        <w:t>will occur</w:t>
      </w:r>
      <w:r>
        <w:t xml:space="preserve">. </w:t>
      </w:r>
    </w:p>
    <w:p w14:paraId="7697B939" w14:textId="594F22F8" w:rsidR="00142D51" w:rsidRDefault="00702C1F" w:rsidP="00142D51">
      <w:pPr>
        <w:pStyle w:val="BodyText"/>
      </w:pPr>
      <w:r>
        <w:t>Critical source area</w:t>
      </w:r>
      <w:r w:rsidR="00142D51">
        <w:t xml:space="preserve">s are areas within a paddock or catchment that contribute a disproportionately large (relative to their area) quantity of contaminants to water, negatively impacting water quality. The IWG regulations target </w:t>
      </w:r>
      <w:r>
        <w:t>critical source area</w:t>
      </w:r>
      <w:r w:rsidR="00142D51">
        <w:t xml:space="preserve">s that accumulate surface </w:t>
      </w:r>
      <w:r w:rsidR="003B0999">
        <w:t>run-off</w:t>
      </w:r>
      <w:r w:rsidR="00142D51">
        <w:t xml:space="preserve"> from grazed winter forage crops and deliver one or more contaminants to rivers, lakes, wetlands, surface drains or their beds. Targeting relevant mitigations specifically to </w:t>
      </w:r>
      <w:r>
        <w:t>critical source area</w:t>
      </w:r>
      <w:r w:rsidR="00142D51">
        <w:t>s is an efficient and cost-effective approach to reduce nutrient loss from the whole farm.</w:t>
      </w:r>
    </w:p>
    <w:p w14:paraId="35A9A4DC" w14:textId="5206B39C" w:rsidR="00142D51" w:rsidRDefault="00142D51" w:rsidP="00142D51">
      <w:pPr>
        <w:pStyle w:val="BodyText"/>
      </w:pPr>
      <w:r>
        <w:t xml:space="preserve">The simplest way to assess potential </w:t>
      </w:r>
      <w:r w:rsidR="00702C1F">
        <w:t>critical source area</w:t>
      </w:r>
      <w:r>
        <w:t xml:space="preserve">s is to perform a visual inspection of contaminant sources and transport pathways. This </w:t>
      </w:r>
      <w:r w:rsidR="00CF6C97">
        <w:t>‘</w:t>
      </w:r>
      <w:r>
        <w:t>walkover survey</w:t>
      </w:r>
      <w:r w:rsidR="00CF6C97">
        <w:t>’</w:t>
      </w:r>
      <w:r>
        <w:t xml:space="preserve"> involves walking around prospective IWG paddocks or a whole farm, usually during wet weather, looking for </w:t>
      </w:r>
      <w:r w:rsidR="003B0999">
        <w:t>run-off</w:t>
      </w:r>
      <w:r>
        <w:t>-generating areas and their connectivity to waterways, and marking this information on a map.</w:t>
      </w:r>
    </w:p>
    <w:p w14:paraId="48266E27" w14:textId="5A0E7D3E" w:rsidR="00142D51" w:rsidRDefault="00142D51" w:rsidP="00142D51">
      <w:pPr>
        <w:pStyle w:val="BodyText"/>
      </w:pPr>
      <w:r>
        <w:t>The NES-F require</w:t>
      </w:r>
      <w:r w:rsidR="00CF6C97">
        <w:t>s</w:t>
      </w:r>
      <w:r>
        <w:t xml:space="preserve"> livestock to be excluded from </w:t>
      </w:r>
      <w:r w:rsidR="00702C1F">
        <w:t>critical source area</w:t>
      </w:r>
      <w:r>
        <w:t xml:space="preserve">s from 1 May to 30 September in order to meet permitted activity conditions. Even when lower stocking rates are used to graze forage crops in winter, wet conditions in </w:t>
      </w:r>
      <w:r w:rsidR="00702C1F">
        <w:t>critical source area</w:t>
      </w:r>
      <w:r>
        <w:t xml:space="preserve">s are usually sufficient to cause pugging and compaction. </w:t>
      </w:r>
      <w:r w:rsidR="00CF6C97">
        <w:t>C</w:t>
      </w:r>
      <w:r w:rsidR="00702C1F">
        <w:t>ritical source area</w:t>
      </w:r>
      <w:r>
        <w:t>s, therefore, can be significant sources of contaminant loss if left unprotected.</w:t>
      </w:r>
    </w:p>
    <w:p w14:paraId="055CAD08" w14:textId="77777777" w:rsidR="00142D51" w:rsidRDefault="00142D51" w:rsidP="00142D51">
      <w:pPr>
        <w:pStyle w:val="BodyText"/>
      </w:pPr>
      <w:r>
        <w:t xml:space="preserve">At the end of the season, reviewing the measures that functioned well, and what did not, is a vital step that is part of continuous improvement for future planning. </w:t>
      </w:r>
    </w:p>
    <w:p w14:paraId="3389A71F" w14:textId="43A57506" w:rsidR="00142D51" w:rsidRDefault="00142D51" w:rsidP="00142D51">
      <w:pPr>
        <w:pStyle w:val="BodyText"/>
      </w:pPr>
    </w:p>
    <w:p w14:paraId="06C2666B" w14:textId="77777777" w:rsidR="006D0777" w:rsidRDefault="006D0777">
      <w:pPr>
        <w:spacing w:before="0" w:after="200" w:line="276" w:lineRule="auto"/>
        <w:jc w:val="left"/>
      </w:pPr>
      <w:r>
        <w:br w:type="page"/>
      </w:r>
    </w:p>
    <w:p w14:paraId="42DD113A" w14:textId="3D873328" w:rsidR="00142D51" w:rsidRDefault="00142D51" w:rsidP="006D0777">
      <w:pPr>
        <w:pStyle w:val="Heading1"/>
      </w:pPr>
      <w:bookmarkStart w:id="2" w:name="_Toc129957913"/>
      <w:r>
        <w:lastRenderedPageBreak/>
        <w:t>2.</w:t>
      </w:r>
      <w:r>
        <w:tab/>
        <w:t>Introduction</w:t>
      </w:r>
      <w:bookmarkEnd w:id="2"/>
    </w:p>
    <w:p w14:paraId="35EAA40E" w14:textId="77777777" w:rsidR="00142D51" w:rsidRDefault="00142D51" w:rsidP="006D0777">
      <w:pPr>
        <w:pStyle w:val="Heading2"/>
      </w:pPr>
      <w:bookmarkStart w:id="3" w:name="_Toc129957914"/>
      <w:r>
        <w:t>2.1</w:t>
      </w:r>
      <w:r>
        <w:tab/>
        <w:t>Purpose</w:t>
      </w:r>
      <w:bookmarkEnd w:id="3"/>
    </w:p>
    <w:p w14:paraId="05A47997" w14:textId="7E36E6C2" w:rsidR="00142D51" w:rsidRDefault="00142D51" w:rsidP="00142D51">
      <w:pPr>
        <w:pStyle w:val="BodyText"/>
      </w:pPr>
      <w:r>
        <w:t xml:space="preserve">The purpose of this guidance is to </w:t>
      </w:r>
      <w:r w:rsidR="003B0999">
        <w:t xml:space="preserve">help </w:t>
      </w:r>
      <w:r>
        <w:t xml:space="preserve">farmers, land managers and councils to manage and monitor intensive winter grazing (IWG) activities in a way that is consistent with IWG regulations and </w:t>
      </w:r>
      <w:r w:rsidR="003B0999">
        <w:t xml:space="preserve">that </w:t>
      </w:r>
      <w:r>
        <w:t>minimises the impacts on the environment. This technical guidance will provide recommendations on practical actions that can be taken, within the context of different farm systems and conditions, to plan, manage and mitigate adverse effects from IWG activities.</w:t>
      </w:r>
    </w:p>
    <w:p w14:paraId="11D95ACB" w14:textId="1C85AADA" w:rsidR="00142D51" w:rsidRDefault="00142D51" w:rsidP="00142D51">
      <w:pPr>
        <w:pStyle w:val="BodyText"/>
      </w:pPr>
      <w:r>
        <w:t xml:space="preserve">The focus of this document is </w:t>
      </w:r>
      <w:r w:rsidR="003B0999">
        <w:t>critical source area</w:t>
      </w:r>
      <w:r>
        <w:t xml:space="preserve"> (CSA) management as part of IWG, in accordance with </w:t>
      </w:r>
      <w:r w:rsidR="00CF6C97">
        <w:t xml:space="preserve">the </w:t>
      </w:r>
      <w:r>
        <w:t>NES-F</w:t>
      </w:r>
      <w:r w:rsidR="00C46CDB">
        <w:t xml:space="preserve"> </w:t>
      </w:r>
      <w:r w:rsidR="003F369A">
        <w:t>r</w:t>
      </w:r>
      <w:r w:rsidR="00C46CDB">
        <w:t>egulations</w:t>
      </w:r>
      <w:r>
        <w:t xml:space="preserve">. However, it is important to remember that regional plans may also address IWG issues and if the plan rules are more stringent than the </w:t>
      </w:r>
      <w:r w:rsidR="003B0999">
        <w:t>r</w:t>
      </w:r>
      <w:r>
        <w:t>egulations, they will apply. Council rules should therefore also be checked.</w:t>
      </w:r>
    </w:p>
    <w:p w14:paraId="02144224" w14:textId="77777777" w:rsidR="00142D51" w:rsidRDefault="00142D51" w:rsidP="006D0777">
      <w:pPr>
        <w:pStyle w:val="Heading2"/>
      </w:pPr>
      <w:bookmarkStart w:id="4" w:name="_Toc129957915"/>
      <w:r>
        <w:t>2.2</w:t>
      </w:r>
      <w:r>
        <w:tab/>
        <w:t>Document structure</w:t>
      </w:r>
      <w:bookmarkEnd w:id="4"/>
    </w:p>
    <w:p w14:paraId="5E3A1181" w14:textId="77777777" w:rsidR="00142D51" w:rsidRDefault="00142D51" w:rsidP="00142D51">
      <w:pPr>
        <w:pStyle w:val="BodyText"/>
      </w:pPr>
      <w:r>
        <w:t xml:space="preserve">This document is structured as follows: </w:t>
      </w:r>
    </w:p>
    <w:p w14:paraId="74BE6511" w14:textId="76950ED1" w:rsidR="00142D51" w:rsidRDefault="00C427E2" w:rsidP="006D0777">
      <w:pPr>
        <w:pStyle w:val="Bullet"/>
      </w:pPr>
      <w:hyperlink w:anchor="_3._What_are" w:history="1">
        <w:r w:rsidR="009171A6" w:rsidRPr="003B281B">
          <w:rPr>
            <w:rStyle w:val="Hyperlink"/>
          </w:rPr>
          <w:t>Section 3</w:t>
        </w:r>
      </w:hyperlink>
      <w:r w:rsidR="009171A6">
        <w:t xml:space="preserve"> defines </w:t>
      </w:r>
      <w:r w:rsidR="00142D51">
        <w:t xml:space="preserve">CSAs and the impacts of IWG on </w:t>
      </w:r>
      <w:r w:rsidR="009171A6">
        <w:t xml:space="preserve">them. </w:t>
      </w:r>
    </w:p>
    <w:p w14:paraId="473840E6" w14:textId="25CCC28D" w:rsidR="00142D51" w:rsidRDefault="00C427E2" w:rsidP="006D0777">
      <w:pPr>
        <w:pStyle w:val="Bullet"/>
      </w:pPr>
      <w:hyperlink w:anchor="_4._Regulation_requirements" w:history="1">
        <w:r w:rsidR="009171A6" w:rsidRPr="003B281B">
          <w:rPr>
            <w:rStyle w:val="Hyperlink"/>
          </w:rPr>
          <w:t>Section 4</w:t>
        </w:r>
      </w:hyperlink>
      <w:r w:rsidR="009171A6">
        <w:t xml:space="preserve"> presents t</w:t>
      </w:r>
      <w:r w:rsidR="00142D51">
        <w:t xml:space="preserve">he IWG regulations, as they relate to </w:t>
      </w:r>
      <w:r w:rsidR="00702C1F">
        <w:t>critical source area</w:t>
      </w:r>
      <w:r w:rsidR="00142D51">
        <w:t>s.</w:t>
      </w:r>
    </w:p>
    <w:p w14:paraId="541E9DFB" w14:textId="32590CF5" w:rsidR="00142D51" w:rsidRDefault="00C427E2" w:rsidP="006D0777">
      <w:pPr>
        <w:pStyle w:val="Bullet"/>
      </w:pPr>
      <w:hyperlink w:anchor="_5._Impacts_on" w:history="1">
        <w:r w:rsidR="009171A6" w:rsidRPr="003B281B">
          <w:rPr>
            <w:rStyle w:val="Hyperlink"/>
          </w:rPr>
          <w:t>Section 5</w:t>
        </w:r>
      </w:hyperlink>
      <w:r w:rsidR="009171A6">
        <w:t xml:space="preserve"> summarises t</w:t>
      </w:r>
      <w:r w:rsidR="00142D51">
        <w:t xml:space="preserve">he impacts of </w:t>
      </w:r>
      <w:r w:rsidR="00702C1F">
        <w:t>critical source area</w:t>
      </w:r>
      <w:r w:rsidR="00142D51">
        <w:t>s on contaminant losses to waterways.</w:t>
      </w:r>
    </w:p>
    <w:p w14:paraId="359F8BA3" w14:textId="7F7E478F" w:rsidR="00142D51" w:rsidRDefault="00C427E2" w:rsidP="006D0777">
      <w:pPr>
        <w:pStyle w:val="Bullet"/>
      </w:pPr>
      <w:hyperlink w:anchor="_6._Implementing_the" w:history="1">
        <w:r w:rsidR="00142D51" w:rsidRPr="003B281B">
          <w:rPr>
            <w:rStyle w:val="Hyperlink"/>
          </w:rPr>
          <w:t>Section 6</w:t>
        </w:r>
      </w:hyperlink>
      <w:r w:rsidR="00142D51">
        <w:t xml:space="preserve"> provides guidance on implementing the regulations, as well as good practices for managing </w:t>
      </w:r>
      <w:r w:rsidR="00702C1F">
        <w:t>critical source area</w:t>
      </w:r>
      <w:r w:rsidR="00142D51">
        <w:t>s before and during IWG.</w:t>
      </w:r>
    </w:p>
    <w:p w14:paraId="44BCC3CE" w14:textId="1CAF8229" w:rsidR="00142D51" w:rsidRDefault="00C427E2" w:rsidP="006D0777">
      <w:pPr>
        <w:pStyle w:val="Bullet"/>
      </w:pPr>
      <w:hyperlink w:anchor="_7._Integrating_critical" w:history="1">
        <w:r w:rsidR="009171A6" w:rsidRPr="003B281B">
          <w:rPr>
            <w:rStyle w:val="Hyperlink"/>
          </w:rPr>
          <w:t>Section 7</w:t>
        </w:r>
      </w:hyperlink>
      <w:r w:rsidR="009171A6">
        <w:t xml:space="preserve"> presents a</w:t>
      </w:r>
      <w:r w:rsidR="00142D51">
        <w:t xml:space="preserve"> decision framework</w:t>
      </w:r>
      <w:r w:rsidR="009171A6">
        <w:t>,</w:t>
      </w:r>
      <w:r w:rsidR="00142D51">
        <w:t xml:space="preserve"> </w:t>
      </w:r>
      <w:r w:rsidR="009171A6">
        <w:t>which outlines</w:t>
      </w:r>
      <w:r w:rsidR="00142D51">
        <w:t xml:space="preserve"> the </w:t>
      </w:r>
      <w:r w:rsidR="009171A6">
        <w:t xml:space="preserve">main </w:t>
      </w:r>
      <w:r w:rsidR="00142D51">
        <w:t>steps in the IWG cycle</w:t>
      </w:r>
      <w:r w:rsidR="009171A6">
        <w:t>,</w:t>
      </w:r>
      <w:r w:rsidR="00142D51">
        <w:t xml:space="preserve"> along with case study examples of </w:t>
      </w:r>
      <w:r w:rsidR="00702C1F">
        <w:t>critical source area</w:t>
      </w:r>
      <w:r w:rsidR="00142D51">
        <w:t xml:space="preserve"> management from different regions. </w:t>
      </w:r>
    </w:p>
    <w:p w14:paraId="18B09CA4" w14:textId="3F485B82" w:rsidR="00142D51" w:rsidRDefault="00142D51" w:rsidP="00142D51">
      <w:pPr>
        <w:pStyle w:val="BodyText"/>
      </w:pPr>
    </w:p>
    <w:p w14:paraId="427BF112" w14:textId="77777777" w:rsidR="006D0777" w:rsidRDefault="006D0777">
      <w:pPr>
        <w:spacing w:before="0" w:after="200" w:line="276" w:lineRule="auto"/>
        <w:jc w:val="left"/>
      </w:pPr>
      <w:r>
        <w:br w:type="page"/>
      </w:r>
    </w:p>
    <w:p w14:paraId="4A75FB25" w14:textId="55EB6484" w:rsidR="00142D51" w:rsidRDefault="00142D51" w:rsidP="00322785">
      <w:pPr>
        <w:pStyle w:val="Heading1"/>
        <w:spacing w:after="720"/>
      </w:pPr>
      <w:bookmarkStart w:id="5" w:name="_Toc129957916"/>
      <w:r>
        <w:lastRenderedPageBreak/>
        <w:t>3.</w:t>
      </w:r>
      <w:r>
        <w:tab/>
        <w:t>What are critical source areas?</w:t>
      </w:r>
      <w:bookmarkEnd w:id="5"/>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322785" w14:paraId="355FCE70" w14:textId="77777777">
        <w:tc>
          <w:tcPr>
            <w:tcW w:w="0" w:type="auto"/>
            <w:shd w:val="clear" w:color="auto" w:fill="D2DDE2"/>
          </w:tcPr>
          <w:p w14:paraId="59F776FD" w14:textId="2A62EFD7" w:rsidR="00322785" w:rsidRPr="00345928" w:rsidRDefault="00322785">
            <w:pPr>
              <w:pStyle w:val="Boxheading0"/>
            </w:pPr>
            <w:r>
              <w:t>Key points</w:t>
            </w:r>
          </w:p>
          <w:p w14:paraId="4B0376DC" w14:textId="25331F41" w:rsidR="00484C12" w:rsidRDefault="00702C1F" w:rsidP="003B281B">
            <w:pPr>
              <w:pStyle w:val="Boxbullet"/>
              <w:spacing w:before="120"/>
            </w:pPr>
            <w:r>
              <w:t>Critical source area</w:t>
            </w:r>
            <w:r w:rsidR="00484C12">
              <w:t xml:space="preserve">s are areas within a farm or catchment that contribute a disproportionately large quantity of contaminants to water (relative to their extent), leading to poor water quality. Targeting relevant mitigations specifically to </w:t>
            </w:r>
            <w:r>
              <w:t>critical source area</w:t>
            </w:r>
            <w:r w:rsidR="00484C12">
              <w:t>s is an efficient and cost-effective approach to reduce nutrient loss from the whole farm.</w:t>
            </w:r>
          </w:p>
          <w:p w14:paraId="5EF3AB1D" w14:textId="6A463B9C" w:rsidR="00484C12" w:rsidRDefault="004D14E0" w:rsidP="00484C12">
            <w:pPr>
              <w:pStyle w:val="Boxbullet"/>
            </w:pPr>
            <w:r>
              <w:t>Intensive w</w:t>
            </w:r>
            <w:r w:rsidR="00484C12">
              <w:t xml:space="preserve">inter grazing in </w:t>
            </w:r>
            <w:r w:rsidR="00702C1F">
              <w:t>critical source area</w:t>
            </w:r>
            <w:r w:rsidR="00484C12">
              <w:t xml:space="preserve">s generates sources of nutrients through the deposition of dung and urine, while animal treading mobilises sediment particles and creates pugging and compaction, which can increase surface </w:t>
            </w:r>
            <w:r w:rsidR="003B0999">
              <w:t>run-off</w:t>
            </w:r>
            <w:r w:rsidR="00484C12">
              <w:t>.</w:t>
            </w:r>
          </w:p>
          <w:p w14:paraId="18454B20" w14:textId="76CAFAAA" w:rsidR="00322785" w:rsidRPr="00484C12" w:rsidRDefault="00484C12" w:rsidP="00484C12">
            <w:pPr>
              <w:pStyle w:val="Boxbullet"/>
            </w:pPr>
            <w:r>
              <w:t xml:space="preserve">The IWG regulations target a specific group of </w:t>
            </w:r>
            <w:r w:rsidR="00702C1F">
              <w:t>critical source area</w:t>
            </w:r>
            <w:r>
              <w:t xml:space="preserve">s that accumulate surface </w:t>
            </w:r>
            <w:r w:rsidR="003B0999">
              <w:t>run-off</w:t>
            </w:r>
            <w:r>
              <w:t xml:space="preserve"> from adjacent winter cropped land and </w:t>
            </w:r>
            <w:r w:rsidR="009171A6">
              <w:t xml:space="preserve">that </w:t>
            </w:r>
            <w:r>
              <w:t>deliver, or ha</w:t>
            </w:r>
            <w:r w:rsidR="009171A6">
              <w:t>ve</w:t>
            </w:r>
            <w:r>
              <w:t xml:space="preserve"> the potential to deliver, one or more contaminants to one or more rivers, lakes, wetlands or surface drains, and/or their beds.</w:t>
            </w:r>
          </w:p>
        </w:tc>
      </w:tr>
    </w:tbl>
    <w:p w14:paraId="21DA354C" w14:textId="6567EC34" w:rsidR="00142D51" w:rsidRDefault="00142D51" w:rsidP="00484C12">
      <w:pPr>
        <w:pStyle w:val="Heading2"/>
      </w:pPr>
      <w:bookmarkStart w:id="6" w:name="_Toc129957917"/>
      <w:r>
        <w:t>3.1</w:t>
      </w:r>
      <w:r>
        <w:tab/>
      </w:r>
      <w:r w:rsidRPr="00B46718">
        <w:t xml:space="preserve">General concept of </w:t>
      </w:r>
      <w:r w:rsidR="00702C1F">
        <w:t>critical source area</w:t>
      </w:r>
      <w:r w:rsidRPr="00B46718">
        <w:t>s</w:t>
      </w:r>
      <w:bookmarkEnd w:id="6"/>
      <w:r>
        <w:t xml:space="preserve"> </w:t>
      </w:r>
    </w:p>
    <w:p w14:paraId="4B3B6340" w14:textId="64606A76" w:rsidR="00142D51" w:rsidRDefault="00142D51" w:rsidP="00142D51">
      <w:pPr>
        <w:pStyle w:val="BodyText"/>
      </w:pPr>
      <w:r>
        <w:t xml:space="preserve">Not all locations on a farm contribute equally to the delivery of contaminants, and hence water quality degradation. Studies have found that a relatively small fraction of a farm or catchment can generate a disproportionate amount of contaminant load (Pionke </w:t>
      </w:r>
      <w:r w:rsidR="003B0999">
        <w:t>et al,</w:t>
      </w:r>
      <w:r>
        <w:t xml:space="preserve"> 2000; Gburek </w:t>
      </w:r>
      <w:r w:rsidR="003B0999">
        <w:t>et al,</w:t>
      </w:r>
      <w:r>
        <w:t xml:space="preserve"> 2000). Moreover, field observations have established that </w:t>
      </w:r>
      <w:r w:rsidR="00B46718">
        <w:t>most</w:t>
      </w:r>
      <w:r>
        <w:t xml:space="preserve"> stormflow (</w:t>
      </w:r>
      <w:r w:rsidR="00B46718">
        <w:t xml:space="preserve">ie, </w:t>
      </w:r>
      <w:r w:rsidR="003B0999">
        <w:t>run-off</w:t>
      </w:r>
      <w:r>
        <w:t xml:space="preserve"> during and shortly after rainfall) is generated by a small proportion of the catchment area (often </w:t>
      </w:r>
      <w:r w:rsidR="00C46CDB">
        <w:t xml:space="preserve">less than </w:t>
      </w:r>
      <w:r>
        <w:t>10</w:t>
      </w:r>
      <w:r w:rsidR="00323C49">
        <w:t xml:space="preserve"> per cent</w:t>
      </w:r>
      <w:r>
        <w:t>; Freeze</w:t>
      </w:r>
      <w:r w:rsidR="00B46718">
        <w:t>,</w:t>
      </w:r>
      <w:r>
        <w:t xml:space="preserve"> 1974). </w:t>
      </w:r>
      <w:r w:rsidR="00B46718">
        <w:t>Identifying</w:t>
      </w:r>
      <w:r>
        <w:t xml:space="preserve"> these hydrologically active areas is central to the design and implementation of water quality management. </w:t>
      </w:r>
    </w:p>
    <w:p w14:paraId="75C01293" w14:textId="4F520F91" w:rsidR="00B46718" w:rsidRDefault="00142D51" w:rsidP="00142D51">
      <w:pPr>
        <w:pStyle w:val="BodyText"/>
      </w:pPr>
      <w:r>
        <w:t xml:space="preserve">Critical source areas are those areas within a farm or catchment that contribute a disproportionately large quantity of contaminants to water (relative to their extent). They are generally places where contaminant sources overlap with areas that are hydrologically active and connected to a waterway (Gburek </w:t>
      </w:r>
      <w:r w:rsidR="003B0999">
        <w:t>et al,</w:t>
      </w:r>
      <w:r>
        <w:t xml:space="preserve"> 2002; McDowell and Srinivasan, 2009). In other words, a </w:t>
      </w:r>
      <w:r w:rsidR="00702C1F">
        <w:t>critical source area</w:t>
      </w:r>
      <w:r>
        <w:t xml:space="preserve"> is the combination of both a source of contaminants (</w:t>
      </w:r>
      <w:r w:rsidR="003B0999">
        <w:t>eg</w:t>
      </w:r>
      <w:r>
        <w:t>, nutrients, sediment or faecal microorganisms) and a transport pathway (</w:t>
      </w:r>
      <w:r w:rsidR="003B0999">
        <w:t>eg</w:t>
      </w:r>
      <w:r>
        <w:t xml:space="preserve">, surface </w:t>
      </w:r>
      <w:r w:rsidR="003B0999">
        <w:t>run-off</w:t>
      </w:r>
      <w:r>
        <w:t>, ephemeral drainage) (</w:t>
      </w:r>
      <w:r w:rsidR="00B46718">
        <w:t xml:space="preserve">see </w:t>
      </w:r>
      <w:hyperlink w:anchor="Figure1" w:history="1">
        <w:r w:rsidR="00B46718" w:rsidRPr="00B623E0">
          <w:rPr>
            <w:rStyle w:val="Hyperlink"/>
          </w:rPr>
          <w:t>f</w:t>
        </w:r>
        <w:r w:rsidRPr="00B623E0">
          <w:rPr>
            <w:rStyle w:val="Hyperlink"/>
          </w:rPr>
          <w:t>igure 1</w:t>
        </w:r>
      </w:hyperlink>
      <w:r>
        <w:t xml:space="preserve">). Minimising either the source or the transport pathway will decrease the risk of contaminant losses. </w:t>
      </w:r>
    </w:p>
    <w:p w14:paraId="405B6265" w14:textId="1817F5C4" w:rsidR="00142D51" w:rsidRDefault="00142D51" w:rsidP="00142D51">
      <w:pPr>
        <w:pStyle w:val="BodyText"/>
      </w:pPr>
      <w:r>
        <w:t xml:space="preserve">Once sources and pathways </w:t>
      </w:r>
      <w:r w:rsidR="00B46718">
        <w:t xml:space="preserve">have been </w:t>
      </w:r>
      <w:r>
        <w:t xml:space="preserve">identified, mitigation strategies can be more efficiently targeted to </w:t>
      </w:r>
      <w:r w:rsidR="00702C1F">
        <w:t>critical source area</w:t>
      </w:r>
      <w:r>
        <w:t xml:space="preserve">s than using </w:t>
      </w:r>
      <w:r w:rsidR="00B46718">
        <w:t>‘</w:t>
      </w:r>
      <w:r>
        <w:t>blanket</w:t>
      </w:r>
      <w:r w:rsidR="00B46718">
        <w:t>’</w:t>
      </w:r>
      <w:r>
        <w:t xml:space="preserve"> approaches that restrict farming practi</w:t>
      </w:r>
      <w:r w:rsidR="00B46718">
        <w:t>c</w:t>
      </w:r>
      <w:r>
        <w:t xml:space="preserve">e across entire catchments (Buczko and Kuchenbuch, 2007). However, it is important to incorporate a whole-farm management approach as the </w:t>
      </w:r>
      <w:r w:rsidR="00702C1F">
        <w:t>critical source area</w:t>
      </w:r>
      <w:r>
        <w:t xml:space="preserve"> concept may not apply equally to all contaminants. For example, </w:t>
      </w:r>
      <w:r w:rsidR="00702C1F">
        <w:t>critical source area</w:t>
      </w:r>
      <w:r>
        <w:t xml:space="preserve">s are less relevant to reducing nitrogen losses as subsurface drainage is generally the main pathway for the transfer of nitrogen to water (Monaghan </w:t>
      </w:r>
      <w:r w:rsidR="003B0999">
        <w:t>et al,</w:t>
      </w:r>
      <w:r>
        <w:t xml:space="preserve"> 2016).</w:t>
      </w:r>
    </w:p>
    <w:p w14:paraId="2AB25969" w14:textId="697E9508" w:rsidR="00142D51" w:rsidRPr="00D34279" w:rsidRDefault="00142D51" w:rsidP="00484C12">
      <w:pPr>
        <w:pStyle w:val="Figureheading"/>
        <w:rPr>
          <w:spacing w:val="-4"/>
        </w:rPr>
      </w:pPr>
      <w:bookmarkStart w:id="7" w:name="Figure1"/>
      <w:bookmarkStart w:id="8" w:name="_Toc129957943"/>
      <w:r w:rsidRPr="00D34279">
        <w:rPr>
          <w:spacing w:val="-4"/>
        </w:rPr>
        <w:lastRenderedPageBreak/>
        <w:t>Figure 1</w:t>
      </w:r>
      <w:r w:rsidR="006E2D99">
        <w:rPr>
          <w:spacing w:val="-4"/>
        </w:rPr>
        <w:t>:</w:t>
      </w:r>
      <w:bookmarkEnd w:id="7"/>
      <w:r w:rsidR="00484C12" w:rsidRPr="00D34279">
        <w:rPr>
          <w:spacing w:val="-4"/>
        </w:rPr>
        <w:tab/>
      </w:r>
      <w:r w:rsidRPr="00D34279">
        <w:rPr>
          <w:spacing w:val="-4"/>
        </w:rPr>
        <w:t>The concept of a critical source area</w:t>
      </w:r>
      <w:bookmarkEnd w:id="8"/>
      <w:r w:rsidRPr="00D34279">
        <w:rPr>
          <w:spacing w:val="-4"/>
        </w:rPr>
        <w:t xml:space="preserve"> </w:t>
      </w:r>
    </w:p>
    <w:p w14:paraId="171CD6C1" w14:textId="39EEC60E" w:rsidR="00142D51" w:rsidRDefault="00FD32DA" w:rsidP="00AB0838">
      <w:pPr>
        <w:pStyle w:val="BodyText"/>
        <w:jc w:val="center"/>
      </w:pPr>
      <w:r>
        <w:rPr>
          <w:noProof/>
        </w:rPr>
        <w:drawing>
          <wp:inline distT="0" distB="0" distL="0" distR="0" wp14:anchorId="7F3E6D9E" wp14:editId="48369B6D">
            <wp:extent cx="3349256" cy="1867931"/>
            <wp:effectExtent l="0" t="0" r="3810" b="0"/>
            <wp:docPr id="2" name="Picture 2" descr="A venn diagram shows how critical source areas occur where a contaminant source in the landscape coincides with an active surface transport mechanis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venn diagram shows how critical source areas occur where a contaminant source in the landscape coincides with an active surface transport mechanism. "/>
                    <pic:cNvPicPr/>
                  </pic:nvPicPr>
                  <pic:blipFill rotWithShape="1">
                    <a:blip r:embed="rId23" cstate="print">
                      <a:extLst>
                        <a:ext uri="{28A0092B-C50C-407E-A947-70E740481C1C}">
                          <a14:useLocalDpi xmlns:a14="http://schemas.microsoft.com/office/drawing/2010/main"/>
                        </a:ext>
                      </a:extLst>
                    </a:blip>
                    <a:srcRect t="2548" b="3638"/>
                    <a:stretch/>
                  </pic:blipFill>
                  <pic:spPr bwMode="auto">
                    <a:xfrm>
                      <a:off x="0" y="0"/>
                      <a:ext cx="3376195" cy="1882955"/>
                    </a:xfrm>
                    <a:prstGeom prst="rect">
                      <a:avLst/>
                    </a:prstGeom>
                    <a:ln>
                      <a:noFill/>
                    </a:ln>
                    <a:extLst>
                      <a:ext uri="{53640926-AAD7-44D8-BBD7-CCE9431645EC}">
                        <a14:shadowObscured xmlns:a14="http://schemas.microsoft.com/office/drawing/2010/main"/>
                      </a:ext>
                    </a:extLst>
                  </pic:spPr>
                </pic:pic>
              </a:graphicData>
            </a:graphic>
          </wp:inline>
        </w:drawing>
      </w:r>
    </w:p>
    <w:p w14:paraId="1830E32D" w14:textId="1D85B1C0" w:rsidR="00B46718" w:rsidRDefault="00823255" w:rsidP="00EF4284">
      <w:pPr>
        <w:pStyle w:val="Note"/>
      </w:pPr>
      <w:r>
        <w:t>Critical source areas</w:t>
      </w:r>
      <w:r w:rsidR="00B46718" w:rsidRPr="00D34279">
        <w:t xml:space="preserve"> occur where a contaminant source in the landscape coincides with an active surface transport mechanism.</w:t>
      </w:r>
      <w:r w:rsidR="00D06DE4" w:rsidRPr="00D06DE4">
        <w:rPr>
          <w:spacing w:val="-4"/>
        </w:rPr>
        <w:t xml:space="preserve"> </w:t>
      </w:r>
      <w:r w:rsidR="00D06DE4">
        <w:rPr>
          <w:spacing w:val="-4"/>
        </w:rPr>
        <w:br/>
      </w:r>
      <w:r w:rsidR="00D06DE4" w:rsidRPr="00D34279">
        <w:rPr>
          <w:spacing w:val="-4"/>
        </w:rPr>
        <w:t xml:space="preserve">(CSA: after Walter </w:t>
      </w:r>
      <w:r w:rsidR="00D06DE4">
        <w:rPr>
          <w:spacing w:val="-4"/>
        </w:rPr>
        <w:t>et al,</w:t>
      </w:r>
      <w:r w:rsidR="00D06DE4" w:rsidRPr="00D34279">
        <w:rPr>
          <w:spacing w:val="-4"/>
        </w:rPr>
        <w:t xml:space="preserve"> 2000)</w:t>
      </w:r>
    </w:p>
    <w:p w14:paraId="48677A23" w14:textId="62124C60" w:rsidR="00142D51" w:rsidRDefault="00142D51" w:rsidP="00E961BE">
      <w:pPr>
        <w:pStyle w:val="Heading2"/>
        <w:ind w:left="851" w:hanging="851"/>
      </w:pPr>
      <w:bookmarkStart w:id="9" w:name="_Toc129957918"/>
      <w:r>
        <w:t>3.2</w:t>
      </w:r>
      <w:r>
        <w:tab/>
      </w:r>
      <w:r w:rsidR="00823255">
        <w:t xml:space="preserve">Critical source areas </w:t>
      </w:r>
      <w:r>
        <w:t>and intensive winter grazing</w:t>
      </w:r>
      <w:bookmarkEnd w:id="9"/>
    </w:p>
    <w:p w14:paraId="44C56A41" w14:textId="5E705642" w:rsidR="00142D51" w:rsidRDefault="00142D51" w:rsidP="000701DE">
      <w:pPr>
        <w:pStyle w:val="BodyText"/>
        <w:spacing w:after="240"/>
      </w:pPr>
      <w:r>
        <w:t xml:space="preserve">Winter in </w:t>
      </w:r>
      <w:r w:rsidR="000701DE">
        <w:t xml:space="preserve">Aotearoa </w:t>
      </w:r>
      <w:r>
        <w:t xml:space="preserve">New Zealand is an especially high-risk season for </w:t>
      </w:r>
      <w:r w:rsidR="00B46718">
        <w:t xml:space="preserve">critical source areas </w:t>
      </w:r>
      <w:r>
        <w:t>because rainfall is high and evapotranspiration is low</w:t>
      </w:r>
      <w:r w:rsidR="00B46718">
        <w:t>. This leads</w:t>
      </w:r>
      <w:r>
        <w:t xml:space="preserve"> to frequent activation of surface transport pathways (Smith and Monaghan, 2003). </w:t>
      </w:r>
      <w:r w:rsidR="00B46718">
        <w:t xml:space="preserve">Intensive winter grazing </w:t>
      </w:r>
      <w:r>
        <w:t xml:space="preserve">generates contaminants </w:t>
      </w:r>
      <w:r w:rsidR="00B46718">
        <w:t>by depositing</w:t>
      </w:r>
      <w:r>
        <w:t xml:space="preserve"> dung and urine in a concentrated area (Hively </w:t>
      </w:r>
      <w:r w:rsidR="003B0999">
        <w:t>et al,</w:t>
      </w:r>
      <w:r>
        <w:t xml:space="preserve"> 2005</w:t>
      </w:r>
      <w:r w:rsidR="00B46718">
        <w:t>;</w:t>
      </w:r>
      <w:r>
        <w:t xml:space="preserve"> Lucci </w:t>
      </w:r>
      <w:r w:rsidR="003B0999">
        <w:t>et al,</w:t>
      </w:r>
      <w:r>
        <w:t xml:space="preserve"> 2012), and via animal treading, which dislodges soil particles and creates pugging and/or compaction (Curran-Cournane </w:t>
      </w:r>
      <w:r w:rsidR="003B0999">
        <w:t>et al,</w:t>
      </w:r>
      <w:r>
        <w:t xml:space="preserve"> 2011; Monaghan </w:t>
      </w:r>
      <w:r w:rsidR="003B0999">
        <w:t>et al,</w:t>
      </w:r>
      <w:r>
        <w:t xml:space="preserve"> 2017). These effects are increased when a relatively large number of livestock is concentrated in a small area, resulting in stocking densities that can exceed 1000 cows/ha (Houlbrooke </w:t>
      </w:r>
      <w:r w:rsidR="003B0999">
        <w:t>et al,</w:t>
      </w:r>
      <w:r>
        <w:t xml:space="preserve"> 2009; Monaghan </w:t>
      </w:r>
      <w:r w:rsidR="003B0999">
        <w:t>et al,</w:t>
      </w:r>
      <w:r>
        <w:t xml:space="preserve"> 2017).</w:t>
      </w:r>
    </w:p>
    <w:tbl>
      <w:tblPr>
        <w:tblStyle w:val="TableGrid"/>
        <w:tblW w:w="8727" w:type="dxa"/>
        <w:tblInd w:w="-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727"/>
      </w:tblGrid>
      <w:tr w:rsidR="00FD32DA" w14:paraId="68F6E76A" w14:textId="77777777" w:rsidTr="00E961BE">
        <w:tc>
          <w:tcPr>
            <w:tcW w:w="8727" w:type="dxa"/>
            <w:shd w:val="clear" w:color="auto" w:fill="D2DDE2"/>
          </w:tcPr>
          <w:p w14:paraId="5A7D39F5" w14:textId="039EC513" w:rsidR="00FD32DA" w:rsidRPr="00345928" w:rsidRDefault="00FD32DA" w:rsidP="00D34279">
            <w:pPr>
              <w:pStyle w:val="Boxheading0"/>
              <w:keepNext w:val="0"/>
            </w:pPr>
            <w:r w:rsidRPr="00FD32DA">
              <w:t>Winter grazing situations to avoid</w:t>
            </w:r>
          </w:p>
          <w:p w14:paraId="09F1CC71" w14:textId="77777777" w:rsidR="003D341B" w:rsidRDefault="003D341B" w:rsidP="00D34279">
            <w:pPr>
              <w:pStyle w:val="Boxtext"/>
            </w:pPr>
            <w:r>
              <w:rPr>
                <w:b/>
                <w:bCs/>
                <w:noProof/>
              </w:rPr>
              <w:drawing>
                <wp:inline distT="0" distB="0" distL="0" distR="0" wp14:anchorId="4CA3E813" wp14:editId="0FC9C4DA">
                  <wp:extent cx="4968000" cy="2946162"/>
                  <wp:effectExtent l="0" t="0" r="4445" b="6985"/>
                  <wp:docPr id="11" name="Picture 11" descr="An unprotected critical source area shows visible sediment running down the bank and into a surface d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n unprotected critical source area shows visible sediment running down the bank and into a surface drain."/>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4968000" cy="2946162"/>
                          </a:xfrm>
                          <a:prstGeom prst="rect">
                            <a:avLst/>
                          </a:prstGeom>
                          <a:ln>
                            <a:noFill/>
                          </a:ln>
                          <a:extLst>
                            <a:ext uri="{53640926-AAD7-44D8-BBD7-CCE9431645EC}">
                              <a14:shadowObscured xmlns:a14="http://schemas.microsoft.com/office/drawing/2010/main"/>
                            </a:ext>
                          </a:extLst>
                        </pic:spPr>
                      </pic:pic>
                    </a:graphicData>
                  </a:graphic>
                </wp:inline>
              </w:drawing>
            </w:r>
          </w:p>
          <w:p w14:paraId="62C4C2EF" w14:textId="2734298F" w:rsidR="00FD32DA" w:rsidRDefault="00FD32DA" w:rsidP="00D34279">
            <w:pPr>
              <w:pStyle w:val="Boxtext"/>
            </w:pPr>
            <w:r w:rsidRPr="00FD32DA">
              <w:t xml:space="preserve">In the </w:t>
            </w:r>
            <w:r w:rsidR="00702C1F">
              <w:t>critical source area</w:t>
            </w:r>
            <w:r w:rsidRPr="00FD32DA">
              <w:t xml:space="preserve"> example above, sediment is visible running down the bank, and surface </w:t>
            </w:r>
            <w:r w:rsidR="003B0999">
              <w:t>run-off</w:t>
            </w:r>
            <w:r w:rsidRPr="00FD32DA">
              <w:t xml:space="preserve"> (the transport pathway) </w:t>
            </w:r>
            <w:r w:rsidR="00B46718">
              <w:t xml:space="preserve">which connects </w:t>
            </w:r>
            <w:r w:rsidRPr="00FD32DA">
              <w:t xml:space="preserve">the wider contaminant source </w:t>
            </w:r>
            <w:r w:rsidR="00B46718">
              <w:t xml:space="preserve">from IWG </w:t>
            </w:r>
            <w:r w:rsidRPr="00FD32DA">
              <w:t xml:space="preserve">to a </w:t>
            </w:r>
            <w:r w:rsidRPr="00FD32DA">
              <w:lastRenderedPageBreak/>
              <w:t xml:space="preserve">surface drain is clear. Contaminants invisible to the naked eye, such as phosphorus and faecal microorganisms, are also likely to be present in the surface </w:t>
            </w:r>
            <w:r w:rsidR="003B0999">
              <w:t>run-off</w:t>
            </w:r>
            <w:r w:rsidRPr="00FD32DA">
              <w:t xml:space="preserve"> exiting this paddock. Next time, this area where surface </w:t>
            </w:r>
            <w:r w:rsidR="003B0999">
              <w:t>run-off</w:t>
            </w:r>
            <w:r w:rsidRPr="00FD32DA">
              <w:t xml:space="preserve"> accumulates (</w:t>
            </w:r>
            <w:r w:rsidR="003B0999">
              <w:t>ie,</w:t>
            </w:r>
            <w:r w:rsidRPr="00FD32DA">
              <w:t xml:space="preserve"> CSA) should be fenced off and left ungrazed to maintain vegetation during the winter.</w:t>
            </w:r>
          </w:p>
          <w:p w14:paraId="47D9A4F9" w14:textId="1AEBAFA3" w:rsidR="003D341B" w:rsidRDefault="0056186E" w:rsidP="00D34279">
            <w:pPr>
              <w:pStyle w:val="Boxtext"/>
            </w:pPr>
            <w:r>
              <w:rPr>
                <w:noProof/>
              </w:rPr>
              <w:drawing>
                <wp:inline distT="0" distB="0" distL="0" distR="0" wp14:anchorId="5EBDD2EF" wp14:editId="50ECC1AD">
                  <wp:extent cx="4968000" cy="2150701"/>
                  <wp:effectExtent l="0" t="0" r="4445" b="2540"/>
                  <wp:docPr id="17" name="Picture 17" descr="Livestock have access to a critical source area which is directly contaminating an ephemeral water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Livestock have access to a critical source area which is directly contaminating an ephemeral waterway. "/>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4968000" cy="2150701"/>
                          </a:xfrm>
                          <a:prstGeom prst="rect">
                            <a:avLst/>
                          </a:prstGeom>
                          <a:ln>
                            <a:noFill/>
                          </a:ln>
                          <a:extLst>
                            <a:ext uri="{53640926-AAD7-44D8-BBD7-CCE9431645EC}">
                              <a14:shadowObscured xmlns:a14="http://schemas.microsoft.com/office/drawing/2010/main"/>
                            </a:ext>
                          </a:extLst>
                        </pic:spPr>
                      </pic:pic>
                    </a:graphicData>
                  </a:graphic>
                </wp:inline>
              </w:drawing>
            </w:r>
          </w:p>
          <w:p w14:paraId="289EA399" w14:textId="3BA8E17B" w:rsidR="003D341B" w:rsidRPr="00484C12" w:rsidRDefault="003D341B" w:rsidP="00D34279">
            <w:pPr>
              <w:pStyle w:val="Boxtext"/>
            </w:pPr>
            <w:r w:rsidRPr="003D341B">
              <w:t xml:space="preserve">In the example above, livestock have access to a </w:t>
            </w:r>
            <w:r w:rsidR="00823255">
              <w:t>critical source area (CSA)</w:t>
            </w:r>
            <w:r w:rsidRPr="003D341B">
              <w:t xml:space="preserve">, directly contaminating an ephemeral waterway (surface transport) with dung and urine (contaminant source). Next time, livestock should be excluded from the </w:t>
            </w:r>
            <w:r w:rsidR="00702C1F">
              <w:t>critical source area</w:t>
            </w:r>
            <w:r w:rsidRPr="003D341B">
              <w:t xml:space="preserve"> to avoid the deposition of contaminants in the waterway. Livestock should be excluded from the steep, erodible edges of the </w:t>
            </w:r>
            <w:r w:rsidR="00702C1F">
              <w:t>critical source area</w:t>
            </w:r>
            <w:r w:rsidRPr="003D341B">
              <w:t xml:space="preserve"> using a</w:t>
            </w:r>
            <w:r w:rsidR="00FD2DC3">
              <w:t>n approximately</w:t>
            </w:r>
            <w:r w:rsidRPr="003D341B">
              <w:t xml:space="preserve"> 5</w:t>
            </w:r>
            <w:r w:rsidR="00823255">
              <w:t>-</w:t>
            </w:r>
            <w:r w:rsidR="00545437">
              <w:t>metre</w:t>
            </w:r>
            <w:r w:rsidRPr="003D341B">
              <w:t xml:space="preserve"> buffer (see </w:t>
            </w:r>
            <w:hyperlink w:anchor="_6.2_Managing_critical" w:history="1">
              <w:r w:rsidRPr="004F5CF3">
                <w:rPr>
                  <w:rStyle w:val="Hyperlink"/>
                  <w:rFonts w:cstheme="minorBidi"/>
                  <w:szCs w:val="22"/>
                </w:rPr>
                <w:t>section 6.2</w:t>
              </w:r>
            </w:hyperlink>
            <w:r w:rsidRPr="003D341B">
              <w:t>).</w:t>
            </w:r>
          </w:p>
        </w:tc>
      </w:tr>
    </w:tbl>
    <w:p w14:paraId="6F07C361" w14:textId="43BD296D" w:rsidR="00142D51" w:rsidRDefault="00142D51" w:rsidP="0056186E">
      <w:pPr>
        <w:pStyle w:val="Heading2"/>
      </w:pPr>
      <w:bookmarkStart w:id="10" w:name="_Toc129957919"/>
      <w:r>
        <w:lastRenderedPageBreak/>
        <w:t>3.3</w:t>
      </w:r>
      <w:r>
        <w:tab/>
        <w:t xml:space="preserve">Other </w:t>
      </w:r>
      <w:r w:rsidR="00823255">
        <w:t>critical source areas</w:t>
      </w:r>
      <w:bookmarkEnd w:id="10"/>
    </w:p>
    <w:p w14:paraId="17DF5415" w14:textId="77777777" w:rsidR="00142D51" w:rsidRDefault="00142D51" w:rsidP="00142D51">
      <w:pPr>
        <w:pStyle w:val="BodyText"/>
      </w:pPr>
      <w:r>
        <w:t>Other critical source areas in and around the farm that are not covered by IWG regulations include:</w:t>
      </w:r>
    </w:p>
    <w:p w14:paraId="6DA95635" w14:textId="4B493BFD" w:rsidR="00142D51" w:rsidRDefault="00823255" w:rsidP="0056186E">
      <w:pPr>
        <w:pStyle w:val="Bullet"/>
      </w:pPr>
      <w:r>
        <w:t>r</w:t>
      </w:r>
      <w:r w:rsidR="00142D51">
        <w:t xml:space="preserve">aceways or laneways (Lucci </w:t>
      </w:r>
      <w:r w:rsidR="003B0999">
        <w:t>et al,</w:t>
      </w:r>
      <w:r w:rsidR="00142D51">
        <w:t xml:space="preserve"> 2010; Hively </w:t>
      </w:r>
      <w:r w:rsidR="003B0999">
        <w:t>et al,</w:t>
      </w:r>
      <w:r w:rsidR="00142D51">
        <w:t xml:space="preserve"> 2005; Monaghan and Smith, 2012)</w:t>
      </w:r>
    </w:p>
    <w:p w14:paraId="145D3262" w14:textId="74995679" w:rsidR="00142D51" w:rsidRDefault="00823255" w:rsidP="0056186E">
      <w:pPr>
        <w:pStyle w:val="Bullet"/>
      </w:pPr>
      <w:r>
        <w:t>i</w:t>
      </w:r>
      <w:r w:rsidR="00142D51">
        <w:t>n-paddock stock congregation sites (</w:t>
      </w:r>
      <w:r w:rsidR="003B0999">
        <w:t>eg</w:t>
      </w:r>
      <w:r w:rsidR="00142D51">
        <w:t xml:space="preserve">, feeding areas, stock campsites, water troughs and gateways) (Lucci </w:t>
      </w:r>
      <w:r w:rsidR="003B0999">
        <w:t>et al,</w:t>
      </w:r>
      <w:r w:rsidR="00142D51">
        <w:t xml:space="preserve"> 2010; Hively </w:t>
      </w:r>
      <w:r w:rsidR="003B0999">
        <w:t>et al,</w:t>
      </w:r>
      <w:r w:rsidR="00142D51">
        <w:t xml:space="preserve"> 2005)</w:t>
      </w:r>
    </w:p>
    <w:p w14:paraId="56628848" w14:textId="7BFDFCEB" w:rsidR="00142D51" w:rsidRDefault="00823255" w:rsidP="0056186E">
      <w:pPr>
        <w:pStyle w:val="Bullet"/>
      </w:pPr>
      <w:r>
        <w:t>s</w:t>
      </w:r>
      <w:r w:rsidR="00142D51">
        <w:t xml:space="preserve">tream and river crossings (Davies-Colley </w:t>
      </w:r>
      <w:r w:rsidR="003B0999">
        <w:t>et al,</w:t>
      </w:r>
      <w:r w:rsidR="00142D51">
        <w:t xml:space="preserve"> 2004)</w:t>
      </w:r>
    </w:p>
    <w:p w14:paraId="1D131237" w14:textId="0516D26D" w:rsidR="00142D51" w:rsidRDefault="00823255" w:rsidP="0056186E">
      <w:pPr>
        <w:pStyle w:val="Bullet"/>
      </w:pPr>
      <w:r>
        <w:t>s</w:t>
      </w:r>
      <w:r w:rsidR="00142D51">
        <w:t xml:space="preserve">ilage pits or feed bunkers (Gebrehanna </w:t>
      </w:r>
      <w:r w:rsidR="003B0999">
        <w:t>et al,</w:t>
      </w:r>
      <w:r w:rsidR="00142D51">
        <w:t xml:space="preserve"> 2014)</w:t>
      </w:r>
    </w:p>
    <w:p w14:paraId="7FAE9C92" w14:textId="4AEC65CE" w:rsidR="00142D51" w:rsidRDefault="00823255" w:rsidP="0056186E">
      <w:pPr>
        <w:pStyle w:val="Bullet"/>
      </w:pPr>
      <w:r>
        <w:t>y</w:t>
      </w:r>
      <w:r w:rsidR="00142D51">
        <w:t xml:space="preserve">ards and animal holding areas (Hively </w:t>
      </w:r>
      <w:r w:rsidR="003B0999">
        <w:t>et al,</w:t>
      </w:r>
      <w:r w:rsidR="00142D51">
        <w:t xml:space="preserve"> 2005)</w:t>
      </w:r>
      <w:r>
        <w:t>.</w:t>
      </w:r>
    </w:p>
    <w:p w14:paraId="31D6B069" w14:textId="5D678523" w:rsidR="00142D51" w:rsidRDefault="00142D51" w:rsidP="00142D51">
      <w:pPr>
        <w:pStyle w:val="BodyText"/>
      </w:pPr>
      <w:r>
        <w:t xml:space="preserve">These areas are proven sources of sediment, </w:t>
      </w:r>
      <w:r w:rsidR="00672E3E">
        <w:t>phosphorous</w:t>
      </w:r>
      <w:r>
        <w:t xml:space="preserve">, </w:t>
      </w:r>
      <w:r w:rsidR="00672E3E">
        <w:t>nitrogen</w:t>
      </w:r>
      <w:r>
        <w:t xml:space="preserve"> and faecal contamination and should be noted in walkover surveys (</w:t>
      </w:r>
      <w:r w:rsidR="00823255">
        <w:t xml:space="preserve">see </w:t>
      </w:r>
      <w:hyperlink w:anchor="_6.2.1_Management_before" w:history="1">
        <w:r w:rsidR="00823255" w:rsidRPr="004F5CF3">
          <w:rPr>
            <w:rStyle w:val="Hyperlink"/>
          </w:rPr>
          <w:t>s</w:t>
        </w:r>
        <w:r w:rsidRPr="004F5CF3">
          <w:rPr>
            <w:rStyle w:val="Hyperlink"/>
          </w:rPr>
          <w:t>ections 6.2.1</w:t>
        </w:r>
      </w:hyperlink>
      <w:r>
        <w:t xml:space="preserve">, </w:t>
      </w:r>
      <w:hyperlink w:anchor="_7.1_Winter_forage" w:history="1">
        <w:r w:rsidRPr="004F5CF3">
          <w:rPr>
            <w:rStyle w:val="Hyperlink"/>
          </w:rPr>
          <w:t>7.1</w:t>
        </w:r>
      </w:hyperlink>
      <w:r>
        <w:t xml:space="preserve"> and </w:t>
      </w:r>
      <w:hyperlink w:anchor="_Appendix_1:_Walkover" w:history="1">
        <w:r w:rsidR="00823255" w:rsidRPr="004F5CF3">
          <w:rPr>
            <w:rStyle w:val="Hyperlink"/>
          </w:rPr>
          <w:t>a</w:t>
        </w:r>
        <w:r w:rsidRPr="004F5CF3">
          <w:rPr>
            <w:rStyle w:val="Hyperlink"/>
          </w:rPr>
          <w:t>ppendix 1</w:t>
        </w:r>
      </w:hyperlink>
      <w:r>
        <w:t xml:space="preserve">). Land managers should be mindful of any winter grazing activities adjacent to these areas to ensure surface </w:t>
      </w:r>
      <w:r w:rsidR="003B0999">
        <w:t>run-off</w:t>
      </w:r>
      <w:r>
        <w:t xml:space="preserve"> from </w:t>
      </w:r>
      <w:r w:rsidR="00823255">
        <w:t>them</w:t>
      </w:r>
      <w:r>
        <w:t xml:space="preserve"> is not exacerbated by winter grazing. </w:t>
      </w:r>
      <w:hyperlink w:anchor="_Appendix_2:_Other" w:history="1">
        <w:r w:rsidRPr="004F5CF3">
          <w:rPr>
            <w:rStyle w:val="Hyperlink"/>
          </w:rPr>
          <w:t>Appendix 2</w:t>
        </w:r>
      </w:hyperlink>
      <w:r>
        <w:t xml:space="preserve"> has more information on these other </w:t>
      </w:r>
      <w:r w:rsidR="00823255">
        <w:t>critical source areas</w:t>
      </w:r>
      <w:r>
        <w:t>.</w:t>
      </w:r>
    </w:p>
    <w:p w14:paraId="248E2929" w14:textId="77777777" w:rsidR="0056186E" w:rsidRDefault="0056186E">
      <w:pPr>
        <w:spacing w:before="0" w:after="200" w:line="276" w:lineRule="auto"/>
        <w:jc w:val="left"/>
      </w:pPr>
      <w:r>
        <w:br w:type="page"/>
      </w:r>
    </w:p>
    <w:p w14:paraId="143A8683" w14:textId="047F5936" w:rsidR="00142D51" w:rsidRDefault="00142D51" w:rsidP="0056186E">
      <w:pPr>
        <w:pStyle w:val="Heading1"/>
      </w:pPr>
      <w:bookmarkStart w:id="11" w:name="_Toc129957920"/>
      <w:r>
        <w:lastRenderedPageBreak/>
        <w:t>4.</w:t>
      </w:r>
      <w:r>
        <w:tab/>
        <w:t>Regulation requirements</w:t>
      </w:r>
      <w:bookmarkEnd w:id="11"/>
      <w:r>
        <w:t xml:space="preserve"> </w:t>
      </w:r>
    </w:p>
    <w:p w14:paraId="24470551" w14:textId="77777777" w:rsidR="00142D51" w:rsidRDefault="00142D51" w:rsidP="0056186E">
      <w:pPr>
        <w:pStyle w:val="Heading2"/>
      </w:pPr>
      <w:bookmarkStart w:id="12" w:name="_Toc129957921"/>
      <w:r>
        <w:t>4.1</w:t>
      </w:r>
      <w:r>
        <w:tab/>
        <w:t>Intensive winter grazing regulations</w:t>
      </w:r>
      <w:bookmarkEnd w:id="12"/>
      <w:r>
        <w:t xml:space="preserve"> </w:t>
      </w:r>
    </w:p>
    <w:p w14:paraId="53A3B0F8" w14:textId="09F7BB14" w:rsidR="00142D51" w:rsidRDefault="00142D51" w:rsidP="00142D51">
      <w:pPr>
        <w:pStyle w:val="BodyText"/>
      </w:pPr>
      <w:r>
        <w:t xml:space="preserve">The purpose of the Essential Freshwater package is to stop further degradation of </w:t>
      </w:r>
      <w:r w:rsidR="00D813CD">
        <w:t xml:space="preserve">Aotearoa </w:t>
      </w:r>
      <w:r>
        <w:t xml:space="preserve">New Zealand’s freshwater resources, start making immediate improvements and reverse past damage within a generation. In May 2022, amendments to the National Environmental Standards for Freshwater 2020 amended the requirements for land managers and regional councils relating to intensive winter grazing activities. The amendments include a new permitted activity condition requiring critical source areas (CSAs) that are within or adjacent to an area being used for IWG </w:t>
      </w:r>
      <w:r w:rsidR="00823255">
        <w:t xml:space="preserve">to be </w:t>
      </w:r>
      <w:r>
        <w:t>protected. For clarity in this document, the terms in the regulation are defined below (</w:t>
      </w:r>
      <w:r w:rsidR="00823255">
        <w:t xml:space="preserve">see </w:t>
      </w:r>
      <w:hyperlink w:anchor="Box1" w:history="1">
        <w:r w:rsidR="00702C1F" w:rsidRPr="0025133F">
          <w:rPr>
            <w:rStyle w:val="Hyperlink"/>
          </w:rPr>
          <w:t>b</w:t>
        </w:r>
        <w:r w:rsidRPr="0025133F">
          <w:rPr>
            <w:rStyle w:val="Hyperlink"/>
          </w:rPr>
          <w:t>ox 1</w:t>
        </w:r>
      </w:hyperlink>
      <w:r>
        <w:t xml:space="preserve"> </w:t>
      </w:r>
      <w:r w:rsidR="00323C49">
        <w:t>and</w:t>
      </w:r>
      <w:r>
        <w:t xml:space="preserve"> </w:t>
      </w:r>
      <w:hyperlink w:anchor="Box2" w:history="1">
        <w:r w:rsidR="00321F0B" w:rsidRPr="0025133F">
          <w:rPr>
            <w:rStyle w:val="Hyperlink"/>
          </w:rPr>
          <w:t xml:space="preserve">box </w:t>
        </w:r>
        <w:r w:rsidRPr="0025133F">
          <w:rPr>
            <w:rStyle w:val="Hyperlink"/>
          </w:rPr>
          <w:t>2</w:t>
        </w:r>
      </w:hyperlink>
      <w:r>
        <w:t xml:space="preserve">), </w:t>
      </w:r>
      <w:r w:rsidR="00823255">
        <w:t xml:space="preserve">and </w:t>
      </w:r>
      <w:r>
        <w:t>taken from the Resource Management (National Environmental Standards for Freshwater) Regulations 2022</w:t>
      </w:r>
      <w:r w:rsidR="009171B5">
        <w:t xml:space="preserve"> (NES-F)</w:t>
      </w:r>
      <w:r>
        <w:t xml:space="preserve">. </w:t>
      </w:r>
    </w:p>
    <w:tbl>
      <w:tblPr>
        <w:tblStyle w:val="TableGrid"/>
        <w:tblW w:w="8618" w:type="dxa"/>
        <w:tblInd w:w="-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618"/>
      </w:tblGrid>
      <w:tr w:rsidR="0056186E" w14:paraId="0F799A62" w14:textId="77777777" w:rsidTr="003F6D93">
        <w:tc>
          <w:tcPr>
            <w:tcW w:w="8618" w:type="dxa"/>
            <w:shd w:val="clear" w:color="auto" w:fill="D2DDE2"/>
          </w:tcPr>
          <w:p w14:paraId="5D81CC11" w14:textId="069F30E0" w:rsidR="0056186E" w:rsidRPr="00345928" w:rsidRDefault="0056186E">
            <w:pPr>
              <w:pStyle w:val="Boxheading0"/>
            </w:pPr>
            <w:bookmarkStart w:id="13" w:name="Box1"/>
            <w:r w:rsidRPr="0056186E">
              <w:t>Box 1</w:t>
            </w:r>
            <w:bookmarkEnd w:id="13"/>
            <w:r w:rsidRPr="0056186E">
              <w:t>: Definitions from the Resource Management (National Environmental Standards for Freshwater) Regulations 2022:</w:t>
            </w:r>
          </w:p>
          <w:p w14:paraId="7492BC79" w14:textId="77777777" w:rsidR="002C0823" w:rsidRDefault="002C0823" w:rsidP="00CA1434">
            <w:pPr>
              <w:pStyle w:val="Boxtext"/>
            </w:pPr>
            <w:r w:rsidRPr="00CA1434">
              <w:rPr>
                <w:b/>
                <w:bCs/>
              </w:rPr>
              <w:t>Annual forage crop</w:t>
            </w:r>
            <w:r>
              <w:t xml:space="preserve">: A crop that is grazed in the place where it is grown, but does not include either pasture or a crop that is grown for arable land use or horticultural land use. </w:t>
            </w:r>
          </w:p>
          <w:p w14:paraId="3C5573A1" w14:textId="7772C4D3" w:rsidR="002C0823" w:rsidRDefault="002C0823" w:rsidP="00CA1434">
            <w:pPr>
              <w:pStyle w:val="Boxtext"/>
            </w:pPr>
            <w:r w:rsidRPr="00CA1434">
              <w:rPr>
                <w:b/>
                <w:bCs/>
              </w:rPr>
              <w:t>Intensive winter grazing</w:t>
            </w:r>
            <w:r>
              <w:t>: The grazing of livestock on an annual forage crop at any time in the period that begins on 1 May and ends 30 September of the same year; includes activities on a farm that support intensive winter grazing and may occur year-round, such as the preparation and sowing of land for grazing and the cultivation of annual forage crops.</w:t>
            </w:r>
          </w:p>
          <w:p w14:paraId="7AEA7439" w14:textId="4BFCBAEB" w:rsidR="0056186E" w:rsidRPr="00484C12" w:rsidRDefault="002C0823" w:rsidP="00CA1434">
            <w:pPr>
              <w:pStyle w:val="Boxtext"/>
            </w:pPr>
            <w:r w:rsidRPr="00CA1434">
              <w:rPr>
                <w:b/>
                <w:bCs/>
              </w:rPr>
              <w:t>Critical source area</w:t>
            </w:r>
            <w:r w:rsidR="00CA1BEA">
              <w:rPr>
                <w:b/>
                <w:bCs/>
              </w:rPr>
              <w:t>:</w:t>
            </w:r>
            <w:r>
              <w:t xml:space="preserve"> </w:t>
            </w:r>
            <w:r w:rsidR="00491395">
              <w:t>M</w:t>
            </w:r>
            <w:r>
              <w:t xml:space="preserve">eans a landscape feature such as a gully, swale or depression that accumulates surface </w:t>
            </w:r>
            <w:r w:rsidR="003B0999">
              <w:t>run-off</w:t>
            </w:r>
            <w:r>
              <w:t xml:space="preserve"> from adjacent land; and delivers, or has the potential to deliver, one or more contaminants to one or more rivers, lakes, wetlands, or surface drains, or their beds (regardless of whether there is any water in them at the time).</w:t>
            </w:r>
          </w:p>
        </w:tc>
      </w:tr>
    </w:tbl>
    <w:p w14:paraId="4B0BF091" w14:textId="2BBA6556" w:rsidR="00142D51" w:rsidRDefault="00142D51" w:rsidP="0057447F">
      <w:pPr>
        <w:pStyle w:val="BodyText"/>
        <w:spacing w:before="240"/>
      </w:pPr>
      <w:r>
        <w:t xml:space="preserve">The IWG regulations use the same concepts in their definition </w:t>
      </w:r>
      <w:r w:rsidR="00823255">
        <w:t xml:space="preserve">of critical source area, </w:t>
      </w:r>
      <w:r>
        <w:t xml:space="preserve">emphasising both the </w:t>
      </w:r>
      <w:r w:rsidRPr="002A7FC9">
        <w:rPr>
          <w:i/>
          <w:iCs/>
        </w:rPr>
        <w:t xml:space="preserve">contaminant source </w:t>
      </w:r>
      <w:r w:rsidRPr="003F6D93">
        <w:t>and</w:t>
      </w:r>
      <w:r w:rsidRPr="002A7FC9">
        <w:rPr>
          <w:i/>
          <w:iCs/>
        </w:rPr>
        <w:t xml:space="preserve"> surface</w:t>
      </w:r>
      <w:r>
        <w:t xml:space="preserve"> </w:t>
      </w:r>
      <w:r w:rsidRPr="00C968E8">
        <w:rPr>
          <w:i/>
        </w:rPr>
        <w:t>transport</w:t>
      </w:r>
      <w:r>
        <w:t>.</w:t>
      </w:r>
    </w:p>
    <w:p w14:paraId="2418D800" w14:textId="2F8D5BC8" w:rsidR="00142D51" w:rsidRDefault="00823255" w:rsidP="00142D51">
      <w:pPr>
        <w:pStyle w:val="BodyText"/>
      </w:pPr>
      <w:r>
        <w:t>T</w:t>
      </w:r>
      <w:r w:rsidR="00142D51">
        <w:t xml:space="preserve">hree pathways can be followed when undertaking </w:t>
      </w:r>
      <w:r>
        <w:t xml:space="preserve">intensive winter grazing </w:t>
      </w:r>
      <w:r w:rsidR="00142D51">
        <w:t>(</w:t>
      </w:r>
      <w:r w:rsidR="003B0999">
        <w:t>Ministry for the Environment</w:t>
      </w:r>
      <w:r w:rsidR="00142D51">
        <w:t>, 2022):</w:t>
      </w:r>
    </w:p>
    <w:p w14:paraId="68232C00" w14:textId="03DA73E3" w:rsidR="00142D51" w:rsidRDefault="00142D51" w:rsidP="00EC755C">
      <w:pPr>
        <w:pStyle w:val="Quote"/>
      </w:pPr>
      <w:r w:rsidRPr="00EC755C">
        <w:rPr>
          <w:b/>
          <w:bCs/>
        </w:rPr>
        <w:t>Pathway 1</w:t>
      </w:r>
      <w:r>
        <w:t xml:space="preserve"> – </w:t>
      </w:r>
      <w:r w:rsidRPr="00CA1434">
        <w:rPr>
          <w:i/>
          <w:iCs/>
        </w:rPr>
        <w:t>Permitted activities through satisfying conditions</w:t>
      </w:r>
      <w:r>
        <w:t>: IWG activities are permitted if a farmer complies with the default conditions set out in the NES-F IWG regulations. See Box 2.</w:t>
      </w:r>
      <w:r w:rsidR="003B0999">
        <w:t xml:space="preserve"> </w:t>
      </w:r>
    </w:p>
    <w:p w14:paraId="285BD817" w14:textId="4704D496" w:rsidR="00142D51" w:rsidRDefault="00142D51" w:rsidP="00EC755C">
      <w:pPr>
        <w:pStyle w:val="Quote"/>
      </w:pPr>
      <w:r w:rsidRPr="00EC755C">
        <w:rPr>
          <w:b/>
          <w:bCs/>
        </w:rPr>
        <w:t>Pathway 2</w:t>
      </w:r>
      <w:r>
        <w:t xml:space="preserve"> –</w:t>
      </w:r>
      <w:r w:rsidR="00CA1434">
        <w:t xml:space="preserve"> </w:t>
      </w:r>
      <w:r w:rsidRPr="00CA1434">
        <w:rPr>
          <w:i/>
          <w:iCs/>
        </w:rPr>
        <w:t>Permitted activities through freshwater farm plan</w:t>
      </w:r>
      <w:r>
        <w:t>: IWG activities are permitted if a farmer obtains a certified freshwater farm plan (FW-FP) made under Part 9A of the RMA that applies to IWG and under which any adverse effects in relation to the IWG are no greater than would be allowed for by the default conditions set out in Pathway 1. Note that at this time</w:t>
      </w:r>
      <w:r w:rsidR="00CA1BEA">
        <w:t xml:space="preserve"> </w:t>
      </w:r>
      <w:r>
        <w:t xml:space="preserve"> FW-FPs made under Part 9A of the RMA have not yet been rolled out. See </w:t>
      </w:r>
      <w:hyperlink w:anchor="_4.2_Freshwater_farm" w:history="1">
        <w:r w:rsidRPr="002459FC">
          <w:rPr>
            <w:rStyle w:val="Hyperlink"/>
          </w:rPr>
          <w:t>section 4.2</w:t>
        </w:r>
      </w:hyperlink>
      <w:r>
        <w:t>.</w:t>
      </w:r>
    </w:p>
    <w:p w14:paraId="667DA6E5" w14:textId="77777777" w:rsidR="00142D51" w:rsidRDefault="00142D51" w:rsidP="00EC755C">
      <w:pPr>
        <w:pStyle w:val="Quote"/>
      </w:pPr>
      <w:r w:rsidRPr="00EC755C">
        <w:rPr>
          <w:b/>
          <w:bCs/>
        </w:rPr>
        <w:t>Pathway 3</w:t>
      </w:r>
      <w:r>
        <w:t xml:space="preserve"> – </w:t>
      </w:r>
      <w:r w:rsidRPr="00CA1434">
        <w:rPr>
          <w:i/>
          <w:iCs/>
        </w:rPr>
        <w:t>Unable to comply with permitted activity standards</w:t>
      </w:r>
      <w:r>
        <w:t>: a resource consent is required (restricted discretionary activities) for IWG.</w:t>
      </w:r>
    </w:p>
    <w:p w14:paraId="7D789666" w14:textId="1AD4BC5A" w:rsidR="00142D51" w:rsidRDefault="00823255" w:rsidP="006A111F">
      <w:pPr>
        <w:pStyle w:val="BodyText"/>
        <w:keepNext/>
        <w:keepLines/>
      </w:pPr>
      <w:r>
        <w:lastRenderedPageBreak/>
        <w:t>Although t</w:t>
      </w:r>
      <w:r w:rsidR="00142D51">
        <w:t xml:space="preserve">his document mainly provides guidance appropriate </w:t>
      </w:r>
      <w:r>
        <w:t xml:space="preserve">for </w:t>
      </w:r>
      <w:r w:rsidR="00142D51">
        <w:t xml:space="preserve">following </w:t>
      </w:r>
      <w:r w:rsidR="00702C1F">
        <w:t>p</w:t>
      </w:r>
      <w:r w:rsidR="00142D51">
        <w:t xml:space="preserve">athway 1, the recommendations in </w:t>
      </w:r>
      <w:hyperlink w:anchor="_6._Implementing_the" w:history="1">
        <w:r w:rsidR="00142D51" w:rsidRPr="00F673B7">
          <w:rPr>
            <w:rStyle w:val="Hyperlink"/>
          </w:rPr>
          <w:t>section 6</w:t>
        </w:r>
      </w:hyperlink>
      <w:r w:rsidR="00142D51">
        <w:t xml:space="preserve"> and </w:t>
      </w:r>
      <w:hyperlink w:anchor="_7._Integrating_critical" w:history="1">
        <w:r w:rsidR="00F673B7" w:rsidRPr="00F673B7">
          <w:rPr>
            <w:rStyle w:val="Hyperlink"/>
          </w:rPr>
          <w:t xml:space="preserve">section </w:t>
        </w:r>
        <w:r w:rsidR="00142D51" w:rsidRPr="00F673B7">
          <w:rPr>
            <w:rStyle w:val="Hyperlink"/>
          </w:rPr>
          <w:t>7</w:t>
        </w:r>
      </w:hyperlink>
      <w:r w:rsidR="00142D51">
        <w:t xml:space="preserve"> could also </w:t>
      </w:r>
      <w:r>
        <w:t xml:space="preserve">help </w:t>
      </w:r>
      <w:r w:rsidR="00142D51">
        <w:t xml:space="preserve">regional councils in </w:t>
      </w:r>
      <w:r>
        <w:t>evaluating</w:t>
      </w:r>
      <w:r w:rsidR="00142D51">
        <w:t xml:space="preserve"> resource consent applications </w:t>
      </w:r>
      <w:r>
        <w:t xml:space="preserve">for </w:t>
      </w:r>
      <w:r w:rsidR="00142D51">
        <w:t xml:space="preserve">risk considerations and the appropriateness of IWG mitigation measures. </w:t>
      </w:r>
    </w:p>
    <w:tbl>
      <w:tblPr>
        <w:tblStyle w:val="TableGrid"/>
        <w:tblW w:w="8618" w:type="dxa"/>
        <w:tblInd w:w="-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618"/>
      </w:tblGrid>
      <w:tr w:rsidR="0057447F" w14:paraId="385046D0" w14:textId="77777777" w:rsidTr="003F6D93">
        <w:tc>
          <w:tcPr>
            <w:tcW w:w="8618" w:type="dxa"/>
            <w:shd w:val="clear" w:color="auto" w:fill="D2DDE2"/>
          </w:tcPr>
          <w:p w14:paraId="3E7BA6F1" w14:textId="34481D24" w:rsidR="0057447F" w:rsidRPr="00345928" w:rsidRDefault="00CA1434">
            <w:pPr>
              <w:pStyle w:val="Boxheading0"/>
            </w:pPr>
            <w:bookmarkStart w:id="14" w:name="Box2"/>
            <w:r w:rsidRPr="00CA1434">
              <w:t>Box 2</w:t>
            </w:r>
            <w:bookmarkEnd w:id="14"/>
            <w:r w:rsidRPr="00CA1434">
              <w:t>: Conditions for permitted IWG activities (</w:t>
            </w:r>
            <w:r w:rsidR="00702C1F">
              <w:t>p</w:t>
            </w:r>
            <w:r w:rsidRPr="00CA1434">
              <w:t>athway 1):</w:t>
            </w:r>
          </w:p>
          <w:p w14:paraId="6E5E29D2" w14:textId="4D92C5BE" w:rsidR="00CA1434" w:rsidRDefault="00CA1434" w:rsidP="00CA1434">
            <w:pPr>
              <w:pStyle w:val="Boxtext"/>
            </w:pPr>
            <w:r w:rsidRPr="00CA1434">
              <w:rPr>
                <w:b/>
                <w:bCs/>
              </w:rPr>
              <w:t>The area</w:t>
            </w:r>
            <w:r>
              <w:t xml:space="preserve"> of the farm that is used for intensive winter grazing must be no greater than 50 ha or 10</w:t>
            </w:r>
            <w:r w:rsidR="00323C49">
              <w:t xml:space="preserve"> per cent</w:t>
            </w:r>
            <w:r>
              <w:t xml:space="preserve"> of the area of the farm, whichever is greater: and</w:t>
            </w:r>
          </w:p>
          <w:p w14:paraId="2D775B2C" w14:textId="12B8F7CC" w:rsidR="00CA1434" w:rsidRDefault="00CA1434" w:rsidP="00CA1434">
            <w:pPr>
              <w:pStyle w:val="Boxtext"/>
            </w:pPr>
            <w:r w:rsidRPr="0083191E">
              <w:rPr>
                <w:b/>
                <w:bCs/>
              </w:rPr>
              <w:t>The slope</w:t>
            </w:r>
            <w:r>
              <w:t xml:space="preserve"> of any land under an annual forage crop that is used for intensive winter grazing must be 10 degrees or less, determined by measuring the slope over any 20</w:t>
            </w:r>
            <w:r w:rsidR="00545437">
              <w:t>-</w:t>
            </w:r>
            <w:r>
              <w:t>m</w:t>
            </w:r>
            <w:r w:rsidR="00545437">
              <w:t>etre</w:t>
            </w:r>
            <w:r>
              <w:t xml:space="preserve"> distance of the land: and</w:t>
            </w:r>
          </w:p>
          <w:p w14:paraId="56F16074" w14:textId="5D07048E" w:rsidR="00CA1434" w:rsidRDefault="00CA1434" w:rsidP="00CA1434">
            <w:pPr>
              <w:pStyle w:val="Boxtext"/>
            </w:pPr>
            <w:r w:rsidRPr="0083191E">
              <w:rPr>
                <w:b/>
                <w:bCs/>
              </w:rPr>
              <w:t>Livestock</w:t>
            </w:r>
            <w:r>
              <w:t xml:space="preserve"> must be kept at least 5 </w:t>
            </w:r>
            <w:r w:rsidR="00545437">
              <w:t>metres</w:t>
            </w:r>
            <w:r>
              <w:t xml:space="preserve"> away from the bed of any river, lake, wetland, or drain</w:t>
            </w:r>
            <w:r w:rsidR="00EF4519">
              <w:rPr>
                <w:rStyle w:val="FootnoteReference"/>
              </w:rPr>
              <w:footnoteReference w:id="2"/>
            </w:r>
            <w:r>
              <w:t xml:space="preserve"> (regardless of whether there is any water in it at the time); and</w:t>
            </w:r>
          </w:p>
          <w:p w14:paraId="050E2832" w14:textId="77777777" w:rsidR="00CA1434" w:rsidRDefault="00CA1434" w:rsidP="00CA1434">
            <w:pPr>
              <w:pStyle w:val="Boxtext"/>
            </w:pPr>
            <w:r>
              <w:t xml:space="preserve">On and </w:t>
            </w:r>
            <w:r w:rsidRPr="0083191E">
              <w:rPr>
                <w:b/>
                <w:bCs/>
              </w:rPr>
              <w:t>from 1 May to 30 September</w:t>
            </w:r>
            <w:r>
              <w:t xml:space="preserve"> of any year, in relation to any critical source area that is within, or adjacent to, any area of land that is used for intensive winter grazing on a farm:</w:t>
            </w:r>
          </w:p>
          <w:p w14:paraId="0B28C8C7" w14:textId="370C66D6" w:rsidR="00CA1434" w:rsidRDefault="00CA1434" w:rsidP="0083191E">
            <w:pPr>
              <w:pStyle w:val="Boxtext"/>
              <w:numPr>
                <w:ilvl w:val="0"/>
                <w:numId w:val="39"/>
              </w:numPr>
              <w:tabs>
                <w:tab w:val="left" w:pos="776"/>
              </w:tabs>
            </w:pPr>
            <w:r>
              <w:t>the critical source area must not be grazed; and</w:t>
            </w:r>
          </w:p>
          <w:p w14:paraId="36AB4021" w14:textId="444109D8" w:rsidR="00CA1434" w:rsidRDefault="00CA1434" w:rsidP="001E4D8A">
            <w:pPr>
              <w:pStyle w:val="Boxtext"/>
              <w:tabs>
                <w:tab w:val="left" w:pos="776"/>
              </w:tabs>
              <w:spacing w:before="0"/>
              <w:ind w:left="777" w:hanging="493"/>
            </w:pPr>
            <w:r>
              <w:t xml:space="preserve">(ii) </w:t>
            </w:r>
            <w:r w:rsidR="0083191E">
              <w:tab/>
            </w:r>
            <w:r>
              <w:t>vegetation must be maintained as ground cover over the whole critical source area; and</w:t>
            </w:r>
          </w:p>
          <w:p w14:paraId="62C7F08D" w14:textId="0E238D92" w:rsidR="00CA1434" w:rsidRDefault="00CA1434" w:rsidP="001E4D8A">
            <w:pPr>
              <w:pStyle w:val="Boxtext"/>
              <w:tabs>
                <w:tab w:val="left" w:pos="776"/>
              </w:tabs>
              <w:spacing w:before="0"/>
              <w:ind w:left="777" w:hanging="493"/>
            </w:pPr>
            <w:r>
              <w:t xml:space="preserve">(iii) </w:t>
            </w:r>
            <w:r w:rsidR="0083191E">
              <w:tab/>
            </w:r>
            <w:r>
              <w:t>maintaining that vegetation must not include any cultivation or harvesting of annual forage crops.</w:t>
            </w:r>
          </w:p>
          <w:p w14:paraId="2B6444C3" w14:textId="6DCA111C" w:rsidR="00CA1434" w:rsidRDefault="00CA1434" w:rsidP="00CA1434">
            <w:pPr>
              <w:pStyle w:val="Boxtext"/>
            </w:pPr>
            <w:r>
              <w:t xml:space="preserve">Resource consent or </w:t>
            </w:r>
            <w:r w:rsidR="00823255">
              <w:t xml:space="preserve">a </w:t>
            </w:r>
            <w:r>
              <w:t xml:space="preserve">certified freshwater farm plan (when available) will be required if you can’t comply with all </w:t>
            </w:r>
            <w:r w:rsidR="00DF551B">
              <w:t>P</w:t>
            </w:r>
            <w:r>
              <w:t xml:space="preserve">athway 1 permitted activity conditions. For more information refer to the </w:t>
            </w:r>
            <w:hyperlink r:id="rId26" w:history="1">
              <w:r w:rsidR="003B0999">
                <w:rPr>
                  <w:rStyle w:val="Hyperlink"/>
                </w:rPr>
                <w:t>Ministry’s</w:t>
              </w:r>
              <w:r w:rsidRPr="00F57FBC">
                <w:rPr>
                  <w:rStyle w:val="Hyperlink"/>
                </w:rPr>
                <w:t xml:space="preserve"> (2022) fact</w:t>
              </w:r>
              <w:r w:rsidR="0038268F">
                <w:rPr>
                  <w:rStyle w:val="Hyperlink"/>
                </w:rPr>
                <w:t xml:space="preserve"> </w:t>
              </w:r>
              <w:r w:rsidRPr="00F57FBC">
                <w:rPr>
                  <w:rStyle w:val="Hyperlink"/>
                </w:rPr>
                <w:t>sheet</w:t>
              </w:r>
            </w:hyperlink>
            <w:r>
              <w:t xml:space="preserve">. </w:t>
            </w:r>
          </w:p>
          <w:p w14:paraId="682D98EA" w14:textId="6591F291" w:rsidR="0057447F" w:rsidRPr="00484C12" w:rsidRDefault="00CA1434" w:rsidP="00CA1434">
            <w:pPr>
              <w:pStyle w:val="Boxtext"/>
            </w:pPr>
            <w:r>
              <w:t>Note that regional plan rules may cover IWG activities but may differ from the permitted activity conditions.</w:t>
            </w:r>
            <w:r w:rsidR="003B0999">
              <w:t xml:space="preserve"> </w:t>
            </w:r>
            <w:r>
              <w:t xml:space="preserve">These regional rules may be more stringent than national regulations. If they are, the more stringent rules must be followed </w:t>
            </w:r>
            <w:r w:rsidR="00DF551B">
              <w:t xml:space="preserve">— </w:t>
            </w:r>
            <w:r>
              <w:t>it</w:t>
            </w:r>
            <w:r w:rsidR="00CA1BEA">
              <w:t xml:space="preserve"> is</w:t>
            </w:r>
            <w:r>
              <w:t xml:space="preserve"> important to check with your regional council.</w:t>
            </w:r>
          </w:p>
        </w:tc>
      </w:tr>
    </w:tbl>
    <w:p w14:paraId="47BEB471" w14:textId="77777777" w:rsidR="00142D51" w:rsidRDefault="00142D51" w:rsidP="00EF4519">
      <w:pPr>
        <w:pStyle w:val="Heading2"/>
      </w:pPr>
      <w:bookmarkStart w:id="15" w:name="_Toc129957922"/>
      <w:r>
        <w:t>4.2</w:t>
      </w:r>
      <w:r>
        <w:tab/>
        <w:t>Freshwater farm plans</w:t>
      </w:r>
      <w:bookmarkEnd w:id="15"/>
    </w:p>
    <w:p w14:paraId="7A1D350E" w14:textId="18E996DB" w:rsidR="00142D51" w:rsidRDefault="00142D51" w:rsidP="00142D51">
      <w:pPr>
        <w:pStyle w:val="BodyText"/>
      </w:pPr>
      <w:r>
        <w:t>Pathway 2 is an alternative to following the conditions for permitted activities (</w:t>
      </w:r>
      <w:r w:rsidR="00702C1F">
        <w:t>p</w:t>
      </w:r>
      <w:r>
        <w:t xml:space="preserve">athway 1, </w:t>
      </w:r>
      <w:hyperlink w:anchor="Box2" w:history="1">
        <w:r w:rsidR="00702C1F" w:rsidRPr="00AE13D4">
          <w:rPr>
            <w:rStyle w:val="Hyperlink"/>
          </w:rPr>
          <w:t>b</w:t>
        </w:r>
        <w:r w:rsidRPr="00AE13D4">
          <w:rPr>
            <w:rStyle w:val="Hyperlink"/>
          </w:rPr>
          <w:t>ox</w:t>
        </w:r>
        <w:r w:rsidR="00AE13D4" w:rsidRPr="00AE13D4">
          <w:rPr>
            <w:rStyle w:val="Hyperlink"/>
          </w:rPr>
          <w:t> </w:t>
        </w:r>
        <w:r w:rsidRPr="00AE13D4">
          <w:rPr>
            <w:rStyle w:val="Hyperlink"/>
          </w:rPr>
          <w:t>2</w:t>
        </w:r>
      </w:hyperlink>
      <w:r>
        <w:t>) or obtaining a resource consent (</w:t>
      </w:r>
      <w:r w:rsidR="00702C1F">
        <w:t>p</w:t>
      </w:r>
      <w:r>
        <w:t xml:space="preserve">athway 3). If the farm has a certified </w:t>
      </w:r>
      <w:r w:rsidR="00702C1F">
        <w:t>freshwater farm plan</w:t>
      </w:r>
      <w:r>
        <w:t xml:space="preserve"> (</w:t>
      </w:r>
      <w:r w:rsidR="00702C1F">
        <w:t xml:space="preserve">ie, </w:t>
      </w:r>
      <w:r w:rsidR="00A86E6E">
        <w:t xml:space="preserve">a freshwater farm plan </w:t>
      </w:r>
      <w:r>
        <w:t xml:space="preserve">under Part 9A of the RMA) that applies to </w:t>
      </w:r>
      <w:r w:rsidR="00702C1F">
        <w:t>intensive winter grazing</w:t>
      </w:r>
      <w:r>
        <w:t xml:space="preserve">, </w:t>
      </w:r>
      <w:r w:rsidR="00F15F12">
        <w:t xml:space="preserve">the activity </w:t>
      </w:r>
      <w:r>
        <w:t xml:space="preserve">must be undertaken in accordance with that plan. According to this pathway, any adverse effects allowed for by the </w:t>
      </w:r>
      <w:r w:rsidR="00702C1F">
        <w:t>freshwater farm plan</w:t>
      </w:r>
      <w:r>
        <w:t xml:space="preserve"> must be no greater than those allowed for by the conditions for permitted activities (</w:t>
      </w:r>
      <w:r w:rsidR="00702C1F">
        <w:t>p</w:t>
      </w:r>
      <w:r>
        <w:t xml:space="preserve">athway 1). </w:t>
      </w:r>
    </w:p>
    <w:p w14:paraId="5861FA53" w14:textId="28BC602A" w:rsidR="00187C71" w:rsidRDefault="00142D51" w:rsidP="00187C71">
      <w:pPr>
        <w:pStyle w:val="BodyText"/>
      </w:pPr>
      <w:r>
        <w:t xml:space="preserve">Although </w:t>
      </w:r>
      <w:r w:rsidR="00702C1F">
        <w:t>freshwater farm plans</w:t>
      </w:r>
      <w:r>
        <w:t xml:space="preserve"> are in the process of being rolled out, any data collected and plans made for </w:t>
      </w:r>
      <w:r w:rsidR="00702C1F">
        <w:t>managing critical source areas</w:t>
      </w:r>
      <w:r>
        <w:t xml:space="preserve"> for IWG will help </w:t>
      </w:r>
      <w:r w:rsidR="00545437">
        <w:t>prepare</w:t>
      </w:r>
      <w:r>
        <w:t xml:space="preserve"> future </w:t>
      </w:r>
      <w:r w:rsidR="00702C1F">
        <w:t>plans</w:t>
      </w:r>
      <w:r>
        <w:t>. This could include walkover surveys (</w:t>
      </w:r>
      <w:r w:rsidR="00702C1F">
        <w:t xml:space="preserve">see </w:t>
      </w:r>
      <w:hyperlink w:anchor="_6.2.1_Management_before" w:history="1">
        <w:r w:rsidR="00702C1F" w:rsidRPr="00B42C17">
          <w:rPr>
            <w:rStyle w:val="Hyperlink"/>
          </w:rPr>
          <w:t>s</w:t>
        </w:r>
        <w:r w:rsidRPr="00B42C17">
          <w:rPr>
            <w:rStyle w:val="Hyperlink"/>
          </w:rPr>
          <w:t>ection 6.2.1</w:t>
        </w:r>
      </w:hyperlink>
      <w:r>
        <w:t>) and other information captured in the template (</w:t>
      </w:r>
      <w:r w:rsidR="00702C1F">
        <w:t xml:space="preserve">see </w:t>
      </w:r>
      <w:hyperlink w:anchor="_Appendix_1:_Walkover" w:history="1">
        <w:r w:rsidR="00702C1F" w:rsidRPr="00D6019A">
          <w:rPr>
            <w:rStyle w:val="Hyperlink"/>
          </w:rPr>
          <w:t>a</w:t>
        </w:r>
        <w:r w:rsidRPr="00D6019A">
          <w:rPr>
            <w:rStyle w:val="Hyperlink"/>
          </w:rPr>
          <w:t>ppendix 1</w:t>
        </w:r>
      </w:hyperlink>
      <w:r>
        <w:t>), along with spatial elevation data such as LiDAR (</w:t>
      </w:r>
      <w:r w:rsidR="00672E3E">
        <w:t>see s</w:t>
      </w:r>
      <w:r>
        <w:t xml:space="preserve">ection </w:t>
      </w:r>
      <w:hyperlink w:anchor="_6.1.1_Spatial_and" w:history="1">
        <w:r w:rsidRPr="00B42C17">
          <w:rPr>
            <w:rStyle w:val="Hyperlink"/>
          </w:rPr>
          <w:t>6.1.1</w:t>
        </w:r>
      </w:hyperlink>
      <w:r>
        <w:t xml:space="preserve">). Over subsequent years, the plan would </w:t>
      </w:r>
      <w:r w:rsidR="00672E3E">
        <w:t xml:space="preserve">show </w:t>
      </w:r>
      <w:r>
        <w:t xml:space="preserve">emerging </w:t>
      </w:r>
      <w:r w:rsidR="00702C1F">
        <w:t>critical source area</w:t>
      </w:r>
      <w:r>
        <w:t xml:space="preserve">s across variable </w:t>
      </w:r>
      <w:r>
        <w:lastRenderedPageBreak/>
        <w:t>climat</w:t>
      </w:r>
      <w:r w:rsidR="00545437">
        <w:t>ic conditions</w:t>
      </w:r>
      <w:r>
        <w:t xml:space="preserve">. More information about </w:t>
      </w:r>
      <w:r w:rsidR="00672E3E">
        <w:t xml:space="preserve">freshwater farm plans </w:t>
      </w:r>
      <w:r>
        <w:t xml:space="preserve">can be found </w:t>
      </w:r>
      <w:hyperlink r:id="rId27" w:history="1">
        <w:r w:rsidR="00545437" w:rsidRPr="00545437">
          <w:rPr>
            <w:rStyle w:val="Hyperlink"/>
          </w:rPr>
          <w:t>on the Ministry’s website</w:t>
        </w:r>
      </w:hyperlink>
      <w:r w:rsidR="00672E3E">
        <w:t>.</w:t>
      </w:r>
      <w:r>
        <w:t xml:space="preserve"> </w:t>
      </w:r>
    </w:p>
    <w:p w14:paraId="26F8360C" w14:textId="0453EC33" w:rsidR="00142D51" w:rsidRDefault="00142D51" w:rsidP="00187C71">
      <w:pPr>
        <w:pStyle w:val="Heading1"/>
        <w:spacing w:after="720"/>
      </w:pPr>
      <w:bookmarkStart w:id="16" w:name="_Toc129957923"/>
      <w:r>
        <w:t>5.</w:t>
      </w:r>
      <w:r>
        <w:tab/>
        <w:t>Impacts on the environment</w:t>
      </w:r>
      <w:bookmarkEnd w:id="16"/>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187C71" w14:paraId="77146739" w14:textId="77777777">
        <w:tc>
          <w:tcPr>
            <w:tcW w:w="0" w:type="auto"/>
            <w:shd w:val="clear" w:color="auto" w:fill="D2DDE2"/>
          </w:tcPr>
          <w:p w14:paraId="59AC8CBB" w14:textId="466AB86A" w:rsidR="00187C71" w:rsidRPr="00345928" w:rsidRDefault="00187C71">
            <w:pPr>
              <w:pStyle w:val="Boxheading0"/>
            </w:pPr>
            <w:r>
              <w:t>Key points</w:t>
            </w:r>
          </w:p>
          <w:p w14:paraId="0EE29360" w14:textId="5B724BA1" w:rsidR="00B009DB" w:rsidRPr="00B009DB" w:rsidRDefault="00B009DB" w:rsidP="00CA7F8C">
            <w:pPr>
              <w:pStyle w:val="Boxbullet"/>
              <w:spacing w:before="120"/>
            </w:pPr>
            <w:r w:rsidRPr="00B009DB">
              <w:t xml:space="preserve">Phosphorus, sediment and faecal microorganisms are the contaminants of greatest risk to water bodies from IWG. Nitrogen is mainly lost via drainage but can be found in surface </w:t>
            </w:r>
            <w:r w:rsidR="003B0999">
              <w:t>run-off</w:t>
            </w:r>
            <w:r w:rsidRPr="00B009DB">
              <w:t xml:space="preserve"> in heavy or compacted soils. </w:t>
            </w:r>
          </w:p>
          <w:p w14:paraId="253C9255" w14:textId="043CE2AE" w:rsidR="00B009DB" w:rsidRPr="00B009DB" w:rsidRDefault="00B009DB" w:rsidP="00B009DB">
            <w:pPr>
              <w:pStyle w:val="Boxbullet"/>
            </w:pPr>
            <w:r w:rsidRPr="00B009DB">
              <w:t xml:space="preserve">Livestock treading damage due to winter grazing results in decreased infiltration capacity, and higher sediment and P losses in surface </w:t>
            </w:r>
            <w:r w:rsidR="003B0999">
              <w:t>run-off</w:t>
            </w:r>
            <w:r w:rsidRPr="00B009DB">
              <w:t>, and ponding of water at the soil surface is more likely to occur.</w:t>
            </w:r>
          </w:p>
          <w:p w14:paraId="1FC69328" w14:textId="2ED0D779" w:rsidR="00B009DB" w:rsidRPr="00B009DB" w:rsidRDefault="00B009DB" w:rsidP="00B009DB">
            <w:pPr>
              <w:pStyle w:val="Boxbullet"/>
            </w:pPr>
            <w:r w:rsidRPr="00B009DB">
              <w:t xml:space="preserve">Surface transport pathways that can connect contaminant sources with receiving waters include surface </w:t>
            </w:r>
            <w:r w:rsidR="003B0999">
              <w:t>run-off</w:t>
            </w:r>
            <w:r w:rsidRPr="00B009DB">
              <w:t xml:space="preserve">, ephemeral waterways and springs. </w:t>
            </w:r>
          </w:p>
          <w:p w14:paraId="43F05C5E" w14:textId="20083BED" w:rsidR="00187C71" w:rsidRPr="00484C12" w:rsidRDefault="00B009DB" w:rsidP="00B009DB">
            <w:pPr>
              <w:pStyle w:val="Boxbullet"/>
            </w:pPr>
            <w:r w:rsidRPr="00B009DB">
              <w:t>Contaminant sources without connectivity to a receiving water body pose a relatively low risk to water quality.</w:t>
            </w:r>
          </w:p>
        </w:tc>
      </w:tr>
    </w:tbl>
    <w:p w14:paraId="39F3A85D" w14:textId="77777777" w:rsidR="00142D51" w:rsidRDefault="00142D51" w:rsidP="00B009DB">
      <w:pPr>
        <w:pStyle w:val="Heading2"/>
      </w:pPr>
      <w:bookmarkStart w:id="17" w:name="_Toc129957924"/>
      <w:r>
        <w:t>5.1</w:t>
      </w:r>
      <w:r>
        <w:tab/>
        <w:t>Critical sources and pathways</w:t>
      </w:r>
      <w:bookmarkEnd w:id="17"/>
      <w:r>
        <w:t xml:space="preserve"> </w:t>
      </w:r>
    </w:p>
    <w:p w14:paraId="7E9B6B21" w14:textId="5AA3D0B2" w:rsidR="00672E3E" w:rsidRDefault="00142D51" w:rsidP="00DB203C">
      <w:pPr>
        <w:pStyle w:val="BodyText"/>
        <w:spacing w:after="240"/>
      </w:pPr>
      <w:r>
        <w:t xml:space="preserve">Most animals in </w:t>
      </w:r>
      <w:r w:rsidR="00D813CD">
        <w:t xml:space="preserve">Aotearoa </w:t>
      </w:r>
      <w:r>
        <w:t xml:space="preserve">are grazed outdoors year-round, </w:t>
      </w:r>
      <w:r w:rsidR="00672E3E">
        <w:t>which</w:t>
      </w:r>
      <w:r>
        <w:t xml:space="preserve"> requires careful </w:t>
      </w:r>
      <w:r w:rsidR="00672E3E">
        <w:t xml:space="preserve">animal </w:t>
      </w:r>
      <w:r>
        <w:t>management</w:t>
      </w:r>
      <w:r w:rsidR="009B794C">
        <w:t>, particularly</w:t>
      </w:r>
      <w:r>
        <w:t xml:space="preserve"> </w:t>
      </w:r>
      <w:r w:rsidR="00672E3E">
        <w:t>over</w:t>
      </w:r>
      <w:r>
        <w:t xml:space="preserve"> winter. This is the wettest time of the year</w:t>
      </w:r>
      <w:r w:rsidR="007C0F03">
        <w:t>,</w:t>
      </w:r>
      <w:r>
        <w:t xml:space="preserve"> when the risk of soil treading damage is high, </w:t>
      </w:r>
      <w:r w:rsidR="00672E3E">
        <w:t>causing</w:t>
      </w:r>
      <w:r>
        <w:t xml:space="preserve"> an increased risk of surface </w:t>
      </w:r>
      <w:r w:rsidR="003B0999">
        <w:t>run-off</w:t>
      </w:r>
      <w:r>
        <w:t xml:space="preserve"> losses of suspended sediment, phosphorus and faecal microorganisms (Monaghan </w:t>
      </w:r>
      <w:r w:rsidR="003B0999">
        <w:t>et al,</w:t>
      </w:r>
      <w:r>
        <w:t xml:space="preserve"> 2017; McDowell 2006). </w:t>
      </w:r>
    </w:p>
    <w:p w14:paraId="26609794" w14:textId="223D70C1" w:rsidR="00142D51" w:rsidRDefault="00142D51" w:rsidP="00DB203C">
      <w:pPr>
        <w:pStyle w:val="BodyText"/>
        <w:spacing w:after="240"/>
      </w:pPr>
      <w:r>
        <w:t>The loss of nutrients and sediment from land can cause a decline in surface water quality due to effects like eutrophication</w:t>
      </w:r>
      <w:r w:rsidR="009352F9">
        <w:rPr>
          <w:rStyle w:val="FootnoteReference"/>
        </w:rPr>
        <w:footnoteReference w:id="3"/>
      </w:r>
      <w:r>
        <w:t xml:space="preserve"> (Carpenter </w:t>
      </w:r>
      <w:r w:rsidR="003B0999">
        <w:t>et al,</w:t>
      </w:r>
      <w:r>
        <w:t xml:space="preserve"> 1998). Most surface </w:t>
      </w:r>
      <w:r w:rsidR="003B0999">
        <w:t>run-off</w:t>
      </w:r>
      <w:r>
        <w:t xml:space="preserve"> is likely to originate within wet areas (</w:t>
      </w:r>
      <w:r w:rsidR="003B0999">
        <w:t>eg</w:t>
      </w:r>
      <w:r>
        <w:t xml:space="preserve">, swales and gullies) where the soil is vulnerable to damage. </w:t>
      </w:r>
      <w:r w:rsidR="00672E3E">
        <w:t>Protecting and managing</w:t>
      </w:r>
      <w:r>
        <w:t xml:space="preserve"> these </w:t>
      </w:r>
      <w:r w:rsidR="00672E3E">
        <w:t xml:space="preserve">critical source </w:t>
      </w:r>
      <w:r>
        <w:t xml:space="preserve">areas to minimise soil damage has been found to reduce the risk of surface </w:t>
      </w:r>
      <w:r w:rsidR="003B0999">
        <w:t>run-off</w:t>
      </w:r>
      <w:r>
        <w:t xml:space="preserve"> and contaminant transport to waterways. Understanding the transport pathway linkages between the contaminant sources and the waterways is an important factor in developing an evidence base for robust environmental management.</w:t>
      </w:r>
    </w:p>
    <w:p w14:paraId="2D4AFA42" w14:textId="05D97A72" w:rsidR="00AE7076" w:rsidRDefault="00374CC5" w:rsidP="00205F41">
      <w:pPr>
        <w:pStyle w:val="Tableheading"/>
      </w:pPr>
      <w:bookmarkStart w:id="18" w:name="_Toc129957941"/>
      <w:r>
        <w:t xml:space="preserve">Table </w:t>
      </w:r>
      <w:r w:rsidR="0069511D">
        <w:t>1</w:t>
      </w:r>
      <w:r>
        <w:t>:</w:t>
      </w:r>
      <w:r w:rsidR="000E16C7">
        <w:tab/>
      </w:r>
      <w:r w:rsidR="00AE7076">
        <w:t>Contaminant sources</w:t>
      </w:r>
      <w:r w:rsidR="00FC401D">
        <w:t xml:space="preserve"> in intensive winter grazing</w:t>
      </w:r>
      <w:bookmarkEnd w:id="18"/>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560"/>
        <w:gridCol w:w="6945"/>
      </w:tblGrid>
      <w:tr w:rsidR="00374CC5" w:rsidRPr="006B77BB" w14:paraId="0B4F9704" w14:textId="77777777" w:rsidTr="00374CC5">
        <w:tc>
          <w:tcPr>
            <w:tcW w:w="917" w:type="pct"/>
            <w:shd w:val="clear" w:color="auto" w:fill="1B556B" w:themeFill="text2"/>
          </w:tcPr>
          <w:p w14:paraId="487F0B66" w14:textId="3B05A65E" w:rsidR="00374CC5" w:rsidRPr="00374CC5" w:rsidRDefault="00FC401D" w:rsidP="0065799D">
            <w:pPr>
              <w:pStyle w:val="TableText"/>
              <w:rPr>
                <w:rFonts w:eastAsia="Times New Roman"/>
                <w:b/>
                <w:bCs/>
                <w:color w:val="FFFFFF" w:themeColor="background1"/>
              </w:rPr>
            </w:pPr>
            <w:r>
              <w:rPr>
                <w:rFonts w:eastAsia="Times New Roman"/>
                <w:b/>
                <w:bCs/>
                <w:color w:val="FFFFFF" w:themeColor="background1"/>
              </w:rPr>
              <w:t>Contaminant</w:t>
            </w:r>
          </w:p>
        </w:tc>
        <w:tc>
          <w:tcPr>
            <w:tcW w:w="4083" w:type="pct"/>
            <w:shd w:val="clear" w:color="auto" w:fill="1B556B" w:themeFill="text2"/>
          </w:tcPr>
          <w:p w14:paraId="4CE5147B" w14:textId="7B547FAA" w:rsidR="00374CC5" w:rsidRPr="00374CC5" w:rsidRDefault="00440C1C" w:rsidP="0065799D">
            <w:pPr>
              <w:pStyle w:val="TableText"/>
              <w:rPr>
                <w:b/>
                <w:bCs/>
                <w:color w:val="FFFFFF" w:themeColor="background1"/>
              </w:rPr>
            </w:pPr>
            <w:r>
              <w:rPr>
                <w:b/>
                <w:bCs/>
                <w:color w:val="FFFFFF" w:themeColor="background1"/>
              </w:rPr>
              <w:t>Description</w:t>
            </w:r>
          </w:p>
        </w:tc>
      </w:tr>
      <w:tr w:rsidR="00512B01" w:rsidRPr="006B77BB" w14:paraId="4565221C" w14:textId="77777777" w:rsidTr="00512B01">
        <w:tc>
          <w:tcPr>
            <w:tcW w:w="917" w:type="pct"/>
            <w:shd w:val="clear" w:color="auto" w:fill="auto"/>
          </w:tcPr>
          <w:p w14:paraId="4DF27D40" w14:textId="4567DB82" w:rsidR="00512B01" w:rsidRPr="0065799D" w:rsidRDefault="00512B01" w:rsidP="0065799D">
            <w:pPr>
              <w:pStyle w:val="TableText"/>
              <w:rPr>
                <w:b/>
                <w:bCs/>
              </w:rPr>
            </w:pPr>
            <w:r w:rsidRPr="0065799D">
              <w:rPr>
                <w:rFonts w:eastAsia="Times New Roman"/>
                <w:b/>
                <w:bCs/>
              </w:rPr>
              <w:t>Phosphorus</w:t>
            </w:r>
            <w:r w:rsidR="00672E3E">
              <w:rPr>
                <w:rFonts w:eastAsia="Times New Roman"/>
                <w:b/>
                <w:bCs/>
              </w:rPr>
              <w:t xml:space="preserve"> (P)</w:t>
            </w:r>
          </w:p>
        </w:tc>
        <w:tc>
          <w:tcPr>
            <w:tcW w:w="4083" w:type="pct"/>
            <w:shd w:val="clear" w:color="auto" w:fill="auto"/>
          </w:tcPr>
          <w:p w14:paraId="6ABBE5A0" w14:textId="1FD15693" w:rsidR="00512B01" w:rsidRPr="006B77BB" w:rsidRDefault="00512B01" w:rsidP="0065799D">
            <w:pPr>
              <w:pStyle w:val="TableText"/>
            </w:pPr>
            <w:r>
              <w:t xml:space="preserve">Sources of </w:t>
            </w:r>
            <w:r w:rsidR="00672E3E">
              <w:t xml:space="preserve">phosphorus </w:t>
            </w:r>
            <w:r>
              <w:t xml:space="preserve">loss from winter grazing are </w:t>
            </w:r>
            <w:bookmarkStart w:id="19" w:name="_Int_NX0mMvFm"/>
            <w:r>
              <w:t>mainly soil-bound</w:t>
            </w:r>
            <w:bookmarkEnd w:id="19"/>
            <w:r>
              <w:t xml:space="preserve"> </w:t>
            </w:r>
            <w:r w:rsidR="00672E3E">
              <w:t xml:space="preserve">phosphorus </w:t>
            </w:r>
            <w:r>
              <w:t xml:space="preserve">and dung (McDowell </w:t>
            </w:r>
            <w:r w:rsidR="003B0999">
              <w:t>et al,</w:t>
            </w:r>
            <w:r>
              <w:t xml:space="preserve"> 2003). Annual losses of up to almost 4 kg P/ha have been measured from winter grazing areas (Monaghan </w:t>
            </w:r>
            <w:r w:rsidR="003B0999">
              <w:t>et al,</w:t>
            </w:r>
            <w:r>
              <w:t xml:space="preserve"> 2017). </w:t>
            </w:r>
            <w:r w:rsidR="00672E3E">
              <w:t xml:space="preserve">Phosphorus </w:t>
            </w:r>
            <w:r>
              <w:t xml:space="preserve">in dung is especially mobile (McDowell and Sharpley, 2002), and </w:t>
            </w:r>
            <w:r w:rsidR="00672E3E">
              <w:t xml:space="preserve">phosphorus </w:t>
            </w:r>
            <w:r>
              <w:t>in</w:t>
            </w:r>
            <w:r w:rsidRPr="002B2E6D">
              <w:t xml:space="preserve"> cattle faeces</w:t>
            </w:r>
            <w:r>
              <w:t xml:space="preserve"> may </w:t>
            </w:r>
            <w:r w:rsidRPr="002B2E6D">
              <w:t>rang</w:t>
            </w:r>
            <w:r>
              <w:t>e</w:t>
            </w:r>
            <w:r w:rsidRPr="002B2E6D">
              <w:t xml:space="preserve"> </w:t>
            </w:r>
            <w:r>
              <w:t>from</w:t>
            </w:r>
            <w:r w:rsidRPr="002B2E6D">
              <w:t xml:space="preserve"> 10</w:t>
            </w:r>
            <w:r w:rsidR="00672E3E">
              <w:t>–</w:t>
            </w:r>
            <w:r w:rsidRPr="002B2E6D">
              <w:t xml:space="preserve">23 g P/cow/day </w:t>
            </w:r>
            <w:r w:rsidRPr="002B2E6D">
              <w:rPr>
                <w:noProof/>
              </w:rPr>
              <w:t xml:space="preserve">(Betteridge </w:t>
            </w:r>
            <w:r w:rsidR="003B0999">
              <w:rPr>
                <w:noProof/>
              </w:rPr>
              <w:t>et al,</w:t>
            </w:r>
            <w:r w:rsidRPr="002B2E6D">
              <w:rPr>
                <w:noProof/>
              </w:rPr>
              <w:t xml:space="preserve"> 1986)</w:t>
            </w:r>
            <w:r>
              <w:rPr>
                <w:noProof/>
              </w:rPr>
              <w:t>.</w:t>
            </w:r>
            <w:r w:rsidRPr="002B2E6D">
              <w:t xml:space="preserve"> </w:t>
            </w:r>
          </w:p>
        </w:tc>
      </w:tr>
      <w:tr w:rsidR="00512B01" w:rsidRPr="006B77BB" w14:paraId="4B922B4D" w14:textId="77777777" w:rsidTr="00512B01">
        <w:tc>
          <w:tcPr>
            <w:tcW w:w="917" w:type="pct"/>
          </w:tcPr>
          <w:p w14:paraId="53DA7718" w14:textId="282C7876" w:rsidR="00512B01" w:rsidRPr="0065799D" w:rsidRDefault="00512B01" w:rsidP="0065799D">
            <w:pPr>
              <w:pStyle w:val="TableText"/>
              <w:rPr>
                <w:b/>
                <w:bCs/>
              </w:rPr>
            </w:pPr>
            <w:r w:rsidRPr="0065799D">
              <w:rPr>
                <w:rFonts w:eastAsia="Times New Roman"/>
                <w:b/>
                <w:bCs/>
              </w:rPr>
              <w:t>Sediment</w:t>
            </w:r>
          </w:p>
        </w:tc>
        <w:tc>
          <w:tcPr>
            <w:tcW w:w="4083" w:type="pct"/>
          </w:tcPr>
          <w:p w14:paraId="7F17B546" w14:textId="52EEC2A1" w:rsidR="00512B01" w:rsidRPr="00512B01" w:rsidRDefault="00512B01" w:rsidP="0065799D">
            <w:pPr>
              <w:pStyle w:val="TableText"/>
              <w:rPr>
                <w:rFonts w:eastAsia="Times New Roman"/>
              </w:rPr>
            </w:pPr>
            <w:r w:rsidRPr="00A67E18">
              <w:rPr>
                <w:rFonts w:eastAsia="Times New Roman"/>
              </w:rPr>
              <w:t xml:space="preserve">Sediment losses of </w:t>
            </w:r>
            <w:r>
              <w:rPr>
                <w:rFonts w:eastAsia="Times New Roman"/>
              </w:rPr>
              <w:t>up to</w:t>
            </w:r>
            <w:r w:rsidRPr="00A67E18">
              <w:rPr>
                <w:rFonts w:eastAsia="Times New Roman"/>
              </w:rPr>
              <w:t xml:space="preserve"> 3</w:t>
            </w:r>
            <w:r>
              <w:rPr>
                <w:rFonts w:eastAsia="Times New Roman"/>
              </w:rPr>
              <w:t>7</w:t>
            </w:r>
            <w:r w:rsidRPr="00A67E18">
              <w:rPr>
                <w:rFonts w:eastAsia="Times New Roman"/>
              </w:rPr>
              <w:t xml:space="preserve">00 kg/ha/yr have been measured from winter </w:t>
            </w:r>
            <w:r>
              <w:rPr>
                <w:rFonts w:eastAsia="Times New Roman"/>
              </w:rPr>
              <w:t xml:space="preserve">forage </w:t>
            </w:r>
            <w:r w:rsidRPr="00A67E18">
              <w:rPr>
                <w:rFonts w:eastAsia="Times New Roman"/>
              </w:rPr>
              <w:t>grazing systems (McDowell</w:t>
            </w:r>
            <w:r w:rsidRPr="42DD340B">
              <w:rPr>
                <w:rFonts w:eastAsia="Times New Roman"/>
              </w:rPr>
              <w:t>,</w:t>
            </w:r>
            <w:r w:rsidRPr="00A67E18">
              <w:rPr>
                <w:rFonts w:eastAsia="Times New Roman"/>
              </w:rPr>
              <w:t xml:space="preserve"> </w:t>
            </w:r>
            <w:r>
              <w:rPr>
                <w:rFonts w:eastAsia="Times New Roman"/>
              </w:rPr>
              <w:t xml:space="preserve">2006; </w:t>
            </w:r>
            <w:r w:rsidRPr="00A67E18">
              <w:rPr>
                <w:rFonts w:eastAsia="Times New Roman"/>
              </w:rPr>
              <w:t>McDowell and Stevens</w:t>
            </w:r>
            <w:r w:rsidR="00672E3E">
              <w:rPr>
                <w:rFonts w:eastAsia="Times New Roman"/>
              </w:rPr>
              <w:t>,</w:t>
            </w:r>
            <w:r w:rsidRPr="00A67E18">
              <w:rPr>
                <w:rFonts w:eastAsia="Times New Roman"/>
              </w:rPr>
              <w:t xml:space="preserve"> 2008; Monaghan </w:t>
            </w:r>
            <w:r w:rsidR="003B0999">
              <w:rPr>
                <w:rFonts w:eastAsia="Times New Roman"/>
              </w:rPr>
              <w:t>et al,</w:t>
            </w:r>
            <w:r w:rsidRPr="00A67E18">
              <w:rPr>
                <w:rFonts w:eastAsia="Times New Roman"/>
              </w:rPr>
              <w:t xml:space="preserve"> 2017).</w:t>
            </w:r>
          </w:p>
        </w:tc>
      </w:tr>
      <w:tr w:rsidR="00512B01" w:rsidRPr="006B77BB" w14:paraId="1A04C390" w14:textId="77777777" w:rsidTr="00512B01">
        <w:tc>
          <w:tcPr>
            <w:tcW w:w="917" w:type="pct"/>
          </w:tcPr>
          <w:p w14:paraId="39DBF3B9" w14:textId="5FA1EE98" w:rsidR="00512B01" w:rsidRPr="0065799D" w:rsidRDefault="00512B01" w:rsidP="0065799D">
            <w:pPr>
              <w:pStyle w:val="TableText"/>
              <w:rPr>
                <w:b/>
                <w:bCs/>
              </w:rPr>
            </w:pPr>
            <w:r w:rsidRPr="0065799D">
              <w:rPr>
                <w:b/>
                <w:bCs/>
              </w:rPr>
              <w:lastRenderedPageBreak/>
              <w:t xml:space="preserve">Faecal microorganisms </w:t>
            </w:r>
          </w:p>
        </w:tc>
        <w:tc>
          <w:tcPr>
            <w:tcW w:w="4083" w:type="pct"/>
          </w:tcPr>
          <w:p w14:paraId="4621CEBB" w14:textId="5211CD0A" w:rsidR="00512B01" w:rsidRPr="00512B01" w:rsidRDefault="00512B01" w:rsidP="0065799D">
            <w:pPr>
              <w:pStyle w:val="TableText"/>
              <w:rPr>
                <w:rFonts w:eastAsia="Times New Roman"/>
              </w:rPr>
            </w:pPr>
            <w:r>
              <w:rPr>
                <w:rFonts w:eastAsia="Times New Roman"/>
              </w:rPr>
              <w:t>Animal faeces and effluent</w:t>
            </w:r>
            <w:r w:rsidRPr="00A67E18">
              <w:rPr>
                <w:rFonts w:eastAsia="Times New Roman"/>
              </w:rPr>
              <w:t xml:space="preserve"> </w:t>
            </w:r>
            <w:r>
              <w:rPr>
                <w:rFonts w:eastAsia="Times New Roman"/>
              </w:rPr>
              <w:t>are</w:t>
            </w:r>
            <w:r w:rsidRPr="00A67E18">
              <w:rPr>
                <w:rFonts w:eastAsia="Times New Roman"/>
              </w:rPr>
              <w:t xml:space="preserve"> </w:t>
            </w:r>
            <w:r>
              <w:rPr>
                <w:rFonts w:eastAsia="Times New Roman"/>
              </w:rPr>
              <w:t>a</w:t>
            </w:r>
            <w:r w:rsidRPr="00A67E18">
              <w:rPr>
                <w:rFonts w:eastAsia="Times New Roman"/>
              </w:rPr>
              <w:t xml:space="preserve"> source of faecal </w:t>
            </w:r>
            <w:r>
              <w:rPr>
                <w:rFonts w:eastAsia="Times New Roman"/>
              </w:rPr>
              <w:t>microorganisms,</w:t>
            </w:r>
            <w:r w:rsidRPr="00A67E18">
              <w:rPr>
                <w:rFonts w:eastAsia="Times New Roman"/>
              </w:rPr>
              <w:t xml:space="preserve"> which </w:t>
            </w:r>
            <w:r>
              <w:rPr>
                <w:rFonts w:eastAsia="Times New Roman"/>
              </w:rPr>
              <w:t>are</w:t>
            </w:r>
            <w:r w:rsidRPr="00A67E18">
              <w:rPr>
                <w:rFonts w:eastAsia="Times New Roman"/>
              </w:rPr>
              <w:t xml:space="preserve"> a public health concern (</w:t>
            </w:r>
            <w:r w:rsidR="003B0999">
              <w:rPr>
                <w:rFonts w:eastAsia="Times New Roman"/>
              </w:rPr>
              <w:t>Ministry for the Environment</w:t>
            </w:r>
            <w:r w:rsidRPr="2E1C6EBB">
              <w:rPr>
                <w:rFonts w:eastAsia="Times New Roman"/>
              </w:rPr>
              <w:t>,</w:t>
            </w:r>
            <w:r w:rsidRPr="00A67E18">
              <w:rPr>
                <w:rFonts w:eastAsia="Times New Roman"/>
              </w:rPr>
              <w:t xml:space="preserve"> </w:t>
            </w:r>
            <w:r w:rsidRPr="42607BD9">
              <w:rPr>
                <w:rFonts w:eastAsia="Times New Roman"/>
              </w:rPr>
              <w:t>2002).</w:t>
            </w:r>
            <w:r w:rsidRPr="00A67E18">
              <w:rPr>
                <w:rFonts w:eastAsia="Times New Roman"/>
              </w:rPr>
              <w:t xml:space="preserve"> </w:t>
            </w:r>
            <w:r>
              <w:rPr>
                <w:rFonts w:eastAsia="Times New Roman"/>
              </w:rPr>
              <w:t xml:space="preserve">Surface </w:t>
            </w:r>
            <w:r w:rsidR="003B0999">
              <w:rPr>
                <w:rFonts w:eastAsia="Times New Roman"/>
              </w:rPr>
              <w:t>run-off</w:t>
            </w:r>
            <w:r w:rsidRPr="00A67E18">
              <w:rPr>
                <w:rFonts w:eastAsia="Times New Roman"/>
              </w:rPr>
              <w:t xml:space="preserve"> </w:t>
            </w:r>
            <w:r>
              <w:rPr>
                <w:rFonts w:eastAsia="Times New Roman"/>
              </w:rPr>
              <w:t>can</w:t>
            </w:r>
            <w:r w:rsidRPr="00A67E18">
              <w:rPr>
                <w:rFonts w:eastAsia="Times New Roman"/>
              </w:rPr>
              <w:t xml:space="preserve"> transport </w:t>
            </w:r>
            <w:bookmarkStart w:id="20" w:name="_Int_Axt3UBDX"/>
            <w:r w:rsidRPr="00A67E18">
              <w:rPr>
                <w:rFonts w:eastAsia="Times New Roman"/>
              </w:rPr>
              <w:t>large number</w:t>
            </w:r>
            <w:bookmarkEnd w:id="20"/>
            <w:r>
              <w:rPr>
                <w:rFonts w:eastAsia="Times New Roman"/>
              </w:rPr>
              <w:t>s</w:t>
            </w:r>
            <w:r w:rsidRPr="00A67E18">
              <w:rPr>
                <w:rFonts w:eastAsia="Times New Roman"/>
              </w:rPr>
              <w:t xml:space="preserve"> of </w:t>
            </w:r>
            <w:r w:rsidRPr="00FB55BD">
              <w:rPr>
                <w:rFonts w:eastAsia="Times New Roman"/>
              </w:rPr>
              <w:t>faecal micro-organisms</w:t>
            </w:r>
            <w:r w:rsidRPr="00A67E18">
              <w:rPr>
                <w:rFonts w:eastAsia="Times New Roman"/>
              </w:rPr>
              <w:t xml:space="preserve"> (Muirhead </w:t>
            </w:r>
            <w:r w:rsidR="003B0999">
              <w:rPr>
                <w:rFonts w:eastAsia="Times New Roman"/>
              </w:rPr>
              <w:t>et al,</w:t>
            </w:r>
            <w:r w:rsidRPr="00A67E18">
              <w:rPr>
                <w:rFonts w:eastAsia="Times New Roman"/>
              </w:rPr>
              <w:t xml:space="preserve"> 2006)</w:t>
            </w:r>
            <w:r>
              <w:rPr>
                <w:rFonts w:eastAsia="Times New Roman"/>
              </w:rPr>
              <w:t>.</w:t>
            </w:r>
          </w:p>
        </w:tc>
      </w:tr>
      <w:tr w:rsidR="00512B01" w:rsidRPr="006B77BB" w14:paraId="4549BC2B" w14:textId="77777777" w:rsidTr="00512B01">
        <w:tc>
          <w:tcPr>
            <w:tcW w:w="917" w:type="pct"/>
          </w:tcPr>
          <w:p w14:paraId="7F531DC6" w14:textId="548E694B" w:rsidR="00512B01" w:rsidRPr="0065799D" w:rsidRDefault="00512B01" w:rsidP="0065799D">
            <w:pPr>
              <w:pStyle w:val="TableText"/>
              <w:rPr>
                <w:b/>
                <w:bCs/>
              </w:rPr>
            </w:pPr>
            <w:r w:rsidRPr="0065799D">
              <w:rPr>
                <w:rFonts w:eastAsia="Times New Roman"/>
                <w:b/>
                <w:bCs/>
              </w:rPr>
              <w:t>Nitrogen</w:t>
            </w:r>
            <w:r w:rsidR="00672E3E">
              <w:rPr>
                <w:rFonts w:eastAsia="Times New Roman"/>
                <w:b/>
                <w:bCs/>
              </w:rPr>
              <w:t xml:space="preserve"> (N)</w:t>
            </w:r>
          </w:p>
        </w:tc>
        <w:tc>
          <w:tcPr>
            <w:tcW w:w="4083" w:type="pct"/>
          </w:tcPr>
          <w:p w14:paraId="32AA2B3E" w14:textId="7E4A8BAF" w:rsidR="00512B01" w:rsidRPr="00512B01" w:rsidRDefault="00512B01" w:rsidP="0065799D">
            <w:pPr>
              <w:pStyle w:val="TableText"/>
              <w:rPr>
                <w:rFonts w:eastAsia="Times New Roman"/>
              </w:rPr>
            </w:pPr>
            <w:r>
              <w:rPr>
                <w:rFonts w:eastAsia="Times New Roman"/>
              </w:rPr>
              <w:t xml:space="preserve">Urinary </w:t>
            </w:r>
            <w:r w:rsidR="00672E3E">
              <w:rPr>
                <w:rFonts w:eastAsia="Times New Roman"/>
              </w:rPr>
              <w:t>nitrogen</w:t>
            </w:r>
            <w:r>
              <w:rPr>
                <w:rFonts w:eastAsia="Times New Roman"/>
              </w:rPr>
              <w:t xml:space="preserve">, rather than fertiliser </w:t>
            </w:r>
            <w:r w:rsidR="00672E3E">
              <w:rPr>
                <w:rFonts w:eastAsia="Times New Roman"/>
              </w:rPr>
              <w:t>nitrogen</w:t>
            </w:r>
            <w:r>
              <w:rPr>
                <w:rFonts w:eastAsia="Times New Roman"/>
              </w:rPr>
              <w:t>, is usually the source of nitrogen loss from winter grazing (Di and Cameron</w:t>
            </w:r>
            <w:r w:rsidR="00672E3E">
              <w:rPr>
                <w:rFonts w:eastAsia="Times New Roman"/>
              </w:rPr>
              <w:t>,</w:t>
            </w:r>
            <w:r>
              <w:rPr>
                <w:rFonts w:eastAsia="Times New Roman"/>
              </w:rPr>
              <w:t xml:space="preserve"> 2002; Smith and Monaghan</w:t>
            </w:r>
            <w:r w:rsidR="00672E3E">
              <w:rPr>
                <w:rFonts w:eastAsia="Times New Roman"/>
              </w:rPr>
              <w:t>,</w:t>
            </w:r>
            <w:r>
              <w:rPr>
                <w:rFonts w:eastAsia="Times New Roman"/>
              </w:rPr>
              <w:t xml:space="preserve"> 2003). Nitrogen is mainly lost via drainage but can be found in surface </w:t>
            </w:r>
            <w:r w:rsidR="003B0999">
              <w:rPr>
                <w:rFonts w:eastAsia="Times New Roman"/>
              </w:rPr>
              <w:t>run-off</w:t>
            </w:r>
            <w:r>
              <w:rPr>
                <w:rFonts w:eastAsia="Times New Roman"/>
              </w:rPr>
              <w:t xml:space="preserve"> on heavy, or compacted soils (Monaghan </w:t>
            </w:r>
            <w:r w:rsidR="003B0999">
              <w:rPr>
                <w:rFonts w:eastAsia="Times New Roman"/>
              </w:rPr>
              <w:t>et al,</w:t>
            </w:r>
            <w:r>
              <w:rPr>
                <w:rFonts w:eastAsia="Times New Roman"/>
              </w:rPr>
              <w:t xml:space="preserve"> 2017).</w:t>
            </w:r>
          </w:p>
        </w:tc>
      </w:tr>
      <w:tr w:rsidR="00592757" w:rsidRPr="006B77BB" w14:paraId="4643B049" w14:textId="77777777" w:rsidTr="0066158A">
        <w:tc>
          <w:tcPr>
            <w:tcW w:w="917" w:type="pct"/>
            <w:shd w:val="clear" w:color="auto" w:fill="1C556C" w:themeFill="accent1"/>
          </w:tcPr>
          <w:p w14:paraId="78ABE5C4" w14:textId="78DB9F05" w:rsidR="00592757" w:rsidRPr="0066158A" w:rsidRDefault="00592757" w:rsidP="001E3572">
            <w:pPr>
              <w:pStyle w:val="TableText"/>
              <w:keepLines/>
              <w:rPr>
                <w:b/>
                <w:bCs/>
                <w:color w:val="FFFFFF" w:themeColor="background1"/>
              </w:rPr>
            </w:pPr>
            <w:r w:rsidRPr="0066158A">
              <w:rPr>
                <w:b/>
                <w:bCs/>
                <w:color w:val="FFFFFF" w:themeColor="background1"/>
              </w:rPr>
              <w:t>Surface transport</w:t>
            </w:r>
          </w:p>
        </w:tc>
        <w:tc>
          <w:tcPr>
            <w:tcW w:w="4083" w:type="pct"/>
            <w:shd w:val="clear" w:color="auto" w:fill="1C556C" w:themeFill="accent1"/>
          </w:tcPr>
          <w:p w14:paraId="759A9499" w14:textId="77777777" w:rsidR="00592757" w:rsidRPr="0066158A" w:rsidRDefault="00592757" w:rsidP="001E3572">
            <w:pPr>
              <w:pStyle w:val="TableText"/>
              <w:keepLines/>
              <w:rPr>
                <w:rFonts w:eastAsia="Times New Roman"/>
                <w:b/>
                <w:bCs/>
                <w:color w:val="FFFFFF" w:themeColor="background1"/>
              </w:rPr>
            </w:pPr>
          </w:p>
        </w:tc>
      </w:tr>
      <w:tr w:rsidR="00464CCD" w:rsidRPr="006B77BB" w14:paraId="58237591" w14:textId="77777777">
        <w:tc>
          <w:tcPr>
            <w:tcW w:w="917" w:type="pct"/>
            <w:shd w:val="clear" w:color="auto" w:fill="auto"/>
          </w:tcPr>
          <w:p w14:paraId="2A80CB1B" w14:textId="746F28F7" w:rsidR="00464CCD" w:rsidRPr="0065799D" w:rsidRDefault="00464CCD" w:rsidP="001E3572">
            <w:pPr>
              <w:pStyle w:val="TableText"/>
              <w:keepLines/>
              <w:rPr>
                <w:b/>
                <w:bCs/>
              </w:rPr>
            </w:pPr>
            <w:r w:rsidRPr="0065799D">
              <w:rPr>
                <w:b/>
                <w:bCs/>
              </w:rPr>
              <w:t xml:space="preserve">Surface </w:t>
            </w:r>
            <w:r w:rsidR="003B0999">
              <w:rPr>
                <w:b/>
                <w:bCs/>
              </w:rPr>
              <w:t>run-off</w:t>
            </w:r>
            <w:r w:rsidRPr="0065799D">
              <w:rPr>
                <w:b/>
                <w:bCs/>
              </w:rPr>
              <w:t xml:space="preserve"> </w:t>
            </w:r>
          </w:p>
        </w:tc>
        <w:tc>
          <w:tcPr>
            <w:tcW w:w="4083" w:type="pct"/>
            <w:shd w:val="clear" w:color="auto" w:fill="auto"/>
          </w:tcPr>
          <w:p w14:paraId="29FC8913" w14:textId="1F10731B" w:rsidR="00464CCD" w:rsidRPr="00464CCD" w:rsidRDefault="00464CCD" w:rsidP="001E3572">
            <w:pPr>
              <w:pStyle w:val="TableText"/>
              <w:keepLines/>
              <w:rPr>
                <w:rFonts w:eastAsia="Times New Roman"/>
              </w:rPr>
            </w:pPr>
            <w:r w:rsidRPr="002B2E6D">
              <w:rPr>
                <w:rFonts w:eastAsia="Times New Roman"/>
              </w:rPr>
              <w:t xml:space="preserve">Treading by livestock </w:t>
            </w:r>
            <w:r>
              <w:rPr>
                <w:rFonts w:eastAsia="Times New Roman"/>
              </w:rPr>
              <w:t>often</w:t>
            </w:r>
            <w:r w:rsidRPr="002B2E6D">
              <w:rPr>
                <w:rFonts w:eastAsia="Times New Roman"/>
              </w:rPr>
              <w:t xml:space="preserve"> lead</w:t>
            </w:r>
            <w:r>
              <w:rPr>
                <w:rFonts w:eastAsia="Times New Roman"/>
              </w:rPr>
              <w:t>s</w:t>
            </w:r>
            <w:r w:rsidRPr="002B2E6D">
              <w:rPr>
                <w:rFonts w:eastAsia="Times New Roman"/>
              </w:rPr>
              <w:t xml:space="preserve"> to increase</w:t>
            </w:r>
            <w:r>
              <w:rPr>
                <w:rFonts w:eastAsia="Times New Roman"/>
              </w:rPr>
              <w:t>s in soil</w:t>
            </w:r>
            <w:r w:rsidRPr="002B2E6D">
              <w:rPr>
                <w:rFonts w:eastAsia="Times New Roman"/>
              </w:rPr>
              <w:t xml:space="preserve"> bulk density, and decrease</w:t>
            </w:r>
            <w:r>
              <w:rPr>
                <w:rFonts w:eastAsia="Times New Roman"/>
              </w:rPr>
              <w:t>s</w:t>
            </w:r>
            <w:r w:rsidRPr="002B2E6D">
              <w:rPr>
                <w:rFonts w:eastAsia="Times New Roman"/>
              </w:rPr>
              <w:t xml:space="preserve"> in </w:t>
            </w:r>
            <w:r>
              <w:rPr>
                <w:rFonts w:eastAsia="Times New Roman"/>
              </w:rPr>
              <w:t>soil</w:t>
            </w:r>
            <w:r w:rsidRPr="002B2E6D">
              <w:rPr>
                <w:rFonts w:eastAsia="Times New Roman"/>
              </w:rPr>
              <w:t xml:space="preserve"> porosity, macroporosity and hydraulic conductivity (Mulholland </w:t>
            </w:r>
            <w:r>
              <w:rPr>
                <w:rFonts w:eastAsia="Times New Roman"/>
              </w:rPr>
              <w:t>and</w:t>
            </w:r>
            <w:r w:rsidRPr="002B2E6D">
              <w:rPr>
                <w:rFonts w:eastAsia="Times New Roman"/>
              </w:rPr>
              <w:t xml:space="preserve"> Fullen, 1991; Singleton </w:t>
            </w:r>
            <w:r w:rsidR="003B0999">
              <w:rPr>
                <w:rFonts w:eastAsia="Times New Roman"/>
              </w:rPr>
              <w:t>et al,</w:t>
            </w:r>
            <w:r w:rsidRPr="002B2E6D">
              <w:rPr>
                <w:rFonts w:eastAsia="Times New Roman"/>
              </w:rPr>
              <w:t xml:space="preserve"> 2000;</w:t>
            </w:r>
            <w:r>
              <w:rPr>
                <w:rFonts w:eastAsia="Times New Roman"/>
              </w:rPr>
              <w:t xml:space="preserve"> Drewery and Paton</w:t>
            </w:r>
            <w:r w:rsidRPr="786836C3">
              <w:rPr>
                <w:rFonts w:eastAsia="Times New Roman"/>
              </w:rPr>
              <w:t>,</w:t>
            </w:r>
            <w:r>
              <w:rPr>
                <w:rFonts w:eastAsia="Times New Roman"/>
              </w:rPr>
              <w:t xml:space="preserve"> 2005;</w:t>
            </w:r>
            <w:r w:rsidRPr="002B2E6D">
              <w:rPr>
                <w:rFonts w:eastAsia="Times New Roman"/>
              </w:rPr>
              <w:t xml:space="preserve"> </w:t>
            </w:r>
            <w:r>
              <w:t xml:space="preserve">Curran-Cournane </w:t>
            </w:r>
            <w:r w:rsidR="003B0999">
              <w:t>et al,</w:t>
            </w:r>
            <w:r>
              <w:t xml:space="preserve"> 2010</w:t>
            </w:r>
            <w:r w:rsidRPr="002B2E6D">
              <w:rPr>
                <w:rFonts w:eastAsia="Times New Roman"/>
              </w:rPr>
              <w:t xml:space="preserve">). Areas with treading damage have decreased infiltration capacity, higher </w:t>
            </w:r>
            <w:r w:rsidRPr="02B49EC4">
              <w:rPr>
                <w:rFonts w:eastAsia="Times New Roman"/>
              </w:rPr>
              <w:t>sediment</w:t>
            </w:r>
            <w:r>
              <w:rPr>
                <w:rFonts w:eastAsia="Times New Roman"/>
              </w:rPr>
              <w:t xml:space="preserve"> and </w:t>
            </w:r>
            <w:r w:rsidR="00672E3E">
              <w:rPr>
                <w:rFonts w:eastAsia="Times New Roman"/>
              </w:rPr>
              <w:t>phosphorus</w:t>
            </w:r>
            <w:r w:rsidR="00672E3E" w:rsidRPr="002B2E6D">
              <w:rPr>
                <w:rFonts w:eastAsia="Times New Roman"/>
              </w:rPr>
              <w:t xml:space="preserve"> </w:t>
            </w:r>
            <w:r w:rsidRPr="002B2E6D">
              <w:rPr>
                <w:rFonts w:eastAsia="Times New Roman"/>
              </w:rPr>
              <w:t>lo</w:t>
            </w:r>
            <w:r>
              <w:rPr>
                <w:rFonts w:eastAsia="Times New Roman"/>
              </w:rPr>
              <w:t>sses</w:t>
            </w:r>
            <w:r w:rsidRPr="002B2E6D">
              <w:rPr>
                <w:rFonts w:eastAsia="Times New Roman"/>
              </w:rPr>
              <w:t xml:space="preserve"> in </w:t>
            </w:r>
            <w:r>
              <w:rPr>
                <w:rFonts w:eastAsia="Times New Roman"/>
              </w:rPr>
              <w:t xml:space="preserve">surface </w:t>
            </w:r>
            <w:r w:rsidR="003B0999">
              <w:rPr>
                <w:rFonts w:eastAsia="Times New Roman"/>
              </w:rPr>
              <w:t>run-off</w:t>
            </w:r>
            <w:r w:rsidRPr="002B2E6D">
              <w:rPr>
                <w:rFonts w:eastAsia="Times New Roman"/>
              </w:rPr>
              <w:t xml:space="preserve"> (Nguyen </w:t>
            </w:r>
            <w:r w:rsidR="003B0999">
              <w:rPr>
                <w:rFonts w:eastAsia="Times New Roman"/>
              </w:rPr>
              <w:t>et al,</w:t>
            </w:r>
            <w:r w:rsidRPr="002B2E6D">
              <w:rPr>
                <w:rFonts w:eastAsia="Times New Roman"/>
              </w:rPr>
              <w:t xml:space="preserve"> 1998), and ponding of water at the soil surface is more likely to occur (Sheath </w:t>
            </w:r>
            <w:r w:rsidRPr="786836C3">
              <w:rPr>
                <w:rFonts w:eastAsia="Times New Roman"/>
              </w:rPr>
              <w:t>and</w:t>
            </w:r>
            <w:r w:rsidRPr="002B2E6D">
              <w:rPr>
                <w:rFonts w:eastAsia="Times New Roman"/>
              </w:rPr>
              <w:t xml:space="preserve"> Carlson, 1998).</w:t>
            </w:r>
            <w:r>
              <w:rPr>
                <w:rFonts w:eastAsia="Times New Roman"/>
              </w:rPr>
              <w:t xml:space="preserve"> Moreover, reduced soil infiltration due to cattle treading can persist for more than six weeks after the grazing (Monaghan </w:t>
            </w:r>
            <w:r w:rsidR="003B0999">
              <w:rPr>
                <w:rFonts w:eastAsia="Times New Roman"/>
              </w:rPr>
              <w:t>et al,</w:t>
            </w:r>
            <w:r>
              <w:rPr>
                <w:rFonts w:eastAsia="Times New Roman"/>
              </w:rPr>
              <w:t xml:space="preserve"> 2017).</w:t>
            </w:r>
          </w:p>
        </w:tc>
      </w:tr>
      <w:tr w:rsidR="00464CCD" w:rsidRPr="006B77BB" w14:paraId="7E5FEC6D" w14:textId="77777777">
        <w:tc>
          <w:tcPr>
            <w:tcW w:w="917" w:type="pct"/>
          </w:tcPr>
          <w:p w14:paraId="63622972" w14:textId="07BFD4FE" w:rsidR="00464CCD" w:rsidRPr="0065799D" w:rsidRDefault="00464CCD" w:rsidP="001E3572">
            <w:pPr>
              <w:pStyle w:val="TableText"/>
              <w:keepLines/>
              <w:rPr>
                <w:b/>
                <w:bCs/>
              </w:rPr>
            </w:pPr>
            <w:r w:rsidRPr="0065799D">
              <w:rPr>
                <w:b/>
                <w:bCs/>
              </w:rPr>
              <w:t>Ephemeral waterways</w:t>
            </w:r>
          </w:p>
        </w:tc>
        <w:tc>
          <w:tcPr>
            <w:tcW w:w="4083" w:type="pct"/>
          </w:tcPr>
          <w:p w14:paraId="47DCD839" w14:textId="42838E40" w:rsidR="00464CCD" w:rsidRPr="00512B01" w:rsidRDefault="00464CCD" w:rsidP="001E3572">
            <w:pPr>
              <w:pStyle w:val="TableText"/>
              <w:keepLines/>
              <w:rPr>
                <w:rFonts w:eastAsia="Times New Roman"/>
              </w:rPr>
            </w:pPr>
            <w:r>
              <w:rPr>
                <w:rFonts w:eastAsia="Times New Roman"/>
              </w:rPr>
              <w:t xml:space="preserve">Ephemeral waterways do not convey or retain water year-round but are only active during, or immediately following, rainfall events (Shanafield </w:t>
            </w:r>
            <w:r w:rsidR="003B0999">
              <w:rPr>
                <w:rFonts w:eastAsia="Times New Roman"/>
              </w:rPr>
              <w:t>et al,</w:t>
            </w:r>
            <w:r>
              <w:rPr>
                <w:rFonts w:eastAsia="Times New Roman"/>
              </w:rPr>
              <w:t xml:space="preserve"> 2021). Multiple </w:t>
            </w:r>
            <w:r w:rsidR="003B0999">
              <w:rPr>
                <w:rFonts w:eastAsia="Times New Roman"/>
              </w:rPr>
              <w:t>run-off</w:t>
            </w:r>
            <w:r>
              <w:rPr>
                <w:rFonts w:eastAsia="Times New Roman"/>
              </w:rPr>
              <w:t xml:space="preserve"> areas can converge in ephemeral waterways.</w:t>
            </w:r>
          </w:p>
        </w:tc>
      </w:tr>
      <w:tr w:rsidR="00464CCD" w:rsidRPr="006B77BB" w14:paraId="44F61510" w14:textId="77777777">
        <w:tc>
          <w:tcPr>
            <w:tcW w:w="917" w:type="pct"/>
          </w:tcPr>
          <w:p w14:paraId="40FE1D1D" w14:textId="66C20184" w:rsidR="00464CCD" w:rsidRPr="0065799D" w:rsidRDefault="00464CCD" w:rsidP="001E3572">
            <w:pPr>
              <w:pStyle w:val="TableText"/>
              <w:keepLines/>
              <w:rPr>
                <w:b/>
                <w:bCs/>
              </w:rPr>
            </w:pPr>
            <w:r w:rsidRPr="0065799D">
              <w:rPr>
                <w:b/>
                <w:bCs/>
              </w:rPr>
              <w:t>Springs and seeps</w:t>
            </w:r>
          </w:p>
        </w:tc>
        <w:tc>
          <w:tcPr>
            <w:tcW w:w="4083" w:type="pct"/>
          </w:tcPr>
          <w:p w14:paraId="6FAFC3C3" w14:textId="4BF5158D" w:rsidR="00464CCD" w:rsidRPr="00512B01" w:rsidRDefault="00464CCD" w:rsidP="001E3572">
            <w:pPr>
              <w:pStyle w:val="TableText"/>
              <w:keepLines/>
              <w:rPr>
                <w:rFonts w:eastAsia="Times New Roman"/>
              </w:rPr>
            </w:pPr>
            <w:r>
              <w:rPr>
                <w:rFonts w:eastAsia="Times New Roman"/>
              </w:rPr>
              <w:t>Springs originate where groundwater discharges to the surface, forming flow paths and small channels. A spring is commonly referred to as a seep when it discharges at a lower, and potentially ephemeral, flow rate (</w:t>
            </w:r>
            <w:r w:rsidRPr="00A7628C">
              <w:rPr>
                <w:rFonts w:eastAsia="Times New Roman"/>
              </w:rPr>
              <w:t>O’Driscoll</w:t>
            </w:r>
            <w:r>
              <w:rPr>
                <w:rFonts w:eastAsia="Times New Roman"/>
              </w:rPr>
              <w:t xml:space="preserve"> </w:t>
            </w:r>
            <w:r w:rsidR="003B0999">
              <w:rPr>
                <w:rFonts w:eastAsia="Times New Roman"/>
              </w:rPr>
              <w:t>et al,</w:t>
            </w:r>
            <w:r>
              <w:rPr>
                <w:rFonts w:eastAsia="Times New Roman"/>
              </w:rPr>
              <w:t xml:space="preserve"> 2019).</w:t>
            </w:r>
          </w:p>
        </w:tc>
      </w:tr>
      <w:tr w:rsidR="0066158A" w:rsidRPr="006B77BB" w14:paraId="4AB26CE8" w14:textId="77777777" w:rsidTr="0066158A">
        <w:tc>
          <w:tcPr>
            <w:tcW w:w="5000" w:type="pct"/>
            <w:gridSpan w:val="2"/>
            <w:shd w:val="clear" w:color="auto" w:fill="1B556B" w:themeFill="text2"/>
          </w:tcPr>
          <w:p w14:paraId="1FCE5C2A" w14:textId="24B5C54D" w:rsidR="0066158A" w:rsidRPr="0066158A" w:rsidRDefault="0066158A" w:rsidP="0066158A">
            <w:pPr>
              <w:pStyle w:val="TableText"/>
              <w:keepLines/>
              <w:shd w:val="clear" w:color="auto" w:fill="1C556C" w:themeFill="accent1"/>
              <w:rPr>
                <w:b/>
                <w:bCs/>
                <w:color w:val="FFFFFF" w:themeColor="background1"/>
              </w:rPr>
            </w:pPr>
            <w:r w:rsidRPr="0066158A">
              <w:rPr>
                <w:b/>
                <w:bCs/>
                <w:color w:val="FFFFFF" w:themeColor="background1"/>
              </w:rPr>
              <w:t>Connectivity</w:t>
            </w:r>
          </w:p>
        </w:tc>
      </w:tr>
      <w:tr w:rsidR="003F255B" w:rsidRPr="006B77BB" w14:paraId="6600EED8" w14:textId="77777777" w:rsidTr="003F255B">
        <w:tc>
          <w:tcPr>
            <w:tcW w:w="5000" w:type="pct"/>
            <w:gridSpan w:val="2"/>
            <w:shd w:val="clear" w:color="auto" w:fill="auto"/>
          </w:tcPr>
          <w:p w14:paraId="07B5D6DF" w14:textId="3F333607" w:rsidR="003F255B" w:rsidRPr="00464CCD" w:rsidRDefault="0065799D" w:rsidP="0065799D">
            <w:pPr>
              <w:pStyle w:val="TableText"/>
              <w:rPr>
                <w:rFonts w:eastAsia="Times New Roman"/>
              </w:rPr>
            </w:pPr>
            <w:r>
              <w:rPr>
                <w:rFonts w:eastAsia="Times New Roman"/>
              </w:rPr>
              <w:t xml:space="preserve">The extent and efficiency of the pathways that transport contaminants to surface water bodies are measures of the connectivity to the surrounding landscape (Moloney </w:t>
            </w:r>
            <w:r w:rsidR="003B0999">
              <w:rPr>
                <w:rFonts w:eastAsia="Times New Roman"/>
              </w:rPr>
              <w:t>et al,</w:t>
            </w:r>
            <w:r>
              <w:rPr>
                <w:rFonts w:eastAsia="Times New Roman"/>
              </w:rPr>
              <w:t xml:space="preserve"> 2020). Conversely, dis-connectivity is the isolation of such landscape zones. Contaminant sources without connectivity to a receiving water body pose a relatively low risk to water qu</w:t>
            </w:r>
            <w:r w:rsidRPr="000900D2">
              <w:rPr>
                <w:rFonts w:eastAsia="Times New Roman"/>
              </w:rPr>
              <w:t xml:space="preserve">ality. </w:t>
            </w:r>
            <w:r w:rsidRPr="008E61B7">
              <w:rPr>
                <w:rFonts w:eastAsia="Times New Roman"/>
              </w:rPr>
              <w:t xml:space="preserve">The extent or risk of connectivity will influence the size of the </w:t>
            </w:r>
            <w:r w:rsidR="00702C1F">
              <w:rPr>
                <w:rFonts w:eastAsia="Times New Roman"/>
              </w:rPr>
              <w:t>critical source area</w:t>
            </w:r>
            <w:r w:rsidRPr="008E61B7">
              <w:rPr>
                <w:rFonts w:eastAsia="Times New Roman"/>
              </w:rPr>
              <w:t xml:space="preserve"> required.</w:t>
            </w:r>
            <w:r>
              <w:rPr>
                <w:rFonts w:eastAsia="Times New Roman"/>
              </w:rPr>
              <w:t xml:space="preserve"> </w:t>
            </w:r>
          </w:p>
        </w:tc>
      </w:tr>
    </w:tbl>
    <w:p w14:paraId="705C8EE9" w14:textId="4D547F89" w:rsidR="00142D51" w:rsidRDefault="00142D51" w:rsidP="009B794C">
      <w:pPr>
        <w:pStyle w:val="Heading2"/>
        <w:ind w:left="851" w:hanging="851"/>
      </w:pPr>
      <w:bookmarkStart w:id="21" w:name="_Toc129957925"/>
      <w:r>
        <w:t>5.2</w:t>
      </w:r>
      <w:r>
        <w:tab/>
        <w:t xml:space="preserve">Intensive winter grazing and </w:t>
      </w:r>
      <w:r w:rsidR="00DF551B">
        <w:t>critical source area</w:t>
      </w:r>
      <w:r>
        <w:t>s</w:t>
      </w:r>
      <w:bookmarkEnd w:id="21"/>
      <w:r>
        <w:t xml:space="preserve"> </w:t>
      </w:r>
    </w:p>
    <w:p w14:paraId="29E37BD4" w14:textId="24015F03" w:rsidR="00142D51" w:rsidRPr="00EF4284" w:rsidRDefault="00142D51" w:rsidP="00142D51">
      <w:pPr>
        <w:pStyle w:val="BodyText"/>
      </w:pPr>
      <w:r w:rsidRPr="00EF4284">
        <w:t xml:space="preserve">During </w:t>
      </w:r>
      <w:r w:rsidR="00711587" w:rsidRPr="00EF4284">
        <w:t>intensive winter grazing</w:t>
      </w:r>
      <w:r w:rsidRPr="00EF4284">
        <w:t xml:space="preserve">, surface </w:t>
      </w:r>
      <w:r w:rsidR="003B0999" w:rsidRPr="00EF4284">
        <w:t>run-off</w:t>
      </w:r>
      <w:r w:rsidRPr="00EF4284">
        <w:t xml:space="preserve"> is likely to originate in areas that are typically wet during winter and where soil disturbance is high: </w:t>
      </w:r>
      <w:r w:rsidR="003B0999" w:rsidRPr="00EF4284">
        <w:t>eg</w:t>
      </w:r>
      <w:r w:rsidRPr="00EF4284">
        <w:t xml:space="preserve">, swales, gullies and depressions. These are </w:t>
      </w:r>
      <w:r w:rsidR="00DF551B" w:rsidRPr="00EF4284">
        <w:t xml:space="preserve">critical source areas </w:t>
      </w:r>
      <w:r w:rsidRPr="00EF4284">
        <w:t xml:space="preserve">where seepage and infiltration-excess </w:t>
      </w:r>
      <w:r w:rsidR="003B0999" w:rsidRPr="00EF4284">
        <w:t>run-off</w:t>
      </w:r>
      <w:r w:rsidRPr="00EF4284">
        <w:t xml:space="preserve"> flows converge and </w:t>
      </w:r>
      <w:r w:rsidR="002B4004">
        <w:t xml:space="preserve">are </w:t>
      </w:r>
      <w:r w:rsidRPr="00EF4284">
        <w:t xml:space="preserve">thus targeted by the IWG regulations. </w:t>
      </w:r>
    </w:p>
    <w:tbl>
      <w:tblPr>
        <w:tblStyle w:val="TableGrid"/>
        <w:tblW w:w="8584"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84"/>
      </w:tblGrid>
      <w:tr w:rsidR="006B2442" w14:paraId="273E1F0D" w14:textId="77777777" w:rsidTr="00711587">
        <w:tc>
          <w:tcPr>
            <w:tcW w:w="0" w:type="auto"/>
            <w:shd w:val="clear" w:color="auto" w:fill="D2DDE2"/>
          </w:tcPr>
          <w:p w14:paraId="3772704D" w14:textId="433D6BD0" w:rsidR="006B2442" w:rsidRPr="009153E9" w:rsidRDefault="006B2442" w:rsidP="00FF4CF5">
            <w:pPr>
              <w:pStyle w:val="Boxheading0"/>
              <w:keepNext w:val="0"/>
            </w:pPr>
            <w:r w:rsidRPr="009153E9">
              <w:t>Swale</w:t>
            </w:r>
            <w:r w:rsidR="00127DB1">
              <w:t>:</w:t>
            </w:r>
          </w:p>
          <w:p w14:paraId="44223B97" w14:textId="1FB2148D" w:rsidR="006B2442" w:rsidRDefault="006B2442" w:rsidP="003C04BE">
            <w:pPr>
              <w:pStyle w:val="Boxbullet"/>
              <w:spacing w:before="120"/>
            </w:pPr>
            <w:r>
              <w:t xml:space="preserve">Swales are found in lightly sloping to rolling paddocks and concentrate water flows from the surrounding area into a shallow channel. </w:t>
            </w:r>
          </w:p>
          <w:p w14:paraId="7054E08D" w14:textId="4878C368" w:rsidR="006B2442" w:rsidRDefault="006B2442" w:rsidP="00FF4CF5">
            <w:pPr>
              <w:pStyle w:val="Boxbullet"/>
            </w:pPr>
            <w:r>
              <w:t xml:space="preserve">Swales only conduct water during or after rainfall events and may act as ephemeral flow paths connecting contaminants with waterbodies. </w:t>
            </w:r>
          </w:p>
          <w:p w14:paraId="349E9A77" w14:textId="146F6648" w:rsidR="006B2442" w:rsidRPr="00721770" w:rsidRDefault="006B2442" w:rsidP="00FF4CF5">
            <w:pPr>
              <w:pStyle w:val="Boxbullet"/>
              <w:rPr>
                <w:rFonts w:cstheme="minorBidi"/>
                <w:sz w:val="22"/>
                <w:szCs w:val="22"/>
              </w:rPr>
            </w:pPr>
            <w:r>
              <w:t xml:space="preserve">Soils in this part of the paddock are often very wet, possibly marshy and are thus at substantial risk of generating </w:t>
            </w:r>
            <w:r w:rsidR="003B0999">
              <w:t>run-off</w:t>
            </w:r>
            <w:r>
              <w:t xml:space="preserve"> during rain events.</w:t>
            </w:r>
          </w:p>
          <w:p w14:paraId="6BFCE507" w14:textId="6D3997CC" w:rsidR="00721770" w:rsidRPr="00711587" w:rsidRDefault="00975073" w:rsidP="00711587">
            <w:pPr>
              <w:pStyle w:val="Boxtext"/>
              <w:keepNext/>
              <w:keepLines/>
              <w:ind w:left="1059" w:hanging="775"/>
              <w:rPr>
                <w:b/>
                <w:bCs/>
              </w:rPr>
            </w:pPr>
            <w:r w:rsidRPr="00711587">
              <w:rPr>
                <w:b/>
                <w:bCs/>
              </w:rPr>
              <w:lastRenderedPageBreak/>
              <w:t>Photo</w:t>
            </w:r>
            <w:r w:rsidR="00711587">
              <w:rPr>
                <w:b/>
                <w:bCs/>
              </w:rPr>
              <w:t>:</w:t>
            </w:r>
            <w:r w:rsidRPr="00711587">
              <w:rPr>
                <w:b/>
                <w:bCs/>
              </w:rPr>
              <w:tab/>
            </w:r>
            <w:r w:rsidR="00721770" w:rsidRPr="00711587">
              <w:rPr>
                <w:b/>
                <w:bCs/>
              </w:rPr>
              <w:t>Sheep grazing a winter forage crop, with an unprotected, grazed swale. The swale is evidenced by the ephemeral waterway snaking its way through the bare, grazed soil in the middle of the photo. (Note this photo was taken before IWG regulations came into effect</w:t>
            </w:r>
            <w:r w:rsidR="002B4004">
              <w:rPr>
                <w:b/>
                <w:bCs/>
              </w:rPr>
              <w:t>.</w:t>
            </w:r>
            <w:r w:rsidR="00721770" w:rsidRPr="00711587">
              <w:rPr>
                <w:b/>
                <w:bCs/>
              </w:rPr>
              <w:t>)</w:t>
            </w:r>
          </w:p>
          <w:p w14:paraId="5BFD80AC" w14:textId="0844BE7B" w:rsidR="00AA0082" w:rsidRPr="00DA491B" w:rsidRDefault="009153E9" w:rsidP="007B7597">
            <w:pPr>
              <w:pStyle w:val="Boxtext"/>
              <w:keepNext/>
              <w:keepLines/>
            </w:pPr>
            <w:r>
              <w:rPr>
                <w:noProof/>
              </w:rPr>
              <w:drawing>
                <wp:inline distT="0" distB="0" distL="0" distR="0" wp14:anchorId="1F9A3F6D" wp14:editId="2B88CDAA">
                  <wp:extent cx="4890976" cy="2319228"/>
                  <wp:effectExtent l="0" t="0" r="5080" b="0"/>
                  <wp:docPr id="7" name="Picture 7" descr="Sheep grazing a winter forage crop, with an unprotected, grazed sw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heep grazing a winter forage crop, with an unprotected, grazed swale. "/>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4890976" cy="2319228"/>
                          </a:xfrm>
                          <a:prstGeom prst="rect">
                            <a:avLst/>
                          </a:prstGeom>
                          <a:ln>
                            <a:noFill/>
                          </a:ln>
                          <a:extLst>
                            <a:ext uri="{53640926-AAD7-44D8-BBD7-CCE9431645EC}">
                              <a14:shadowObscured xmlns:a14="http://schemas.microsoft.com/office/drawing/2010/main"/>
                            </a:ext>
                          </a:extLst>
                        </pic:spPr>
                      </pic:pic>
                    </a:graphicData>
                  </a:graphic>
                </wp:inline>
              </w:drawing>
            </w:r>
          </w:p>
        </w:tc>
      </w:tr>
    </w:tbl>
    <w:p w14:paraId="45B4269B" w14:textId="77777777" w:rsidR="007B7597" w:rsidRDefault="007B7597"/>
    <w:tbl>
      <w:tblPr>
        <w:tblStyle w:val="TableGrid"/>
        <w:tblW w:w="8584"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84"/>
      </w:tblGrid>
      <w:tr w:rsidR="007B7597" w14:paraId="2AE14F68" w14:textId="77777777" w:rsidTr="00FF4CF5">
        <w:tc>
          <w:tcPr>
            <w:tcW w:w="0" w:type="auto"/>
            <w:shd w:val="clear" w:color="auto" w:fill="D2DDE2"/>
          </w:tcPr>
          <w:p w14:paraId="5D07BB46" w14:textId="6B605C42" w:rsidR="007B7597" w:rsidRPr="009153E9" w:rsidRDefault="007B7597" w:rsidP="007B7597">
            <w:pPr>
              <w:pStyle w:val="Boxheading0"/>
              <w:keepNext w:val="0"/>
            </w:pPr>
            <w:r w:rsidRPr="009153E9">
              <w:t>Gully:</w:t>
            </w:r>
          </w:p>
          <w:p w14:paraId="0CA84838" w14:textId="77777777" w:rsidR="007B7597" w:rsidRPr="009153E9" w:rsidRDefault="007B7597" w:rsidP="003C04BE">
            <w:pPr>
              <w:pStyle w:val="Boxbullet"/>
              <w:spacing w:before="120"/>
            </w:pPr>
            <w:r w:rsidRPr="009153E9">
              <w:t xml:space="preserve">In contrast to a shallow swale, a gully is deep trench, or channel, where the soil has been carried away, exposing bare ground. </w:t>
            </w:r>
          </w:p>
          <w:p w14:paraId="2EE75361" w14:textId="3746C118" w:rsidR="007B7597" w:rsidRPr="009153E9" w:rsidRDefault="007B7597" w:rsidP="007B7597">
            <w:pPr>
              <w:pStyle w:val="Boxbullet"/>
            </w:pPr>
            <w:r w:rsidRPr="009153E9">
              <w:t xml:space="preserve">On sloping land, shallow gullies sometimes form where surface </w:t>
            </w:r>
            <w:r w:rsidR="003B0999">
              <w:t>run-off</w:t>
            </w:r>
            <w:r w:rsidRPr="009153E9">
              <w:t xml:space="preserve"> from vegetated ground flows onto patches of bare soil. The </w:t>
            </w:r>
            <w:r w:rsidR="003B0999">
              <w:t>run-off</w:t>
            </w:r>
            <w:r w:rsidRPr="009153E9">
              <w:t xml:space="preserve"> picks up soil particles, initially rilling the bare surface (Hicks, 1995). With each subsequent rainfall event the rills deepen, eventually forming gullies which cut back and undermine surrounding earth. Very deep gullies can form on hill country if the underlying base is weathered rock</w:t>
            </w:r>
            <w:r w:rsidR="0095642C">
              <w:t>,</w:t>
            </w:r>
            <w:r w:rsidRPr="009153E9">
              <w:t xml:space="preserve"> rich in clay.</w:t>
            </w:r>
          </w:p>
          <w:p w14:paraId="7B766B34" w14:textId="204E7F66" w:rsidR="007B7597" w:rsidRDefault="007B7597" w:rsidP="007B7597">
            <w:pPr>
              <w:pStyle w:val="Boxbullet"/>
            </w:pPr>
            <w:r w:rsidRPr="009153E9">
              <w:t>Small, shallow gullies are of main concern for grazed winter cropping, as deeper gullies are unlikely to be sown in a winter forage crop, and do not meet the permitted slope conditions of less than 10</w:t>
            </w:r>
            <w:r w:rsidR="00545437">
              <w:t xml:space="preserve"> degrees</w:t>
            </w:r>
            <w:r w:rsidRPr="009153E9">
              <w:t xml:space="preserve">. However, if deeper gullies are adjacent to winter grazing areas, appropriate management should be in place to protect these areas from livestock grazing (see </w:t>
            </w:r>
            <w:hyperlink w:anchor="_6.2_Managing_critical" w:history="1">
              <w:r w:rsidRPr="002459FC">
                <w:rPr>
                  <w:rStyle w:val="Hyperlink"/>
                </w:rPr>
                <w:t>section 6.2</w:t>
              </w:r>
            </w:hyperlink>
            <w:r w:rsidRPr="009153E9">
              <w:t>).</w:t>
            </w:r>
          </w:p>
          <w:p w14:paraId="08FBA839" w14:textId="6F4642A4" w:rsidR="007B7597" w:rsidRPr="00307710" w:rsidRDefault="00711587" w:rsidP="007B7597">
            <w:pPr>
              <w:pStyle w:val="Boxtext"/>
              <w:ind w:left="1059" w:hanging="775"/>
              <w:rPr>
                <w:b/>
                <w:bCs/>
              </w:rPr>
            </w:pPr>
            <w:r>
              <w:rPr>
                <w:b/>
                <w:bCs/>
              </w:rPr>
              <w:t>Photo</w:t>
            </w:r>
            <w:r w:rsidR="007B7597" w:rsidRPr="00307710">
              <w:rPr>
                <w:b/>
                <w:bCs/>
              </w:rPr>
              <w:t>:</w:t>
            </w:r>
            <w:r w:rsidR="007B7597" w:rsidRPr="00307710">
              <w:rPr>
                <w:b/>
                <w:bCs/>
              </w:rPr>
              <w:tab/>
              <w:t>Post</w:t>
            </w:r>
            <w:r w:rsidR="00C516A2">
              <w:rPr>
                <w:b/>
                <w:bCs/>
              </w:rPr>
              <w:t>-</w:t>
            </w:r>
            <w:r w:rsidR="007B7597" w:rsidRPr="00307710">
              <w:rPr>
                <w:b/>
                <w:bCs/>
              </w:rPr>
              <w:t>winter grazing of an unprotected gully. (Note this photo was taken before IWG regulations came into effect).</w:t>
            </w:r>
          </w:p>
          <w:p w14:paraId="37B80D41" w14:textId="39714FC6" w:rsidR="007B7597" w:rsidRPr="009153E9" w:rsidRDefault="007B7597" w:rsidP="007B7597">
            <w:pPr>
              <w:pStyle w:val="Boxtext"/>
            </w:pPr>
            <w:r w:rsidRPr="00AA0082">
              <w:rPr>
                <w:noProof/>
              </w:rPr>
              <w:drawing>
                <wp:inline distT="0" distB="0" distL="0" distR="0" wp14:anchorId="4B0E3A31" wp14:editId="0BA55493">
                  <wp:extent cx="4901609" cy="2338953"/>
                  <wp:effectExtent l="0" t="0" r="0" b="4445"/>
                  <wp:docPr id="10" name="Picture 10" descr="An unprotected gully is grazed by cat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n unprotected gully is grazed by cattle. "/>
                          <pic:cNvPicPr/>
                        </pic:nvPicPr>
                        <pic:blipFill rotWithShape="1">
                          <a:blip r:embed="rId29">
                            <a:extLst>
                              <a:ext uri="{28A0092B-C50C-407E-A947-70E740481C1C}">
                                <a14:useLocalDpi xmlns:a14="http://schemas.microsoft.com/office/drawing/2010/main" val="0"/>
                              </a:ext>
                            </a:extLst>
                          </a:blip>
                          <a:srcRect/>
                          <a:stretch/>
                        </pic:blipFill>
                        <pic:spPr bwMode="auto">
                          <a:xfrm>
                            <a:off x="0" y="0"/>
                            <a:ext cx="4917150" cy="2346369"/>
                          </a:xfrm>
                          <a:prstGeom prst="rect">
                            <a:avLst/>
                          </a:prstGeom>
                          <a:ln>
                            <a:noFill/>
                          </a:ln>
                          <a:extLst>
                            <a:ext uri="{53640926-AAD7-44D8-BBD7-CCE9431645EC}">
                              <a14:shadowObscured xmlns:a14="http://schemas.microsoft.com/office/drawing/2010/main"/>
                            </a:ext>
                          </a:extLst>
                        </pic:spPr>
                      </pic:pic>
                    </a:graphicData>
                  </a:graphic>
                </wp:inline>
              </w:drawing>
            </w:r>
          </w:p>
        </w:tc>
      </w:tr>
    </w:tbl>
    <w:p w14:paraId="66387A9F" w14:textId="77777777" w:rsidR="00DA491B" w:rsidRDefault="00DA491B"/>
    <w:tbl>
      <w:tblPr>
        <w:tblStyle w:val="TableGrid"/>
        <w:tblW w:w="8584"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84"/>
      </w:tblGrid>
      <w:tr w:rsidR="005F3A0F" w14:paraId="0B96610B" w14:textId="77777777" w:rsidTr="00FF4CF5">
        <w:tc>
          <w:tcPr>
            <w:tcW w:w="0" w:type="auto"/>
            <w:shd w:val="clear" w:color="auto" w:fill="D2DDE2"/>
          </w:tcPr>
          <w:p w14:paraId="510139E2" w14:textId="5C5AABF0" w:rsidR="00DA491B" w:rsidRPr="00AA0082" w:rsidRDefault="00DA491B" w:rsidP="00DA491B">
            <w:pPr>
              <w:pStyle w:val="Boxheading0"/>
              <w:keepLines/>
            </w:pPr>
            <w:r>
              <w:t>D</w:t>
            </w:r>
            <w:r w:rsidRPr="00AA0082">
              <w:t xml:space="preserve">epression: </w:t>
            </w:r>
          </w:p>
          <w:p w14:paraId="371661DA" w14:textId="77777777" w:rsidR="00DA491B" w:rsidRPr="00AA0082" w:rsidRDefault="00DA491B" w:rsidP="00855728">
            <w:pPr>
              <w:pStyle w:val="Boxbullet"/>
              <w:keepNext/>
              <w:keepLines/>
              <w:spacing w:before="120"/>
            </w:pPr>
            <w:r w:rsidRPr="00AA0082">
              <w:t xml:space="preserve">A depression is a low, possibly marshy area in the landscape that becomes saturated periodically. </w:t>
            </w:r>
          </w:p>
          <w:p w14:paraId="70B4BE5C" w14:textId="55514BAA" w:rsidR="00DA491B" w:rsidRPr="00AA0082" w:rsidRDefault="00DA491B" w:rsidP="00DA491B">
            <w:pPr>
              <w:pStyle w:val="Boxbullet"/>
              <w:keepNext/>
              <w:keepLines/>
            </w:pPr>
            <w:r w:rsidRPr="00AA0082">
              <w:t>During and after rainfall events, depressions may become hydrologically connected to waterways via ephemeral flow paths and can be significant contributors of nonpoint source pollution to downstream waters.</w:t>
            </w:r>
          </w:p>
          <w:p w14:paraId="60F7CB47" w14:textId="77777777" w:rsidR="00DA491B" w:rsidRPr="00AA0082" w:rsidRDefault="00DA491B" w:rsidP="00DA491B">
            <w:pPr>
              <w:pStyle w:val="Boxbullet"/>
              <w:keepNext/>
              <w:keepLines/>
            </w:pPr>
            <w:r w:rsidRPr="00AA0082">
              <w:t xml:space="preserve">Depressions vary in both size and depth and are most easily identified by the presence of temporary standing water (or ponding) during wetter months. </w:t>
            </w:r>
          </w:p>
          <w:p w14:paraId="1D3E4660" w14:textId="3742AC37" w:rsidR="00DA491B" w:rsidRPr="00307710" w:rsidRDefault="00DA491B" w:rsidP="00DA491B">
            <w:pPr>
              <w:pStyle w:val="Boxtext"/>
              <w:keepNext/>
              <w:keepLines/>
              <w:ind w:left="1059" w:hanging="775"/>
              <w:rPr>
                <w:b/>
                <w:bCs/>
              </w:rPr>
            </w:pPr>
            <w:r w:rsidRPr="00307710">
              <w:rPr>
                <w:b/>
                <w:bCs/>
              </w:rPr>
              <w:t>Photo</w:t>
            </w:r>
            <w:r w:rsidR="00711587">
              <w:rPr>
                <w:b/>
                <w:bCs/>
              </w:rPr>
              <w:t>:</w:t>
            </w:r>
            <w:r w:rsidRPr="00307710">
              <w:rPr>
                <w:b/>
                <w:bCs/>
              </w:rPr>
              <w:tab/>
              <w:t>A grazed depression with bare soil and erodible sediment in the centre of the photo. (Note this photo was taken before IWG regulations came into effect.)</w:t>
            </w:r>
          </w:p>
          <w:p w14:paraId="1CDDFF43" w14:textId="791E93B5" w:rsidR="005F3A0F" w:rsidRPr="009153E9" w:rsidRDefault="00DA491B" w:rsidP="007B7597">
            <w:pPr>
              <w:pStyle w:val="Boxtext"/>
            </w:pPr>
            <w:r>
              <w:rPr>
                <w:noProof/>
              </w:rPr>
              <w:drawing>
                <wp:inline distT="0" distB="0" distL="0" distR="0" wp14:anchorId="251587DB" wp14:editId="4D5B8435">
                  <wp:extent cx="4901565" cy="2783498"/>
                  <wp:effectExtent l="0" t="0" r="0" b="0"/>
                  <wp:docPr id="5" name="Picture 5" descr="A grazed depression with bare soil and erodible sediment in the centre of the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azed depression with bare soil and erodible sediment in the centre of the photo.  "/>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4919631" cy="279375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209A32A" w14:textId="77777777" w:rsidR="00142D51" w:rsidRDefault="00142D51" w:rsidP="00142D51">
      <w:pPr>
        <w:pStyle w:val="BodyText"/>
      </w:pPr>
    </w:p>
    <w:p w14:paraId="1AFDA374" w14:textId="3EC231D6" w:rsidR="004D262E" w:rsidRDefault="004D262E">
      <w:pPr>
        <w:spacing w:before="0" w:after="200" w:line="276" w:lineRule="auto"/>
        <w:jc w:val="left"/>
      </w:pPr>
      <w:r>
        <w:br w:type="page"/>
      </w:r>
    </w:p>
    <w:p w14:paraId="072F483C" w14:textId="77777777" w:rsidR="00142D51" w:rsidRDefault="00142D51" w:rsidP="004D262E">
      <w:pPr>
        <w:pStyle w:val="Heading1"/>
      </w:pPr>
      <w:bookmarkStart w:id="22" w:name="_Toc129957926"/>
      <w:r>
        <w:lastRenderedPageBreak/>
        <w:t>6.</w:t>
      </w:r>
      <w:r>
        <w:tab/>
        <w:t>Implementing the regulations</w:t>
      </w:r>
      <w:bookmarkEnd w:id="22"/>
    </w:p>
    <w:p w14:paraId="3BF2D77A" w14:textId="77777777" w:rsidR="00142D51" w:rsidRDefault="00142D51" w:rsidP="004D262E">
      <w:pPr>
        <w:pStyle w:val="Heading2"/>
        <w:spacing w:after="240"/>
      </w:pPr>
      <w:bookmarkStart w:id="23" w:name="_Toc129957927"/>
      <w:r>
        <w:t>6.1</w:t>
      </w:r>
      <w:r>
        <w:tab/>
        <w:t>Identifying critical source areas</w:t>
      </w:r>
      <w:bookmarkEnd w:id="23"/>
      <w:r>
        <w:t xml:space="preserve"> </w:t>
      </w:r>
    </w:p>
    <w:tbl>
      <w:tblPr>
        <w:tblStyle w:val="TableGrid"/>
        <w:tblW w:w="8618" w:type="dxa"/>
        <w:tblInd w:w="-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618"/>
      </w:tblGrid>
      <w:tr w:rsidR="004D262E" w14:paraId="21D250DC" w14:textId="77777777" w:rsidTr="00B06C09">
        <w:tc>
          <w:tcPr>
            <w:tcW w:w="8618" w:type="dxa"/>
            <w:shd w:val="clear" w:color="auto" w:fill="D2DDE2"/>
          </w:tcPr>
          <w:p w14:paraId="3F31124E" w14:textId="77777777" w:rsidR="004D262E" w:rsidRPr="00345928" w:rsidRDefault="004D262E">
            <w:pPr>
              <w:pStyle w:val="Boxheading0"/>
            </w:pPr>
            <w:r>
              <w:t>Key points</w:t>
            </w:r>
          </w:p>
          <w:p w14:paraId="4A12CE74" w14:textId="389A26FD" w:rsidR="004D262E" w:rsidRDefault="004D262E" w:rsidP="00855728">
            <w:pPr>
              <w:pStyle w:val="Boxbullet"/>
              <w:spacing w:before="120"/>
            </w:pPr>
            <w:r>
              <w:t xml:space="preserve">The simplest way to assess potential </w:t>
            </w:r>
            <w:r w:rsidR="00DF551B">
              <w:t xml:space="preserve">critical source areas </w:t>
            </w:r>
            <w:r>
              <w:t xml:space="preserve">is to </w:t>
            </w:r>
            <w:r w:rsidR="00711587">
              <w:t>visually inspect</w:t>
            </w:r>
            <w:r>
              <w:t xml:space="preserve"> </w:t>
            </w:r>
            <w:r w:rsidR="00711587">
              <w:t xml:space="preserve">possible </w:t>
            </w:r>
            <w:r>
              <w:t>contaminant sources and transport pathways during or soon after heavy rain (</w:t>
            </w:r>
            <w:r w:rsidR="003B0999">
              <w:t>ie,</w:t>
            </w:r>
            <w:r>
              <w:t xml:space="preserve"> walkover surveys). </w:t>
            </w:r>
          </w:p>
          <w:p w14:paraId="4E871101" w14:textId="4554EB31" w:rsidR="004D262E" w:rsidRDefault="004D262E" w:rsidP="004D262E">
            <w:pPr>
              <w:pStyle w:val="Boxbullet"/>
            </w:pPr>
            <w:r>
              <w:t xml:space="preserve">Hydrological modelling can </w:t>
            </w:r>
            <w:r w:rsidR="00711587">
              <w:t>help delineate</w:t>
            </w:r>
            <w:r>
              <w:t xml:space="preserve"> </w:t>
            </w:r>
            <w:r w:rsidR="00DF551B">
              <w:t xml:space="preserve">critical source areas </w:t>
            </w:r>
            <w:r>
              <w:t xml:space="preserve">and target areas for walkover surveys, but many catchments lack the resources and data to support </w:t>
            </w:r>
            <w:r w:rsidR="00711587">
              <w:t>this.</w:t>
            </w:r>
          </w:p>
          <w:p w14:paraId="6FA82CF9" w14:textId="5F5DF4AC" w:rsidR="004D262E" w:rsidRPr="00484C12" w:rsidRDefault="00DF551B" w:rsidP="004D262E">
            <w:pPr>
              <w:pStyle w:val="Boxbullet"/>
            </w:pPr>
            <w:r>
              <w:t xml:space="preserve">Visually examining the </w:t>
            </w:r>
            <w:r w:rsidR="004D262E">
              <w:t xml:space="preserve">soil moisture level after </w:t>
            </w:r>
            <w:r>
              <w:t>rainfall</w:t>
            </w:r>
            <w:r w:rsidR="004D262E">
              <w:t xml:space="preserve"> can </w:t>
            </w:r>
            <w:r>
              <w:t>help delineate the</w:t>
            </w:r>
            <w:r w:rsidR="004D262E">
              <w:t xml:space="preserve"> approximate extent of depressions and swales. One sign to look for is that soils in these areas often stay wet for prolonged periods after heavy rain. A soil moisture probe, or even gumboots, could be used to check if depressions fill up with water.</w:t>
            </w:r>
          </w:p>
        </w:tc>
      </w:tr>
    </w:tbl>
    <w:p w14:paraId="5AECEEF4" w14:textId="364108DA" w:rsidR="00DF551B" w:rsidRDefault="00142D51" w:rsidP="00142D51">
      <w:pPr>
        <w:pStyle w:val="BodyText"/>
      </w:pPr>
      <w:r>
        <w:t xml:space="preserve">Approaches to identifying </w:t>
      </w:r>
      <w:r w:rsidR="00DF551B">
        <w:t xml:space="preserve">critical source areas </w:t>
      </w:r>
      <w:r>
        <w:t xml:space="preserve">range from simple inventories to complex models. The most basic and accessible way to identify </w:t>
      </w:r>
      <w:r w:rsidR="00DF551B">
        <w:t xml:space="preserve">them </w:t>
      </w:r>
      <w:r>
        <w:t>is to walk the farm while looking for sources and pathways (</w:t>
      </w:r>
      <w:r w:rsidR="003B0999">
        <w:t>ie,</w:t>
      </w:r>
      <w:r>
        <w:t xml:space="preserve"> walkover survey). Hydrological modelling can help to narrow down and identify specific </w:t>
      </w:r>
      <w:r w:rsidR="00DF551B">
        <w:t xml:space="preserve">farm </w:t>
      </w:r>
      <w:r>
        <w:t xml:space="preserve">areas likely to be </w:t>
      </w:r>
      <w:r w:rsidR="00DF551B">
        <w:t>critical source areas</w:t>
      </w:r>
      <w:r>
        <w:t xml:space="preserve">, but many farms or catchments lack the resources and data to support this approach. Where hydrological modelling cannot be performed, </w:t>
      </w:r>
      <w:r w:rsidR="00DF551B">
        <w:t xml:space="preserve">potential </w:t>
      </w:r>
      <w:r>
        <w:t>contaminant transport pathways can be identified by examining the following:</w:t>
      </w:r>
    </w:p>
    <w:p w14:paraId="62033A55" w14:textId="2FD8A0A7" w:rsidR="00DF551B" w:rsidRDefault="00142D51" w:rsidP="00B06C09">
      <w:pPr>
        <w:pStyle w:val="Bullet"/>
      </w:pPr>
      <w:r>
        <w:t>farmer knowledge</w:t>
      </w:r>
    </w:p>
    <w:p w14:paraId="07C88134" w14:textId="2497FDA9" w:rsidR="00DF551B" w:rsidRDefault="00142D51" w:rsidP="00B06C09">
      <w:pPr>
        <w:pStyle w:val="Bullet"/>
      </w:pPr>
      <w:r>
        <w:t>aerial photos</w:t>
      </w:r>
    </w:p>
    <w:p w14:paraId="0A558E95" w14:textId="56173519" w:rsidR="00DF551B" w:rsidRDefault="00142D51" w:rsidP="00B06C09">
      <w:pPr>
        <w:pStyle w:val="Bullet"/>
      </w:pPr>
      <w:r>
        <w:t xml:space="preserve">maps of waterways </w:t>
      </w:r>
    </w:p>
    <w:p w14:paraId="48FFC46E" w14:textId="535CE682" w:rsidR="00DF551B" w:rsidRDefault="00142D51" w:rsidP="00B06C09">
      <w:pPr>
        <w:pStyle w:val="Bullet"/>
      </w:pPr>
      <w:r>
        <w:t>information on soil types</w:t>
      </w:r>
    </w:p>
    <w:p w14:paraId="21AB7E44" w14:textId="67E860CD" w:rsidR="00DF551B" w:rsidRDefault="00142D51" w:rsidP="00B06C09">
      <w:pPr>
        <w:pStyle w:val="Bullet"/>
      </w:pPr>
      <w:r>
        <w:t xml:space="preserve">location of compacted areas </w:t>
      </w:r>
    </w:p>
    <w:p w14:paraId="0C113B5E" w14:textId="58D67F46" w:rsidR="00142D51" w:rsidRDefault="00142D51" w:rsidP="00B06C09">
      <w:pPr>
        <w:pStyle w:val="Bullet"/>
      </w:pPr>
      <w:r>
        <w:t xml:space="preserve">topography. </w:t>
      </w:r>
    </w:p>
    <w:p w14:paraId="0C1F3149" w14:textId="2B97E933" w:rsidR="00142D51" w:rsidRDefault="00142D51" w:rsidP="004D262E">
      <w:pPr>
        <w:pStyle w:val="Heading3"/>
      </w:pPr>
      <w:bookmarkStart w:id="24" w:name="_Toc129957928"/>
      <w:r>
        <w:t>6.1.1</w:t>
      </w:r>
      <w:r>
        <w:tab/>
        <w:t>Spatial and hydrological modelling approaches</w:t>
      </w:r>
      <w:bookmarkEnd w:id="24"/>
    </w:p>
    <w:p w14:paraId="23B27079" w14:textId="79B330B2" w:rsidR="00142D51" w:rsidRDefault="00142D51" w:rsidP="00142D51">
      <w:pPr>
        <w:pStyle w:val="BodyText"/>
      </w:pPr>
      <w:r>
        <w:t xml:space="preserve">A brief description of frequently used hydrological approaches </w:t>
      </w:r>
      <w:r w:rsidR="009C007D">
        <w:t xml:space="preserve">used </w:t>
      </w:r>
      <w:r>
        <w:t xml:space="preserve">to delineate </w:t>
      </w:r>
      <w:r w:rsidR="00DF551B">
        <w:t>critical source area</w:t>
      </w:r>
      <w:r>
        <w:t xml:space="preserve">s is given below. All approaches vary in </w:t>
      </w:r>
      <w:r w:rsidR="00711587">
        <w:t>how applicable they are to delineating</w:t>
      </w:r>
      <w:r>
        <w:t xml:space="preserve"> </w:t>
      </w:r>
      <w:r w:rsidR="00DF551B">
        <w:t>critical source area</w:t>
      </w:r>
      <w:r>
        <w:t xml:space="preserve">, and all have limitations (Srinivasan and McDowell, 2007). Several factors </w:t>
      </w:r>
      <w:r w:rsidR="00711587">
        <w:t xml:space="preserve">should be considered before choosing a method, </w:t>
      </w:r>
      <w:r>
        <w:t>including data availability, process represented, ease of implementation and economic impacts.</w:t>
      </w:r>
    </w:p>
    <w:p w14:paraId="2A8919A5" w14:textId="6CF55ED7" w:rsidR="00DD3C9A" w:rsidRDefault="00142D51" w:rsidP="00E33122">
      <w:pPr>
        <w:pStyle w:val="Heading5"/>
      </w:pPr>
      <w:r w:rsidRPr="004D262E">
        <w:t xml:space="preserve">Topographic </w:t>
      </w:r>
      <w:r w:rsidR="00DD3C9A">
        <w:t>w</w:t>
      </w:r>
      <w:r w:rsidRPr="004D262E">
        <w:t xml:space="preserve">etness </w:t>
      </w:r>
      <w:r w:rsidR="00DD3C9A">
        <w:t>i</w:t>
      </w:r>
      <w:r w:rsidRPr="004D262E">
        <w:t>ndex</w:t>
      </w:r>
      <w:r>
        <w:t xml:space="preserve"> </w:t>
      </w:r>
    </w:p>
    <w:p w14:paraId="0F919938" w14:textId="2233F03F" w:rsidR="00142D51" w:rsidRDefault="00901471" w:rsidP="00142D51">
      <w:pPr>
        <w:pStyle w:val="BodyText"/>
      </w:pPr>
      <w:r>
        <w:t>Topographic wetness index (</w:t>
      </w:r>
      <w:r w:rsidR="00142D51">
        <w:t>TWI</w:t>
      </w:r>
      <w:r>
        <w:t>)</w:t>
      </w:r>
      <w:r w:rsidR="00142D51">
        <w:t xml:space="preserve"> is an estimate of the potential for soil saturation </w:t>
      </w:r>
      <w:r>
        <w:t>of a land area (</w:t>
      </w:r>
      <w:r w:rsidR="00142D51">
        <w:t xml:space="preserve">and therefore generation of surface </w:t>
      </w:r>
      <w:r w:rsidR="003B0999">
        <w:t>run-off</w:t>
      </w:r>
      <w:r>
        <w:t xml:space="preserve">) </w:t>
      </w:r>
      <w:r w:rsidR="00142D51">
        <w:t xml:space="preserve">based on slope and drainage area (Beven and Kirkby, 1979). TWI is calculated by using a digital elevation model in a </w:t>
      </w:r>
      <w:r>
        <w:t>g</w:t>
      </w:r>
      <w:r w:rsidR="00142D51">
        <w:t xml:space="preserve">eographical </w:t>
      </w:r>
      <w:r>
        <w:t>i</w:t>
      </w:r>
      <w:r w:rsidR="00142D51">
        <w:t xml:space="preserve">nformation </w:t>
      </w:r>
      <w:r>
        <w:t>s</w:t>
      </w:r>
      <w:r w:rsidR="00142D51">
        <w:t>ystems (GIS) software program</w:t>
      </w:r>
      <w:r w:rsidR="00711587">
        <w:t>me</w:t>
      </w:r>
      <w:r w:rsidR="00142D51">
        <w:t xml:space="preserve"> (</w:t>
      </w:r>
      <w:r w:rsidR="003B0999">
        <w:t>eg</w:t>
      </w:r>
      <w:r w:rsidR="00142D51">
        <w:t xml:space="preserve">, ArcGIS), then using several tools within the programme to calculate the slope, flow direction, flow accumulation and TWI using a </w:t>
      </w:r>
      <w:r w:rsidR="00142D51">
        <w:lastRenderedPageBreak/>
        <w:t xml:space="preserve">simple equation (Beven and Kirkby, 1979; Grabs </w:t>
      </w:r>
      <w:r w:rsidR="003B0999">
        <w:t>et al,</w:t>
      </w:r>
      <w:r w:rsidR="00142D51">
        <w:t xml:space="preserve"> 2009). The resulting TWI spatial data layer depicts areas where water is likely to accumulate. Smaller TWI values indicate less potential for ponding while larger values reflect a greater risk due to the drainage from larger upslope areas, for example (Wolock and McCabe, 1995). TWI has been widely used as a conceptual tool to simulate saturation-excess </w:t>
      </w:r>
      <w:r w:rsidR="003B0999">
        <w:t>run-off</w:t>
      </w:r>
      <w:r w:rsidR="00142D51">
        <w:t xml:space="preserve"> areas at a catchment scale. Simplicity and adaptability to various physiographic regions has allowed the topographic index concept to be widely applied. </w:t>
      </w:r>
    </w:p>
    <w:p w14:paraId="4970F9A0" w14:textId="52598602" w:rsidR="00DD3C9A" w:rsidRDefault="00142D51" w:rsidP="00E33122">
      <w:pPr>
        <w:pStyle w:val="Heading5"/>
      </w:pPr>
      <w:r w:rsidRPr="004D262E">
        <w:t xml:space="preserve">Topographic </w:t>
      </w:r>
      <w:r w:rsidR="00DD3C9A">
        <w:t>w</w:t>
      </w:r>
      <w:r w:rsidRPr="004D262E">
        <w:t xml:space="preserve">etness </w:t>
      </w:r>
      <w:r w:rsidR="00DD3C9A">
        <w:t>i</w:t>
      </w:r>
      <w:r w:rsidRPr="004D262E">
        <w:t>ndex</w:t>
      </w:r>
      <w:r>
        <w:t xml:space="preserve"> plus impervious area</w:t>
      </w:r>
    </w:p>
    <w:p w14:paraId="5FAFA2DA" w14:textId="018FB1B3" w:rsidR="00142D51" w:rsidRDefault="00142D51" w:rsidP="00142D51">
      <w:pPr>
        <w:pStyle w:val="BodyText"/>
      </w:pPr>
      <w:r>
        <w:t xml:space="preserve">This approach includes both saturation-excess </w:t>
      </w:r>
      <w:r w:rsidR="003B0999">
        <w:t>run-off</w:t>
      </w:r>
      <w:r>
        <w:t xml:space="preserve"> as identified using TWI, and infiltration-excess </w:t>
      </w:r>
      <w:r w:rsidR="003B0999">
        <w:t>run-off</w:t>
      </w:r>
      <w:r>
        <w:t xml:space="preserve"> (</w:t>
      </w:r>
      <w:r w:rsidR="00DD3C9A">
        <w:t xml:space="preserve">ie, </w:t>
      </w:r>
      <w:r w:rsidR="003B0999">
        <w:t>run-off</w:t>
      </w:r>
      <w:r>
        <w:t xml:space="preserve"> generated when rainfall intensity exceeds soil infiltration capacity) (Srinivasan and McDowell, 2007). Compacted areas (</w:t>
      </w:r>
      <w:r w:rsidR="003B0999">
        <w:t>eg</w:t>
      </w:r>
      <w:r>
        <w:t xml:space="preserve">, deer wallows) are considered as infiltration-excess </w:t>
      </w:r>
      <w:r w:rsidR="003B0999">
        <w:t>run-off</w:t>
      </w:r>
      <w:r>
        <w:t xml:space="preserve"> areas.</w:t>
      </w:r>
    </w:p>
    <w:p w14:paraId="3C5A6D8D" w14:textId="4F0E53F8" w:rsidR="00DD3C9A" w:rsidRDefault="00142D51" w:rsidP="00E33122">
      <w:pPr>
        <w:pStyle w:val="Heading5"/>
      </w:pPr>
      <w:r w:rsidRPr="004D262E">
        <w:t xml:space="preserve">Phosphorus </w:t>
      </w:r>
      <w:r w:rsidR="00DD3C9A">
        <w:t>i</w:t>
      </w:r>
      <w:r w:rsidRPr="004D262E">
        <w:t>ndex</w:t>
      </w:r>
    </w:p>
    <w:p w14:paraId="70077729" w14:textId="51F657DF" w:rsidR="00142D51" w:rsidRPr="00761D77" w:rsidRDefault="00142D51" w:rsidP="00142D51">
      <w:pPr>
        <w:pStyle w:val="BodyText"/>
        <w:rPr>
          <w:i/>
        </w:rPr>
      </w:pPr>
      <w:r>
        <w:t>Th</w:t>
      </w:r>
      <w:r w:rsidR="00901471">
        <w:t>e</w:t>
      </w:r>
      <w:r>
        <w:t xml:space="preserve"> </w:t>
      </w:r>
      <w:r w:rsidR="00901471">
        <w:rPr>
          <w:iCs/>
        </w:rPr>
        <w:t>p</w:t>
      </w:r>
      <w:r w:rsidR="00901471" w:rsidRPr="005471FE">
        <w:rPr>
          <w:iCs/>
        </w:rPr>
        <w:t xml:space="preserve">hosphorus index </w:t>
      </w:r>
      <w:r>
        <w:t xml:space="preserve">approach assumes a fixed distance on either side of waterways as hydrologically active during rainfall events, and hence critical to contaminant transport (Gburek </w:t>
      </w:r>
      <w:r w:rsidR="003B0999">
        <w:t>et al,</w:t>
      </w:r>
      <w:r>
        <w:t xml:space="preserve"> 2000).</w:t>
      </w:r>
    </w:p>
    <w:p w14:paraId="68F7D05B" w14:textId="7CB3FE07" w:rsidR="00DD3C9A" w:rsidRDefault="00142D51" w:rsidP="00E33122">
      <w:pPr>
        <w:pStyle w:val="Heading5"/>
      </w:pPr>
      <w:r w:rsidRPr="004D262E">
        <w:t xml:space="preserve">Drainage </w:t>
      </w:r>
      <w:r w:rsidR="00DD3C9A">
        <w:t>d</w:t>
      </w:r>
      <w:r w:rsidRPr="004D262E">
        <w:t xml:space="preserve">ensity </w:t>
      </w:r>
    </w:p>
    <w:p w14:paraId="6973444C" w14:textId="6C43A191" w:rsidR="00142D51" w:rsidRPr="00565EDA" w:rsidRDefault="00142D51" w:rsidP="00565EDA">
      <w:pPr>
        <w:pStyle w:val="BodyText"/>
        <w:rPr>
          <w:rFonts w:eastAsiaTheme="majorEastAsia" w:cstheme="majorBidi"/>
          <w:iCs/>
          <w:sz w:val="24"/>
        </w:rPr>
      </w:pPr>
      <w:r w:rsidRPr="00761D77">
        <w:rPr>
          <w:rFonts w:eastAsiaTheme="majorEastAsia" w:cstheme="majorBidi"/>
          <w:iCs/>
        </w:rPr>
        <w:t>Th</w:t>
      </w:r>
      <w:r w:rsidR="00901471" w:rsidRPr="00761D77">
        <w:rPr>
          <w:rFonts w:eastAsiaTheme="majorEastAsia" w:cstheme="majorBidi"/>
          <w:iCs/>
        </w:rPr>
        <w:t xml:space="preserve">e </w:t>
      </w:r>
      <w:r w:rsidR="00901471">
        <w:rPr>
          <w:iCs/>
        </w:rPr>
        <w:t>d</w:t>
      </w:r>
      <w:r w:rsidR="00901471" w:rsidRPr="00565EDA">
        <w:rPr>
          <w:rFonts w:eastAsiaTheme="majorEastAsia" w:cstheme="majorBidi"/>
          <w:iCs/>
        </w:rPr>
        <w:t xml:space="preserve">rainage density (DD) </w:t>
      </w:r>
      <w:r w:rsidRPr="00565EDA">
        <w:rPr>
          <w:rFonts w:eastAsiaTheme="majorEastAsia" w:cstheme="majorBidi"/>
          <w:iCs/>
        </w:rPr>
        <w:t xml:space="preserve">method of delineating </w:t>
      </w:r>
      <w:r w:rsidR="00DF551B" w:rsidRPr="00565EDA">
        <w:rPr>
          <w:rFonts w:eastAsiaTheme="majorEastAsia" w:cstheme="majorBidi"/>
          <w:iCs/>
        </w:rPr>
        <w:t>critical source area</w:t>
      </w:r>
      <w:r w:rsidRPr="00565EDA">
        <w:rPr>
          <w:rFonts w:eastAsiaTheme="majorEastAsia" w:cstheme="majorBidi"/>
          <w:iCs/>
        </w:rPr>
        <w:t xml:space="preserve">s is similar to the </w:t>
      </w:r>
      <w:r w:rsidR="00901471">
        <w:rPr>
          <w:iCs/>
        </w:rPr>
        <w:t>p</w:t>
      </w:r>
      <w:r w:rsidRPr="008C2812">
        <w:rPr>
          <w:rFonts w:eastAsiaTheme="majorEastAsia" w:cstheme="majorBidi"/>
          <w:iCs/>
        </w:rPr>
        <w:t xml:space="preserve">hosphorus </w:t>
      </w:r>
      <w:r w:rsidR="00DD3C9A" w:rsidRPr="008C2812">
        <w:rPr>
          <w:rFonts w:eastAsiaTheme="majorEastAsia" w:cstheme="majorBidi"/>
          <w:iCs/>
        </w:rPr>
        <w:t>i</w:t>
      </w:r>
      <w:r w:rsidRPr="008C2812">
        <w:rPr>
          <w:rFonts w:eastAsiaTheme="majorEastAsia" w:cstheme="majorBidi"/>
          <w:iCs/>
        </w:rPr>
        <w:t xml:space="preserve">ndex method and hence assumes that </w:t>
      </w:r>
      <w:r w:rsidR="00DF551B" w:rsidRPr="008C2812">
        <w:rPr>
          <w:rFonts w:eastAsiaTheme="majorEastAsia" w:cstheme="majorBidi"/>
          <w:iCs/>
        </w:rPr>
        <w:t>critical source area</w:t>
      </w:r>
      <w:r w:rsidRPr="008C2812">
        <w:rPr>
          <w:rFonts w:eastAsiaTheme="majorEastAsia" w:cstheme="majorBidi"/>
          <w:iCs/>
        </w:rPr>
        <w:t xml:space="preserve">s occur in near-stream zones on either side of streams. Unlike the PI, which is independent of catchment and rainfall properties, the extent of </w:t>
      </w:r>
      <w:r w:rsidR="00DF551B" w:rsidRPr="008C2812">
        <w:rPr>
          <w:rFonts w:eastAsiaTheme="majorEastAsia" w:cstheme="majorBidi"/>
          <w:iCs/>
        </w:rPr>
        <w:t>critical source area</w:t>
      </w:r>
      <w:r w:rsidRPr="008C2812">
        <w:rPr>
          <w:rFonts w:eastAsiaTheme="majorEastAsia" w:cstheme="majorBidi"/>
          <w:iCs/>
        </w:rPr>
        <w:t xml:space="preserve"> calculated by a DD model is dependent on the size of rainfall event selected and antecedent rainfall conditions. This method allows</w:t>
      </w:r>
      <w:r w:rsidRPr="00565EDA">
        <w:rPr>
          <w:rFonts w:eastAsiaTheme="majorEastAsia" w:cstheme="majorBidi"/>
          <w:iCs/>
        </w:rPr>
        <w:t xml:space="preserve"> </w:t>
      </w:r>
      <w:r w:rsidR="00607A44">
        <w:rPr>
          <w:rFonts w:eastAsiaTheme="majorEastAsia" w:cstheme="majorBidi"/>
          <w:iCs/>
        </w:rPr>
        <w:t>for</w:t>
      </w:r>
      <w:r w:rsidRPr="00565EDA">
        <w:rPr>
          <w:rFonts w:eastAsiaTheme="majorEastAsia" w:cstheme="majorBidi"/>
          <w:iCs/>
        </w:rPr>
        <w:t xml:space="preserve"> variable </w:t>
      </w:r>
      <w:r w:rsidR="00DF551B" w:rsidRPr="00565EDA">
        <w:rPr>
          <w:rFonts w:eastAsiaTheme="majorEastAsia" w:cstheme="majorBidi"/>
          <w:iCs/>
        </w:rPr>
        <w:t>critical source area</w:t>
      </w:r>
      <w:r w:rsidRPr="00565EDA">
        <w:rPr>
          <w:rFonts w:eastAsiaTheme="majorEastAsia" w:cstheme="majorBidi"/>
          <w:iCs/>
        </w:rPr>
        <w:t xml:space="preserve">s with varying rainfall and catchment wetness conditions (Gburek </w:t>
      </w:r>
      <w:r w:rsidR="003B0999" w:rsidRPr="00565EDA">
        <w:rPr>
          <w:rFonts w:eastAsiaTheme="majorEastAsia" w:cstheme="majorBidi"/>
          <w:iCs/>
        </w:rPr>
        <w:t>et al,</w:t>
      </w:r>
      <w:r w:rsidRPr="00565EDA">
        <w:rPr>
          <w:rFonts w:eastAsiaTheme="majorEastAsia" w:cstheme="majorBidi"/>
          <w:iCs/>
        </w:rPr>
        <w:t xml:space="preserve"> 2002).</w:t>
      </w:r>
    </w:p>
    <w:p w14:paraId="20EB2055" w14:textId="557F68C0" w:rsidR="00DD3C9A" w:rsidRDefault="00142D51" w:rsidP="00E33122">
      <w:pPr>
        <w:pStyle w:val="Heading5"/>
      </w:pPr>
      <w:r w:rsidRPr="004D262E">
        <w:t xml:space="preserve">Curve </w:t>
      </w:r>
      <w:r w:rsidR="00DD3C9A">
        <w:t>n</w:t>
      </w:r>
      <w:r w:rsidRPr="004D262E">
        <w:t xml:space="preserve">umber </w:t>
      </w:r>
    </w:p>
    <w:p w14:paraId="061000BD" w14:textId="139BE869" w:rsidR="00142D51" w:rsidRDefault="00142D51" w:rsidP="00142D51">
      <w:pPr>
        <w:pStyle w:val="BodyText"/>
      </w:pPr>
      <w:r>
        <w:t>Th</w:t>
      </w:r>
      <w:r w:rsidR="00B74BBF">
        <w:t>e curve number (CN) is</w:t>
      </w:r>
      <w:r>
        <w:t xml:space="preserve"> empirically-based approach (Soil Conservation Service, 1972)</w:t>
      </w:r>
      <w:r w:rsidR="00B74BBF">
        <w:t xml:space="preserve"> and</w:t>
      </w:r>
      <w:r>
        <w:t xml:space="preserve"> does not represent any specific surface </w:t>
      </w:r>
      <w:r w:rsidR="003B0999">
        <w:t>run-off</w:t>
      </w:r>
      <w:r>
        <w:t xml:space="preserve"> generation process. </w:t>
      </w:r>
      <w:r w:rsidR="00DD3C9A">
        <w:t>It</w:t>
      </w:r>
      <w:r>
        <w:t xml:space="preserve"> uses hydrological soil group and land</w:t>
      </w:r>
      <w:r w:rsidR="00DD3C9A">
        <w:t>-</w:t>
      </w:r>
      <w:r>
        <w:t>use</w:t>
      </w:r>
      <w:r w:rsidR="00DD3C9A">
        <w:t xml:space="preserve"> and/or </w:t>
      </w:r>
      <w:r>
        <w:t>land</w:t>
      </w:r>
      <w:r w:rsidR="00DD3C9A">
        <w:t>-</w:t>
      </w:r>
      <w:r>
        <w:t xml:space="preserve">cover information to calculate </w:t>
      </w:r>
      <w:r w:rsidR="003B0999">
        <w:t>run-off</w:t>
      </w:r>
      <w:r>
        <w:t>. Thus, the transport areas delineated using this approach are specific to a land use and soil group.</w:t>
      </w:r>
    </w:p>
    <w:p w14:paraId="3CD1738C" w14:textId="3BE3367D" w:rsidR="00DD3C9A" w:rsidRDefault="00142D51" w:rsidP="00E33122">
      <w:pPr>
        <w:pStyle w:val="Heading5"/>
      </w:pPr>
      <w:r w:rsidRPr="004D262E">
        <w:t xml:space="preserve">Modified </w:t>
      </w:r>
      <w:r w:rsidR="00DD3C9A">
        <w:t>u</w:t>
      </w:r>
      <w:r w:rsidRPr="004D262E">
        <w:t xml:space="preserve">niversal </w:t>
      </w:r>
      <w:r w:rsidR="00DD3C9A">
        <w:t>s</w:t>
      </w:r>
      <w:r w:rsidRPr="004D262E">
        <w:t xml:space="preserve">oil </w:t>
      </w:r>
      <w:r w:rsidR="00DD3C9A">
        <w:t>l</w:t>
      </w:r>
      <w:r w:rsidRPr="004D262E">
        <w:t xml:space="preserve">oss </w:t>
      </w:r>
      <w:r w:rsidR="00DD3C9A">
        <w:t>e</w:t>
      </w:r>
      <w:r w:rsidRPr="004D262E">
        <w:t xml:space="preserve">quation </w:t>
      </w:r>
      <w:r>
        <w:t>model</w:t>
      </w:r>
    </w:p>
    <w:p w14:paraId="2EF90011" w14:textId="7C07B4CF" w:rsidR="00142D51" w:rsidRPr="002E43CC" w:rsidRDefault="00B74BBF" w:rsidP="002E43CC">
      <w:pPr>
        <w:pStyle w:val="BodyText"/>
      </w:pPr>
      <w:r w:rsidRPr="002E43CC">
        <w:t xml:space="preserve">The universal soil loss equation (USLE) </w:t>
      </w:r>
      <w:r w:rsidR="00142D51" w:rsidRPr="002E43CC">
        <w:t>method delineates high-risk areas for sediment export (Sivertun and Prange, 2003) based on at least five landscape and climatic characteristics: (1) soil erodibility; (2) slope steepness and slope length; (3) proximity to watercourses; (4) land cover and (5) rainfall erosivity.</w:t>
      </w:r>
    </w:p>
    <w:p w14:paraId="218468DD" w14:textId="77777777" w:rsidR="00142D51" w:rsidRDefault="00142D51" w:rsidP="004D262E">
      <w:pPr>
        <w:pStyle w:val="Heading3"/>
      </w:pPr>
      <w:bookmarkStart w:id="25" w:name="_Toc129957929"/>
      <w:r>
        <w:t>6.1.2</w:t>
      </w:r>
      <w:r>
        <w:tab/>
        <w:t>Walkover surveys</w:t>
      </w:r>
      <w:bookmarkEnd w:id="25"/>
      <w:r>
        <w:t xml:space="preserve"> </w:t>
      </w:r>
    </w:p>
    <w:p w14:paraId="6FB7B435" w14:textId="6AAB8906" w:rsidR="00142D51" w:rsidRDefault="00142D51" w:rsidP="00142D51">
      <w:pPr>
        <w:pStyle w:val="BodyText"/>
      </w:pPr>
      <w:r>
        <w:t xml:space="preserve">The simplest way to identify and assess potential </w:t>
      </w:r>
      <w:r w:rsidR="00DF551B">
        <w:t>critical source area</w:t>
      </w:r>
      <w:r>
        <w:t xml:space="preserve">s is to perform a visual inspection of contaminant sources and transport pathways during wet weather. During a so-called </w:t>
      </w:r>
      <w:r w:rsidR="00DD3C9A">
        <w:t>‘</w:t>
      </w:r>
      <w:r>
        <w:t>walkover survey</w:t>
      </w:r>
      <w:r w:rsidR="00DD3C9A">
        <w:t>’</w:t>
      </w:r>
      <w:r>
        <w:t xml:space="preserve">, one is on the lookout for features which may accelerate or decelerate contaminant delivery to waterways (Reaney </w:t>
      </w:r>
      <w:r w:rsidR="003B0999">
        <w:t>et al,</w:t>
      </w:r>
      <w:r>
        <w:t xml:space="preserve"> 2019). </w:t>
      </w:r>
      <w:r w:rsidR="00DD3C9A">
        <w:t>Identifying</w:t>
      </w:r>
      <w:r>
        <w:t xml:space="preserve"> such sources and sinks </w:t>
      </w:r>
      <w:r>
        <w:lastRenderedPageBreak/>
        <w:t>enables critical locations (</w:t>
      </w:r>
      <w:r w:rsidR="003B0999">
        <w:t>ie,</w:t>
      </w:r>
      <w:r>
        <w:t xml:space="preserve"> </w:t>
      </w:r>
      <w:r w:rsidR="00DF551B">
        <w:t>critical source area</w:t>
      </w:r>
      <w:r>
        <w:t>s) to be targeted with effective mitigation strategies.</w:t>
      </w:r>
    </w:p>
    <w:p w14:paraId="758951DB" w14:textId="03B18E8D" w:rsidR="00142D51" w:rsidRDefault="00142D51" w:rsidP="00142D51">
      <w:pPr>
        <w:pStyle w:val="BodyText"/>
      </w:pPr>
      <w:r>
        <w:t xml:space="preserve">Walkover surveys can provide useful, highly detailed, site-specific information on a range of potential sources and pathways of contaminants (see </w:t>
      </w:r>
      <w:hyperlink w:anchor="_Appendix_1:_Walkover" w:history="1">
        <w:r w:rsidR="00DD3C9A" w:rsidRPr="00FC1EA7">
          <w:rPr>
            <w:rStyle w:val="Hyperlink"/>
          </w:rPr>
          <w:t>a</w:t>
        </w:r>
        <w:r w:rsidRPr="00FC1EA7">
          <w:rPr>
            <w:rStyle w:val="Hyperlink"/>
          </w:rPr>
          <w:t>ppendix 1</w:t>
        </w:r>
      </w:hyperlink>
      <w:r>
        <w:t xml:space="preserve"> for a walkover survey guide). This method involves walking around a paddock, farm or catchment, usually during wet weather, looking for </w:t>
      </w:r>
      <w:r w:rsidR="003B0999">
        <w:t>run-off</w:t>
      </w:r>
      <w:r>
        <w:t xml:space="preserve">-generating areas and their connectivity to waterways </w:t>
      </w:r>
      <w:r w:rsidR="00DD3C9A">
        <w:t xml:space="preserve">then </w:t>
      </w:r>
      <w:r>
        <w:t>marking this information on a map. A mobile-phone app has been used by Reaney et al (2019) to record features as either enhancing (a source/pathway) or decelerating (a sink/barrier) contaminant mobility. Such data can be mapped and analysed using computer software (</w:t>
      </w:r>
      <w:r w:rsidR="003B0999">
        <w:t>eg</w:t>
      </w:r>
      <w:r>
        <w:t xml:space="preserve">, ArcGIS) (Reaney </w:t>
      </w:r>
      <w:r w:rsidR="003B0999">
        <w:t>et al,</w:t>
      </w:r>
      <w:r>
        <w:t xml:space="preserve"> 2019). These surveys provide a snapshot of water flows and the extent of ponding at the time during those conditions.</w:t>
      </w:r>
    </w:p>
    <w:p w14:paraId="30164176" w14:textId="38BCBAAF" w:rsidR="00142D51" w:rsidRDefault="00142D51" w:rsidP="00142D51">
      <w:pPr>
        <w:pStyle w:val="BodyText"/>
      </w:pPr>
      <w:r>
        <w:t>Gullies, swales and depressions (</w:t>
      </w:r>
      <w:r w:rsidR="00DD3C9A">
        <w:t xml:space="preserve">see </w:t>
      </w:r>
      <w:hyperlink w:anchor="_5.2_Intensive_winter" w:history="1">
        <w:r w:rsidR="00DD3C9A" w:rsidRPr="00FC1EA7">
          <w:rPr>
            <w:rStyle w:val="Hyperlink"/>
          </w:rPr>
          <w:t>s</w:t>
        </w:r>
        <w:r w:rsidRPr="00FC1EA7">
          <w:rPr>
            <w:rStyle w:val="Hyperlink"/>
          </w:rPr>
          <w:t>ection 5.2</w:t>
        </w:r>
      </w:hyperlink>
      <w:r>
        <w:t xml:space="preserve">) should </w:t>
      </w:r>
      <w:r w:rsidR="00DD3C9A">
        <w:t xml:space="preserve">also </w:t>
      </w:r>
      <w:r>
        <w:t xml:space="preserve">be </w:t>
      </w:r>
      <w:r w:rsidR="00DD3C9A">
        <w:t>noted</w:t>
      </w:r>
      <w:r>
        <w:t xml:space="preserve"> in the walkover survey and factored into the farm’s IWG strategy to comply with regulations (</w:t>
      </w:r>
      <w:r w:rsidR="00DD3C9A">
        <w:t xml:space="preserve">see </w:t>
      </w:r>
      <w:hyperlink w:anchor="_4.1_Intensive_winter" w:history="1">
        <w:r w:rsidR="00DD3C9A" w:rsidRPr="00FC1EA7">
          <w:rPr>
            <w:rStyle w:val="Hyperlink"/>
          </w:rPr>
          <w:t>s</w:t>
        </w:r>
        <w:r w:rsidRPr="00FC1EA7">
          <w:rPr>
            <w:rStyle w:val="Hyperlink"/>
          </w:rPr>
          <w:t>ection 4.1</w:t>
        </w:r>
      </w:hyperlink>
      <w:r>
        <w:t>). Muddy conditions are more likely to occur in areas of low elevation (</w:t>
      </w:r>
      <w:r w:rsidR="003B0999">
        <w:t>eg</w:t>
      </w:r>
      <w:r>
        <w:t xml:space="preserve">, swales and depressions) because surface </w:t>
      </w:r>
      <w:r w:rsidR="003B0999">
        <w:t>run-off</w:t>
      </w:r>
      <w:r>
        <w:t xml:space="preserve"> tends to accumulate in these areas. In lieu of a soil moisture probe being available, </w:t>
      </w:r>
      <w:r w:rsidR="00DD3C9A">
        <w:t>visually examining</w:t>
      </w:r>
      <w:r>
        <w:t xml:space="preserve"> soil moisture levels after rainfall events can </w:t>
      </w:r>
      <w:r w:rsidR="00DD3C9A">
        <w:t>help delineate</w:t>
      </w:r>
      <w:r>
        <w:t xml:space="preserve"> the approximate extent of depressions and swales. Some signs to look for are:</w:t>
      </w:r>
    </w:p>
    <w:p w14:paraId="60DA0BEE" w14:textId="3A510494" w:rsidR="00142D51" w:rsidRDefault="00DD3C9A" w:rsidP="004D262E">
      <w:pPr>
        <w:pStyle w:val="Bullet"/>
      </w:pPr>
      <w:r>
        <w:t>s</w:t>
      </w:r>
      <w:r w:rsidR="00142D51">
        <w:t>oils in these areas often stay wet for prolonged periods after heavy rain. Gumboots could be used to check if depressions made fill up with water</w:t>
      </w:r>
    </w:p>
    <w:p w14:paraId="4CA58D5C" w14:textId="77777777" w:rsidR="00142D51" w:rsidRDefault="00DD3C9A" w:rsidP="004D262E">
      <w:pPr>
        <w:pStyle w:val="Bullet"/>
      </w:pPr>
      <w:r>
        <w:t>a</w:t>
      </w:r>
      <w:r w:rsidR="00142D51">
        <w:t xml:space="preserve"> lack of oxygen in frequently waterlogged soils may produce the smell of rotten eggs (Fraser </w:t>
      </w:r>
      <w:r w:rsidR="003B0999">
        <w:t>et al,</w:t>
      </w:r>
      <w:r w:rsidR="00142D51">
        <w:t xml:space="preserve"> 2018).</w:t>
      </w:r>
    </w:p>
    <w:p w14:paraId="6B5F7E99" w14:textId="5FF744EF" w:rsidR="00142D51" w:rsidRDefault="00142D51" w:rsidP="00142D51">
      <w:pPr>
        <w:pStyle w:val="Bullet"/>
      </w:pPr>
      <w:r>
        <w:t xml:space="preserve">Wetter soil conditions can result in differences in vegetation leaf colour or plant composition (Clarkson, 2014). </w:t>
      </w:r>
    </w:p>
    <w:p w14:paraId="49889A62" w14:textId="6FD11E22" w:rsidR="00142D51" w:rsidRDefault="00142D51" w:rsidP="00142D51">
      <w:pPr>
        <w:pStyle w:val="BodyText"/>
      </w:pPr>
      <w:r>
        <w:t xml:space="preserve">Identifying the extent of a </w:t>
      </w:r>
      <w:r w:rsidR="00DF551B">
        <w:t>critical source area</w:t>
      </w:r>
      <w:r>
        <w:t xml:space="preserve"> could depend on a number of factors</w:t>
      </w:r>
      <w:r w:rsidR="00DD3C9A">
        <w:t>, including</w:t>
      </w:r>
      <w:r>
        <w:t xml:space="preserve"> weather conditions, topography and soil type. In certain landscapes, such as U</w:t>
      </w:r>
      <w:r w:rsidR="00DD3C9A">
        <w:t>-</w:t>
      </w:r>
      <w:r>
        <w:t xml:space="preserve"> or V</w:t>
      </w:r>
      <w:r w:rsidR="00DD3C9A">
        <w:t>-</w:t>
      </w:r>
      <w:r>
        <w:t xml:space="preserve">shaped valleys where the boundaries of the </w:t>
      </w:r>
      <w:r w:rsidR="00DF551B">
        <w:t>critical source area</w:t>
      </w:r>
      <w:r>
        <w:t xml:space="preserve"> may not be well defined (as opposed to gullies)</w:t>
      </w:r>
      <w:r w:rsidR="00DD3C9A">
        <w:t xml:space="preserve">, </w:t>
      </w:r>
      <w:r>
        <w:t xml:space="preserve">identifying indicators such as differences in vegetation, leaf colour, plant composition and soil moisture could help identify the full extent of the </w:t>
      </w:r>
      <w:r w:rsidR="00DF551B">
        <w:t>critical source area</w:t>
      </w:r>
      <w:r>
        <w:t xml:space="preserve">. </w:t>
      </w:r>
    </w:p>
    <w:p w14:paraId="18978389" w14:textId="77777777" w:rsidR="00142D51" w:rsidRDefault="00142D51" w:rsidP="00142D51">
      <w:pPr>
        <w:pStyle w:val="BodyText"/>
      </w:pPr>
      <w:r>
        <w:t>Other areas to note in the walkover survey include:</w:t>
      </w:r>
    </w:p>
    <w:p w14:paraId="4EEA91CA" w14:textId="6422B113" w:rsidR="00142D51" w:rsidRDefault="00142D51">
      <w:pPr>
        <w:pStyle w:val="Bullet"/>
      </w:pPr>
      <w:r w:rsidRPr="00B76EA8">
        <w:rPr>
          <w:b/>
          <w:bCs/>
        </w:rPr>
        <w:t>Bare soil</w:t>
      </w:r>
      <w:r w:rsidR="00DD3C9A">
        <w:rPr>
          <w:b/>
          <w:bCs/>
        </w:rPr>
        <w:t xml:space="preserve">: </w:t>
      </w:r>
      <w:r w:rsidR="004A1B52" w:rsidRPr="00322197">
        <w:t>When</w:t>
      </w:r>
      <w:r>
        <w:t xml:space="preserve"> exposed to a rain event</w:t>
      </w:r>
      <w:r w:rsidR="004A1B52">
        <w:t>,</w:t>
      </w:r>
      <w:r>
        <w:t xml:space="preserve"> </w:t>
      </w:r>
      <w:r w:rsidR="004A1B52">
        <w:t xml:space="preserve">bare soil </w:t>
      </w:r>
      <w:r>
        <w:t xml:space="preserve">can become quickly eroded, leading to sediment movement into adjacent waterways. Significant areas of bare soil can be a major source of sediment. If the entire area of IWG is grazed to bare soil, especially where roots are also removed by grazing and trampling, the risk is increased. </w:t>
      </w:r>
    </w:p>
    <w:p w14:paraId="312568CE" w14:textId="53661E64" w:rsidR="00142D51" w:rsidRDefault="00142D51">
      <w:pPr>
        <w:pStyle w:val="Bullet"/>
      </w:pPr>
      <w:r w:rsidRPr="00B76EA8">
        <w:rPr>
          <w:b/>
          <w:bCs/>
        </w:rPr>
        <w:t>Pugged soils</w:t>
      </w:r>
      <w:r w:rsidR="00DD3C9A">
        <w:rPr>
          <w:b/>
          <w:bCs/>
        </w:rPr>
        <w:t xml:space="preserve">: </w:t>
      </w:r>
      <w:r w:rsidR="004A1B52" w:rsidRPr="007A4BF9">
        <w:t>These</w:t>
      </w:r>
      <w:r>
        <w:t xml:space="preserve"> have low infiltration rates and hence high potential for surface </w:t>
      </w:r>
      <w:r w:rsidR="003B0999">
        <w:t>run-off</w:t>
      </w:r>
      <w:r>
        <w:t xml:space="preserve">. Pugged areas with strong connectivity to waterways can act as a </w:t>
      </w:r>
      <w:r w:rsidR="00DF551B">
        <w:t>critical source area</w:t>
      </w:r>
      <w:r>
        <w:t>.</w:t>
      </w:r>
    </w:p>
    <w:p w14:paraId="415FF6F6" w14:textId="1F8AD3BF" w:rsidR="00142D51" w:rsidRDefault="00142D51">
      <w:pPr>
        <w:pStyle w:val="Bullet"/>
      </w:pPr>
      <w:r w:rsidRPr="00B76EA8">
        <w:rPr>
          <w:b/>
          <w:bCs/>
        </w:rPr>
        <w:t>In-paddock congregation sites and tracks</w:t>
      </w:r>
      <w:r w:rsidR="00DD3C9A">
        <w:rPr>
          <w:b/>
          <w:bCs/>
        </w:rPr>
        <w:t xml:space="preserve">: </w:t>
      </w:r>
      <w:r>
        <w:t xml:space="preserve">Sites of heavy stock use </w:t>
      </w:r>
      <w:r w:rsidR="004A1B52">
        <w:t xml:space="preserve">that </w:t>
      </w:r>
      <w:r>
        <w:t>are compacted or pugged (</w:t>
      </w:r>
      <w:r w:rsidR="003B0999">
        <w:t>eg</w:t>
      </w:r>
      <w:r>
        <w:t>, troughs, gates, livestock camps and tracks) have high concentrations of nutrients and low infiltration rates.</w:t>
      </w:r>
    </w:p>
    <w:p w14:paraId="15F0C7A9" w14:textId="21F006B6" w:rsidR="00142D51" w:rsidRDefault="00142D51">
      <w:pPr>
        <w:pStyle w:val="Bullet"/>
      </w:pPr>
      <w:r w:rsidRPr="00B76EA8">
        <w:rPr>
          <w:b/>
          <w:bCs/>
        </w:rPr>
        <w:t>Farm machinery tracks</w:t>
      </w:r>
      <w:r w:rsidR="00DD3C9A">
        <w:rPr>
          <w:b/>
          <w:bCs/>
        </w:rPr>
        <w:t xml:space="preserve">: </w:t>
      </w:r>
      <w:r w:rsidR="004A1B52" w:rsidRPr="007A4BF9">
        <w:t>These</w:t>
      </w:r>
      <w:r>
        <w:t xml:space="preserve"> are often compacted, unvegetated areas that are at high risk of </w:t>
      </w:r>
      <w:r w:rsidR="003B0999">
        <w:t>run-off</w:t>
      </w:r>
      <w:r>
        <w:t>, especially when aligned up and down a slope.</w:t>
      </w:r>
    </w:p>
    <w:p w14:paraId="209D547E" w14:textId="7945186F" w:rsidR="00E206B0" w:rsidRDefault="00142D51">
      <w:pPr>
        <w:pStyle w:val="Bullet"/>
        <w:keepLines/>
        <w:spacing w:after="240"/>
      </w:pPr>
      <w:r w:rsidRPr="00E068F6">
        <w:rPr>
          <w:b/>
          <w:bCs/>
        </w:rPr>
        <w:t>Surface drainage ditches</w:t>
      </w:r>
      <w:r w:rsidR="00DD3C9A">
        <w:rPr>
          <w:b/>
          <w:bCs/>
        </w:rPr>
        <w:t xml:space="preserve">: </w:t>
      </w:r>
      <w:r w:rsidR="00E068F6">
        <w:t>D</w:t>
      </w:r>
      <w:r>
        <w:t xml:space="preserve">rainage ditches that usually run perpendicular to the slope can act as a major conduit of agricultural contaminants (sediments, nutrients and faecal material) to receiving water bodies (Nguyen and Sukias, 2002; Moloney </w:t>
      </w:r>
      <w:r w:rsidR="003B0999">
        <w:t>et al,</w:t>
      </w:r>
      <w:r>
        <w:t xml:space="preserve"> 2020).</w:t>
      </w:r>
      <w:r w:rsidR="00F7093A">
        <w:t xml:space="preserve"> </w:t>
      </w:r>
    </w:p>
    <w:p w14:paraId="1723B849" w14:textId="59F76DDF" w:rsidR="00142D51" w:rsidRDefault="00E206B0" w:rsidP="00F7093A">
      <w:pPr>
        <w:pStyle w:val="Heading2"/>
        <w:keepLines/>
        <w:spacing w:after="240"/>
      </w:pPr>
      <w:bookmarkStart w:id="26" w:name="_Toc129957930"/>
      <w:r>
        <w:lastRenderedPageBreak/>
        <w:t>6.2</w:t>
      </w:r>
      <w:r w:rsidR="00E068F6">
        <w:tab/>
      </w:r>
      <w:r w:rsidR="00142D51">
        <w:t xml:space="preserve">Managing </w:t>
      </w:r>
      <w:r w:rsidR="00DF551B">
        <w:t>critical source area</w:t>
      </w:r>
      <w:r w:rsidR="00142D51">
        <w:t>s</w:t>
      </w:r>
      <w:bookmarkEnd w:id="26"/>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B76EA8" w14:paraId="51F5EDAD" w14:textId="77777777">
        <w:tc>
          <w:tcPr>
            <w:tcW w:w="0" w:type="auto"/>
            <w:shd w:val="clear" w:color="auto" w:fill="D2DDE2"/>
          </w:tcPr>
          <w:p w14:paraId="208EF3DF" w14:textId="77777777" w:rsidR="00B76EA8" w:rsidRPr="00345928" w:rsidRDefault="00B76EA8" w:rsidP="00F7093A">
            <w:pPr>
              <w:pStyle w:val="Boxheading0"/>
              <w:keepLines/>
            </w:pPr>
            <w:r>
              <w:t>Key points</w:t>
            </w:r>
          </w:p>
          <w:p w14:paraId="0900B9A4" w14:textId="137ABDAC" w:rsidR="00B76EA8" w:rsidRDefault="00B76EA8" w:rsidP="00507DCF">
            <w:pPr>
              <w:pStyle w:val="Boxbullet"/>
              <w:keepNext/>
              <w:keepLines/>
              <w:spacing w:before="120"/>
            </w:pPr>
            <w:r>
              <w:t>Planning and preparation</w:t>
            </w:r>
            <w:r w:rsidR="004A1B52">
              <w:t>,</w:t>
            </w:r>
            <w:r>
              <w:t xml:space="preserve"> </w:t>
            </w:r>
            <w:r w:rsidR="004A1B52">
              <w:t>before</w:t>
            </w:r>
            <w:r>
              <w:t xml:space="preserve"> the </w:t>
            </w:r>
            <w:r w:rsidR="004A1B52">
              <w:t xml:space="preserve">start of the </w:t>
            </w:r>
            <w:r>
              <w:t xml:space="preserve">IWG period on 1 May, includes </w:t>
            </w:r>
            <w:r w:rsidR="004A1B52">
              <w:t>considering</w:t>
            </w:r>
            <w:r>
              <w:t xml:space="preserve"> site factors like slope and soil type, along with the proximity of IWG to waterways and </w:t>
            </w:r>
            <w:r w:rsidR="00DF551B">
              <w:t>critical source area</w:t>
            </w:r>
            <w:r>
              <w:t>s, to select appropriate locations for grazed winter forage crops.</w:t>
            </w:r>
          </w:p>
          <w:p w14:paraId="7BDE7DB3" w14:textId="33CB2E3A" w:rsidR="00B76EA8" w:rsidRDefault="00B76EA8" w:rsidP="00F7093A">
            <w:pPr>
              <w:pStyle w:val="Boxbullet"/>
              <w:keepNext/>
              <w:keepLines/>
            </w:pPr>
            <w:r>
              <w:t xml:space="preserve">Protecting and fencing off </w:t>
            </w:r>
            <w:r w:rsidR="00DF551B">
              <w:t>critical source area</w:t>
            </w:r>
            <w:r>
              <w:t xml:space="preserve">s and waterways should be considered </w:t>
            </w:r>
            <w:r w:rsidR="004A1B52">
              <w:t>before intensive winter grazing.</w:t>
            </w:r>
            <w:r>
              <w:t xml:space="preserve"> Cultivation methods will also reduce the risk of contaminant loss from grazed winter forage crops. </w:t>
            </w:r>
          </w:p>
          <w:p w14:paraId="218933EA" w14:textId="77A933D7" w:rsidR="00B76EA8" w:rsidRDefault="00B76EA8" w:rsidP="00F7093A">
            <w:pPr>
              <w:pStyle w:val="Boxbullet"/>
              <w:keepNext/>
              <w:keepLines/>
            </w:pPr>
            <w:r>
              <w:t xml:space="preserve">During </w:t>
            </w:r>
            <w:r w:rsidR="004A1B52">
              <w:t>intensive winter grazing</w:t>
            </w:r>
            <w:r>
              <w:t xml:space="preserve"> from 1 May to 30 September, there must be some form of vegetation covering the </w:t>
            </w:r>
            <w:r w:rsidR="00DF551B">
              <w:t>critical source area</w:t>
            </w:r>
            <w:r>
              <w:t xml:space="preserve">, and livestock must be excluded from </w:t>
            </w:r>
            <w:r w:rsidR="00DF551B">
              <w:t>critical source area</w:t>
            </w:r>
            <w:r>
              <w:t xml:space="preserve">s. A buffer around a </w:t>
            </w:r>
            <w:r w:rsidR="00DF551B">
              <w:t>critical source area</w:t>
            </w:r>
            <w:r>
              <w:t xml:space="preserve"> acts as a filter to trap sediment from cultivated areas and slow surface </w:t>
            </w:r>
            <w:r w:rsidR="003B0999">
              <w:t>run-off</w:t>
            </w:r>
            <w:r>
              <w:t xml:space="preserve"> before it reaches the </w:t>
            </w:r>
            <w:r w:rsidR="00DF551B">
              <w:t>critical source area</w:t>
            </w:r>
            <w:r>
              <w:t>.</w:t>
            </w:r>
          </w:p>
          <w:p w14:paraId="16B5A7E0" w14:textId="3136B1F9" w:rsidR="00B76EA8" w:rsidRPr="00484C12" w:rsidRDefault="00B76EA8" w:rsidP="00F7093A">
            <w:pPr>
              <w:pStyle w:val="Boxbullet"/>
              <w:keepNext/>
              <w:keepLines/>
            </w:pPr>
            <w:r>
              <w:t xml:space="preserve">Appropriate paddock selection for grazed winter cropping can be an effective way of minimising the risk of surface </w:t>
            </w:r>
            <w:r w:rsidR="003B0999">
              <w:t>run-off</w:t>
            </w:r>
            <w:r>
              <w:t xml:space="preserve"> and associated contaminant transport.</w:t>
            </w:r>
          </w:p>
        </w:tc>
      </w:tr>
    </w:tbl>
    <w:p w14:paraId="4FA05071" w14:textId="77777777" w:rsidR="00142D51" w:rsidRDefault="00142D51" w:rsidP="00B76EA8">
      <w:pPr>
        <w:pStyle w:val="Heading3"/>
      </w:pPr>
      <w:bookmarkStart w:id="27" w:name="_Toc129957931"/>
      <w:r>
        <w:t>6.2.1</w:t>
      </w:r>
      <w:r>
        <w:tab/>
        <w:t>Management before winter grazing</w:t>
      </w:r>
      <w:bookmarkEnd w:id="27"/>
      <w:r>
        <w:t xml:space="preserve"> </w:t>
      </w:r>
    </w:p>
    <w:p w14:paraId="543AD42B" w14:textId="5976A558" w:rsidR="00142D51" w:rsidRDefault="004A1B52" w:rsidP="00142D51">
      <w:pPr>
        <w:pStyle w:val="BodyText"/>
      </w:pPr>
      <w:r>
        <w:t>Permitted activity conditions for c</w:t>
      </w:r>
      <w:r w:rsidR="00DF551B">
        <w:t>ritical source are</w:t>
      </w:r>
      <w:r>
        <w:t>as</w:t>
      </w:r>
      <w:r w:rsidR="00142D51">
        <w:t xml:space="preserve"> </w:t>
      </w:r>
      <w:r>
        <w:t>during</w:t>
      </w:r>
      <w:r w:rsidR="00142D51">
        <w:t xml:space="preserve"> </w:t>
      </w:r>
      <w:r w:rsidR="00DF551B">
        <w:t xml:space="preserve">intensive winter grazing </w:t>
      </w:r>
      <w:r w:rsidR="00142D51">
        <w:t xml:space="preserve">relevant to the planning and preparation stage </w:t>
      </w:r>
      <w:r w:rsidR="00DF551B">
        <w:t>before</w:t>
      </w:r>
      <w:r w:rsidR="00142D51">
        <w:t xml:space="preserve"> 1 May</w:t>
      </w:r>
      <w:r>
        <w:t xml:space="preserve"> are</w:t>
      </w:r>
      <w:r w:rsidR="00142D51">
        <w:t xml:space="preserve">: </w:t>
      </w:r>
    </w:p>
    <w:p w14:paraId="6FEA5CA5" w14:textId="7F964766" w:rsidR="00142D51" w:rsidRDefault="00142D51" w:rsidP="00B76EA8">
      <w:pPr>
        <w:pStyle w:val="Bullet"/>
      </w:pPr>
      <w:r w:rsidRPr="004A17FE">
        <w:rPr>
          <w:b/>
          <w:bCs/>
        </w:rPr>
        <w:t xml:space="preserve">Slope: </w:t>
      </w:r>
      <w:r>
        <w:t>The slope of any land under an annual forage crop that is used for IWG must be 10</w:t>
      </w:r>
      <w:r w:rsidR="00B540D7">
        <w:t> </w:t>
      </w:r>
      <w:r>
        <w:t>degrees or less, determined by measuring the slope over any 20</w:t>
      </w:r>
      <w:r w:rsidR="004A1B52">
        <w:t>-</w:t>
      </w:r>
      <w:r>
        <w:t>m</w:t>
      </w:r>
      <w:r w:rsidR="004A1B52">
        <w:t>etre</w:t>
      </w:r>
      <w:r>
        <w:t xml:space="preserve"> distance of the land. Any areas of land that are at or below the slope threshold of 10 degrees can be used for IWG.</w:t>
      </w:r>
    </w:p>
    <w:p w14:paraId="0CF11CC8" w14:textId="421AC6EE" w:rsidR="00142D51" w:rsidRDefault="00142D51" w:rsidP="00B76EA8">
      <w:pPr>
        <w:pStyle w:val="Bullet"/>
      </w:pPr>
      <w:r w:rsidRPr="004A17FE">
        <w:rPr>
          <w:b/>
          <w:bCs/>
        </w:rPr>
        <w:t>Waterways:</w:t>
      </w:r>
      <w:r>
        <w:t xml:space="preserve"> Livestock must be kept at least 5 m</w:t>
      </w:r>
      <w:r w:rsidR="004A1B52">
        <w:t>etres</w:t>
      </w:r>
      <w:r>
        <w:t xml:space="preserve"> away from the bed of any river, lake, wetland or drain. Selecting paddocks well away from any waterways will minimise the risk of contamination impacting water quality, and the need for additional fencing.</w:t>
      </w:r>
    </w:p>
    <w:p w14:paraId="18E9DB6E" w14:textId="184E80C4" w:rsidR="00142D51" w:rsidRDefault="00142D51" w:rsidP="00142D51">
      <w:pPr>
        <w:pStyle w:val="BodyText"/>
      </w:pPr>
      <w:r>
        <w:t xml:space="preserve">Other good management practices to consider during the planning and preparation stage </w:t>
      </w:r>
      <w:r w:rsidR="004A1B52">
        <w:t>are as follows.</w:t>
      </w:r>
      <w:r>
        <w:t xml:space="preserve"> </w:t>
      </w:r>
    </w:p>
    <w:p w14:paraId="5E93DC55" w14:textId="77777777" w:rsidR="00142D51" w:rsidRDefault="00142D51" w:rsidP="00EF4284">
      <w:pPr>
        <w:pStyle w:val="Heading4"/>
        <w:spacing w:after="120"/>
      </w:pPr>
      <w:r>
        <w:t xml:space="preserve">Paddock selection </w:t>
      </w:r>
    </w:p>
    <w:p w14:paraId="69788CC2" w14:textId="1823A884" w:rsidR="00142D51" w:rsidRDefault="00142D51" w:rsidP="005F0E07">
      <w:pPr>
        <w:pStyle w:val="Bullet"/>
      </w:pPr>
      <w:r w:rsidRPr="004A17FE">
        <w:rPr>
          <w:b/>
          <w:bCs/>
        </w:rPr>
        <w:t>Heavy soils:</w:t>
      </w:r>
      <w:r>
        <w:t xml:space="preserve"> Heavy or poorly drained soils are at greater risk of pugging, compaction and structural damage, and increased surface </w:t>
      </w:r>
      <w:r w:rsidR="003B0999">
        <w:t>run-off</w:t>
      </w:r>
      <w:r>
        <w:t xml:space="preserve"> due to winter grazing (Drewry </w:t>
      </w:r>
      <w:r w:rsidR="003B0999">
        <w:t>et al,</w:t>
      </w:r>
      <w:r>
        <w:t xml:space="preserve"> 2008). Therefore, on heavy soils IWG should be on the flattest areas of the farm to minimise surface </w:t>
      </w:r>
      <w:r w:rsidR="003B0999">
        <w:t>run-off</w:t>
      </w:r>
      <w:r>
        <w:t xml:space="preserve"> and associated contaminant transport. Buffer areas around </w:t>
      </w:r>
      <w:r w:rsidR="004A1B52">
        <w:t>critical source area</w:t>
      </w:r>
      <w:r>
        <w:t xml:space="preserve">s on rolling, heavy soils will need to be larger to account for the increased surface </w:t>
      </w:r>
      <w:r w:rsidR="003B0999">
        <w:t>run-off</w:t>
      </w:r>
      <w:r>
        <w:t xml:space="preserve"> (see case studies 1 and 4 in </w:t>
      </w:r>
      <w:hyperlink w:anchor="_7.2_Case_studies" w:history="1">
        <w:r w:rsidRPr="00C00572">
          <w:rPr>
            <w:rStyle w:val="Hyperlink"/>
          </w:rPr>
          <w:t>section 7.2</w:t>
        </w:r>
      </w:hyperlink>
      <w:r>
        <w:t>).</w:t>
      </w:r>
    </w:p>
    <w:p w14:paraId="50BCCD2F" w14:textId="799AB280" w:rsidR="00142D51" w:rsidRDefault="00142D51" w:rsidP="005F0E07">
      <w:pPr>
        <w:pStyle w:val="Bullet"/>
      </w:pPr>
      <w:r w:rsidRPr="004A17FE">
        <w:rPr>
          <w:b/>
          <w:bCs/>
        </w:rPr>
        <w:t>Light soils:</w:t>
      </w:r>
      <w:r>
        <w:t xml:space="preserve"> Lighter or more freely draining soils are at less risk of producing surface </w:t>
      </w:r>
      <w:r w:rsidR="003B0999">
        <w:t>run-off</w:t>
      </w:r>
      <w:r>
        <w:t xml:space="preserve">. However, lighter soils may pose a risk of increased nitrogen leaching (Malcom </w:t>
      </w:r>
      <w:r w:rsidR="003B0999">
        <w:t>et al,</w:t>
      </w:r>
      <w:r>
        <w:t xml:space="preserve"> 2022). If the farm is in a nitrogen sensitive catchment, selecting a paddock with less free-draining soil will reduce the risk of nitrogen leaching.</w:t>
      </w:r>
    </w:p>
    <w:p w14:paraId="761874B0" w14:textId="3645DA71" w:rsidR="00142D51" w:rsidRDefault="00DF551B" w:rsidP="00A36697">
      <w:pPr>
        <w:pStyle w:val="Heading4"/>
        <w:keepLines/>
        <w:spacing w:after="120"/>
      </w:pPr>
      <w:r>
        <w:lastRenderedPageBreak/>
        <w:t>Critical source area</w:t>
      </w:r>
      <w:r w:rsidR="00142D51">
        <w:t xml:space="preserve"> </w:t>
      </w:r>
      <w:r>
        <w:t>p</w:t>
      </w:r>
      <w:r w:rsidR="00142D51">
        <w:t>rotection</w:t>
      </w:r>
    </w:p>
    <w:p w14:paraId="2341845E" w14:textId="5113164B" w:rsidR="00142D51" w:rsidRDefault="00142D51" w:rsidP="00310E94">
      <w:pPr>
        <w:pStyle w:val="Bullet"/>
        <w:keepNext/>
        <w:keepLines/>
      </w:pPr>
      <w:r w:rsidRPr="004A17FE">
        <w:rPr>
          <w:b/>
          <w:bCs/>
        </w:rPr>
        <w:t>Fencing:</w:t>
      </w:r>
      <w:r>
        <w:t xml:space="preserve"> Livestock grazing </w:t>
      </w:r>
      <w:r w:rsidR="00DF551B">
        <w:t>critical source area</w:t>
      </w:r>
      <w:r>
        <w:t xml:space="preserve">s risks soil damage and direct deposition of dung and urine. This risk is minimised by excluding livestock from </w:t>
      </w:r>
      <w:r w:rsidR="00DF551B">
        <w:t>critical source area</w:t>
      </w:r>
      <w:r>
        <w:t xml:space="preserve">s with either a temporary or permanent fence. Ideally, the </w:t>
      </w:r>
      <w:r w:rsidR="00DF551B">
        <w:t>critical source area</w:t>
      </w:r>
      <w:r>
        <w:t xml:space="preserve"> should be permanently </w:t>
      </w:r>
      <w:r w:rsidR="004A1B52">
        <w:t xml:space="preserve">removed </w:t>
      </w:r>
      <w:r>
        <w:t>from production with a permanent fence. However, if the area is to be sown in crop</w:t>
      </w:r>
      <w:r w:rsidR="004A1B52">
        <w:t>s</w:t>
      </w:r>
      <w:r>
        <w:t xml:space="preserve"> and grazed outside the winter grazing period, a temporary fence is appropriate.</w:t>
      </w:r>
    </w:p>
    <w:p w14:paraId="237FCA84" w14:textId="63AEEC21" w:rsidR="00142D51" w:rsidRDefault="00142D51" w:rsidP="005F0E07">
      <w:pPr>
        <w:pStyle w:val="Bullet"/>
      </w:pPr>
      <w:r w:rsidRPr="004A17FE">
        <w:rPr>
          <w:b/>
          <w:bCs/>
        </w:rPr>
        <w:t>Traffic:</w:t>
      </w:r>
      <w:r>
        <w:t xml:space="preserve"> Machinery and stock access points are compacted areas frequently trafficked by vehicles or animals and can become muddy during winter, posing a significant risk of contaminant mobilisation (see case study 2 in </w:t>
      </w:r>
      <w:hyperlink w:anchor="_7.2_Case_studies" w:history="1">
        <w:r w:rsidRPr="00C00572">
          <w:rPr>
            <w:rStyle w:val="Hyperlink"/>
          </w:rPr>
          <w:t>section 7.2</w:t>
        </w:r>
      </w:hyperlink>
      <w:r>
        <w:t xml:space="preserve">). Therefore, </w:t>
      </w:r>
      <w:r w:rsidR="004A1B52">
        <w:t xml:space="preserve">intensive winter grazing </w:t>
      </w:r>
      <w:r>
        <w:t xml:space="preserve">should be located safely away from these points to minimise the risk of surface </w:t>
      </w:r>
      <w:r w:rsidR="003B0999">
        <w:t>run-off</w:t>
      </w:r>
      <w:r>
        <w:t xml:space="preserve"> from these mobilisation areas. </w:t>
      </w:r>
    </w:p>
    <w:p w14:paraId="7888DE8D" w14:textId="5056A5C4" w:rsidR="00142D51" w:rsidRDefault="00142D51" w:rsidP="005F0E07">
      <w:pPr>
        <w:pStyle w:val="Bullet"/>
      </w:pPr>
      <w:r w:rsidRPr="004A17FE">
        <w:rPr>
          <w:b/>
          <w:bCs/>
        </w:rPr>
        <w:t>Vegetation cover:</w:t>
      </w:r>
      <w:r>
        <w:t xml:space="preserve"> Bare, unprotected soil is at risk of sediment loss, especially in </w:t>
      </w:r>
      <w:r w:rsidR="00DF551B">
        <w:t>critical source area</w:t>
      </w:r>
      <w:r>
        <w:t>s during winter. Therefore, leading into autumn, effort</w:t>
      </w:r>
      <w:r w:rsidR="004A1B52">
        <w:t>s</w:t>
      </w:r>
      <w:r>
        <w:t xml:space="preserve"> should be made to establish and maintain vegetation cover in </w:t>
      </w:r>
      <w:r w:rsidR="00DF551B">
        <w:t>critical source area</w:t>
      </w:r>
      <w:r>
        <w:t xml:space="preserve">s ahead of the </w:t>
      </w:r>
      <w:r w:rsidR="004A1B52">
        <w:t xml:space="preserve">intensive winter grazing </w:t>
      </w:r>
      <w:r>
        <w:t>period, although this will be difficult in gullies.</w:t>
      </w:r>
    </w:p>
    <w:p w14:paraId="35CEB4B2" w14:textId="21D078D2" w:rsidR="00142D51" w:rsidRDefault="00142D51" w:rsidP="00DF27A1">
      <w:pPr>
        <w:pStyle w:val="Bullet"/>
        <w:spacing w:after="240"/>
      </w:pPr>
      <w:r w:rsidRPr="004A17FE">
        <w:rPr>
          <w:b/>
          <w:bCs/>
        </w:rPr>
        <w:t>Vegetated buffers:</w:t>
      </w:r>
      <w:r>
        <w:t xml:space="preserve"> A buffer around a </w:t>
      </w:r>
      <w:r w:rsidR="00DF551B">
        <w:t>critical source area</w:t>
      </w:r>
      <w:r>
        <w:t xml:space="preserve"> acts as a filter to trap sediment running off cultivated areas and reduces contaminant loads before they reach the </w:t>
      </w:r>
      <w:r w:rsidR="00DF551B">
        <w:t>critical source area</w:t>
      </w:r>
      <w:r>
        <w:t xml:space="preserve"> (</w:t>
      </w:r>
      <w:r w:rsidR="004A1B52">
        <w:t xml:space="preserve">see </w:t>
      </w:r>
      <w:hyperlink w:anchor="Box3" w:history="1">
        <w:r w:rsidR="004A1B52" w:rsidRPr="00C00572">
          <w:rPr>
            <w:rStyle w:val="Hyperlink"/>
          </w:rPr>
          <w:t>b</w:t>
        </w:r>
        <w:r w:rsidRPr="00C00572">
          <w:rPr>
            <w:rStyle w:val="Hyperlink"/>
          </w:rPr>
          <w:t>ox 3</w:t>
        </w:r>
      </w:hyperlink>
      <w:r>
        <w:t xml:space="preserve">). The optimal buffer width required for nutrient and sediment removal can be highly variable (Zhang </w:t>
      </w:r>
      <w:r w:rsidR="003B0999">
        <w:t>et al,</w:t>
      </w:r>
      <w:r>
        <w:t xml:space="preserve"> 2010). In general, wider buffers are needed on steeper farms and poorly draining soils because these all tend to generate fast</w:t>
      </w:r>
      <w:r w:rsidR="004A1B52">
        <w:t>-</w:t>
      </w:r>
      <w:r>
        <w:t xml:space="preserve">flowing surface </w:t>
      </w:r>
      <w:r w:rsidR="003B0999">
        <w:t>run-off</w:t>
      </w:r>
      <w:r>
        <w:t xml:space="preserve">. Concentrated flow of surface </w:t>
      </w:r>
      <w:r w:rsidR="003B0999">
        <w:t>run-off</w:t>
      </w:r>
      <w:r>
        <w:t xml:space="preserve"> from agricultural fields may limit the capability of buffer strips to remove contaminants (Dosskey </w:t>
      </w:r>
      <w:r w:rsidR="003B0999">
        <w:t>et al,</w:t>
      </w:r>
      <w:r>
        <w:t xml:space="preserve"> 2002). In such situations, performance may be boosted by simply redistributing the buffer area, </w:t>
      </w:r>
      <w:r w:rsidR="003B0999">
        <w:t>ie,</w:t>
      </w:r>
      <w:r>
        <w:t xml:space="preserve"> creating a larger buffer area where there is greater </w:t>
      </w:r>
      <w:r w:rsidR="003B0999">
        <w:t>run-off</w:t>
      </w:r>
      <w:r>
        <w:t xml:space="preserve"> load, or a smaller buffer area where the </w:t>
      </w:r>
      <w:r w:rsidR="003B0999">
        <w:t>run-off</w:t>
      </w:r>
      <w:r>
        <w:t xml:space="preserve"> load is less (Dosskey </w:t>
      </w:r>
      <w:r w:rsidR="003B0999">
        <w:t>et al,</w:t>
      </w:r>
      <w:r>
        <w:t xml:space="preserve"> 2005).</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DF27A1" w14:paraId="66634580" w14:textId="77777777">
        <w:tc>
          <w:tcPr>
            <w:tcW w:w="0" w:type="auto"/>
            <w:shd w:val="clear" w:color="auto" w:fill="D2DDE2"/>
          </w:tcPr>
          <w:p w14:paraId="10BF9B63" w14:textId="4A9C9588" w:rsidR="00DF27A1" w:rsidRPr="00345928" w:rsidRDefault="00997A9B" w:rsidP="00310E94">
            <w:pPr>
              <w:pStyle w:val="Boxheading0"/>
              <w:keepNext w:val="0"/>
            </w:pPr>
            <w:bookmarkStart w:id="28" w:name="Box3"/>
            <w:r w:rsidRPr="003F4436">
              <w:t>Box 3</w:t>
            </w:r>
            <w:bookmarkEnd w:id="28"/>
            <w:r w:rsidRPr="003F4436">
              <w:t xml:space="preserve">: What is a </w:t>
            </w:r>
            <w:r w:rsidR="004A1B52" w:rsidRPr="003F4436">
              <w:t>‘</w:t>
            </w:r>
            <w:r w:rsidRPr="003F4436">
              <w:t>buffer</w:t>
            </w:r>
            <w:r w:rsidR="004A1B52" w:rsidRPr="003F4436">
              <w:t>’</w:t>
            </w:r>
            <w:r w:rsidRPr="003F4436">
              <w:t>?</w:t>
            </w:r>
          </w:p>
          <w:p w14:paraId="6A86E900" w14:textId="204264FB" w:rsidR="00B04D6B" w:rsidRDefault="003F4436" w:rsidP="00310E94">
            <w:pPr>
              <w:pStyle w:val="Boxtext"/>
            </w:pPr>
            <w:r>
              <w:t>In this context of this guidance, a</w:t>
            </w:r>
            <w:r w:rsidR="00B04D6B">
              <w:t xml:space="preserve"> buffer</w:t>
            </w:r>
            <w:r>
              <w:t xml:space="preserve"> </w:t>
            </w:r>
            <w:r w:rsidR="00B04D6B">
              <w:t xml:space="preserve">is the strip of land that surrounds a </w:t>
            </w:r>
            <w:r w:rsidR="00DF551B">
              <w:t>critical source area</w:t>
            </w:r>
            <w:r w:rsidR="00B04D6B">
              <w:t xml:space="preserve"> (</w:t>
            </w:r>
            <w:hyperlink w:anchor="Figure2" w:history="1">
              <w:r w:rsidRPr="00C00572">
                <w:rPr>
                  <w:rStyle w:val="Hyperlink"/>
                  <w:rFonts w:cstheme="minorBidi"/>
                  <w:szCs w:val="22"/>
                </w:rPr>
                <w:t>f</w:t>
              </w:r>
              <w:r w:rsidR="00B04D6B" w:rsidRPr="00C00572">
                <w:rPr>
                  <w:rStyle w:val="Hyperlink"/>
                </w:rPr>
                <w:t>igure 2</w:t>
              </w:r>
            </w:hyperlink>
            <w:r w:rsidR="00B04D6B">
              <w:t xml:space="preserve">), where the land-use activity is modified to prevent adverse effects on water quality (cf Parkyn </w:t>
            </w:r>
            <w:r w:rsidR="003B0999">
              <w:t>et al,</w:t>
            </w:r>
            <w:r w:rsidR="00B04D6B">
              <w:t xml:space="preserve"> 2000). </w:t>
            </w:r>
            <w:r>
              <w:t>Buffers use</w:t>
            </w:r>
            <w:r w:rsidR="00B04D6B">
              <w:t xml:space="preserve"> vegetation to slow water movement and enhance the removal of sediment, nutrients and faecal microorganisms from surface water </w:t>
            </w:r>
            <w:r w:rsidR="003B0999">
              <w:t>run-off</w:t>
            </w:r>
            <w:r w:rsidR="00B04D6B">
              <w:t xml:space="preserve"> through filtration, deposition, adsorption and infiltration (Dillaha </w:t>
            </w:r>
            <w:r w:rsidR="003B0999">
              <w:t>et al,</w:t>
            </w:r>
            <w:r w:rsidR="00B04D6B">
              <w:t xml:space="preserve"> 1989).</w:t>
            </w:r>
          </w:p>
          <w:p w14:paraId="54A5A786" w14:textId="6B86E06B" w:rsidR="00B04D6B" w:rsidRDefault="00B04D6B" w:rsidP="00310E94">
            <w:pPr>
              <w:pStyle w:val="Boxtext"/>
            </w:pPr>
            <w:r>
              <w:t xml:space="preserve">New Zealand examples of vegetated buffers show benefits such as improved soil infiltration capacity (Cooper </w:t>
            </w:r>
            <w:r w:rsidR="003B0999">
              <w:t>et al,</w:t>
            </w:r>
            <w:r>
              <w:t xml:space="preserve"> 1995), reduced sediment and nutrient concentration in surface </w:t>
            </w:r>
            <w:r w:rsidR="003B0999">
              <w:t>run-off</w:t>
            </w:r>
            <w:r>
              <w:t xml:space="preserve"> entering the waterways (Smith, 1989) and elevated faecal microbe retention (Collins </w:t>
            </w:r>
            <w:r w:rsidR="003B0999">
              <w:t>et al,</w:t>
            </w:r>
            <w:r>
              <w:t xml:space="preserve"> 2004). Our literature review found very few studies relate to buffer widths for specific land uses or management. A meta-analysis </w:t>
            </w:r>
            <w:r w:rsidR="003F4436">
              <w:t xml:space="preserve">by Zhang et al (2010) </w:t>
            </w:r>
            <w:r>
              <w:t xml:space="preserve">of </w:t>
            </w:r>
            <w:r w:rsidR="003F4436">
              <w:t>how efficient</w:t>
            </w:r>
            <w:r>
              <w:t xml:space="preserve"> vegetated buffers </w:t>
            </w:r>
            <w:r w:rsidR="003F4436">
              <w:t>are in mitigating adverse effects on water quality (f</w:t>
            </w:r>
            <w:r>
              <w:t>igure 3) has been widely cited as a source of data on buffer widths, including in the Government’s Action for Healthy Waterways (Essential Freshwater) decisions (</w:t>
            </w:r>
            <w:r w:rsidR="003B0999">
              <w:t>Ministry for the Environment</w:t>
            </w:r>
            <w:r>
              <w:t xml:space="preserve">, 2020). </w:t>
            </w:r>
          </w:p>
          <w:p w14:paraId="19A195BA" w14:textId="7C68D56A" w:rsidR="00DF27A1" w:rsidRDefault="00B04D6B" w:rsidP="00310E94">
            <w:pPr>
              <w:pStyle w:val="Boxtext"/>
            </w:pPr>
            <w:r>
              <w:t xml:space="preserve">Despite wide data scatter, the meta-analysis shows that for a land slope </w:t>
            </w:r>
            <w:r w:rsidR="003F4436">
              <w:t xml:space="preserve">less than </w:t>
            </w:r>
            <w:r>
              <w:t>10 degree</w:t>
            </w:r>
            <w:r w:rsidR="003F4436">
              <w:t>s</w:t>
            </w:r>
            <w:r>
              <w:t>, a buffer width of 5 m</w:t>
            </w:r>
            <w:r w:rsidR="003F4436">
              <w:t>etres</w:t>
            </w:r>
            <w:r>
              <w:t xml:space="preserve"> can potentially remove </w:t>
            </w:r>
            <w:r w:rsidR="003F4436">
              <w:t xml:space="preserve">more than </w:t>
            </w:r>
            <w:r>
              <w:t>60</w:t>
            </w:r>
            <w:r w:rsidR="00323C49">
              <w:t xml:space="preserve"> per cent</w:t>
            </w:r>
            <w:r>
              <w:t xml:space="preserve"> </w:t>
            </w:r>
            <w:r w:rsidR="003F4436">
              <w:t xml:space="preserve">of </w:t>
            </w:r>
            <w:r>
              <w:t xml:space="preserve">sediment and </w:t>
            </w:r>
            <w:r w:rsidR="003F4436">
              <w:t xml:space="preserve">less than </w:t>
            </w:r>
            <w:r>
              <w:t>50</w:t>
            </w:r>
            <w:r w:rsidR="00323C49">
              <w:t xml:space="preserve"> per cent</w:t>
            </w:r>
            <w:r>
              <w:t xml:space="preserve"> </w:t>
            </w:r>
            <w:r w:rsidR="003F4436">
              <w:t xml:space="preserve">of </w:t>
            </w:r>
            <w:r>
              <w:t xml:space="preserve">nitrogen and phosphorus in surface </w:t>
            </w:r>
            <w:r w:rsidR="003B0999">
              <w:t>run-off</w:t>
            </w:r>
            <w:r>
              <w:t xml:space="preserve"> (</w:t>
            </w:r>
            <w:hyperlink w:anchor="Figure3" w:history="1">
              <w:r w:rsidR="003F4436" w:rsidRPr="00001E3C">
                <w:rPr>
                  <w:rStyle w:val="Hyperlink"/>
                  <w:rFonts w:cstheme="minorBidi"/>
                  <w:szCs w:val="22"/>
                </w:rPr>
                <w:t>f</w:t>
              </w:r>
              <w:r w:rsidRPr="00001E3C">
                <w:rPr>
                  <w:rStyle w:val="Hyperlink"/>
                </w:rPr>
                <w:t>igure 3</w:t>
              </w:r>
            </w:hyperlink>
            <w:r>
              <w:t xml:space="preserve">). In all cases, the </w:t>
            </w:r>
            <w:r w:rsidR="003F4436">
              <w:t xml:space="preserve">ability of the buffer to remove contaminants and sediment </w:t>
            </w:r>
            <w:r>
              <w:t xml:space="preserve">increases quickly </w:t>
            </w:r>
            <w:r w:rsidR="003F4436">
              <w:t>as it gets wider</w:t>
            </w:r>
            <w:r>
              <w:t xml:space="preserve"> </w:t>
            </w:r>
            <w:r w:rsidR="003F4436">
              <w:t>with this rate of increase slowing</w:t>
            </w:r>
            <w:r>
              <w:t xml:space="preserve"> as the </w:t>
            </w:r>
            <w:r w:rsidR="003F4436">
              <w:t>buffer width increases</w:t>
            </w:r>
            <w:r>
              <w:t xml:space="preserve"> until the </w:t>
            </w:r>
            <w:r w:rsidR="003F4436">
              <w:t xml:space="preserve">effectiveness </w:t>
            </w:r>
            <w:r>
              <w:t xml:space="preserve">approaches a maximum value. Note, this meta-analysis was not considered in the context of IWG areas where contaminant </w:t>
            </w:r>
            <w:r w:rsidR="003B0999">
              <w:t>run-off</w:t>
            </w:r>
            <w:r>
              <w:t xml:space="preserve"> is typically higher than in areas of grazed pasture.</w:t>
            </w:r>
          </w:p>
          <w:p w14:paraId="19CFEE75" w14:textId="6A5A48BD" w:rsidR="009C0229" w:rsidRPr="00120463" w:rsidRDefault="009C0229" w:rsidP="00310E94">
            <w:pPr>
              <w:pStyle w:val="Figureheading"/>
              <w:keepNext w:val="0"/>
              <w:ind w:hanging="833"/>
              <w:rPr>
                <w:color w:val="1B556B"/>
              </w:rPr>
            </w:pPr>
            <w:bookmarkStart w:id="29" w:name="Figure2"/>
            <w:bookmarkStart w:id="30" w:name="_Toc129957944"/>
            <w:r w:rsidRPr="00120463">
              <w:rPr>
                <w:color w:val="1B556B"/>
              </w:rPr>
              <w:lastRenderedPageBreak/>
              <w:t>Figure 2</w:t>
            </w:r>
            <w:r w:rsidR="00767601">
              <w:rPr>
                <w:color w:val="1B556B"/>
              </w:rPr>
              <w:t>:</w:t>
            </w:r>
            <w:bookmarkEnd w:id="29"/>
            <w:r w:rsidR="00120463" w:rsidRPr="00120463">
              <w:rPr>
                <w:color w:val="1B556B"/>
              </w:rPr>
              <w:tab/>
            </w:r>
            <w:r w:rsidRPr="00120463">
              <w:rPr>
                <w:color w:val="1B556B"/>
              </w:rPr>
              <w:t>An example of buffer strip on either side of a critical source area</w:t>
            </w:r>
            <w:bookmarkEnd w:id="30"/>
          </w:p>
          <w:p w14:paraId="2DE17C64" w14:textId="66C8B33A" w:rsidR="009C0229" w:rsidRPr="009C0229" w:rsidRDefault="008A5A3E" w:rsidP="00310E94">
            <w:pPr>
              <w:pStyle w:val="Boxtext"/>
            </w:pPr>
            <w:r>
              <w:rPr>
                <w:noProof/>
              </w:rPr>
              <w:drawing>
                <wp:inline distT="0" distB="0" distL="0" distR="0" wp14:anchorId="3C90ADB5" wp14:editId="2BFDE681">
                  <wp:extent cx="4880344" cy="3238202"/>
                  <wp:effectExtent l="0" t="0" r="0" b="635"/>
                  <wp:docPr id="9" name="Picture 9" descr="A paddock with a critical source area and buffer area delineated. Arrows show direction of contaminant transport pathways downslope towards the critical source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addock with a critical source area and buffer area delineated. Arrows show direction of contaminant transport pathways downslope towards the critical source area. "/>
                          <pic:cNvPicPr>
                            <a:picLocks noChangeAspect="1" noChangeArrowheads="1"/>
                          </pic:cNvPicPr>
                        </pic:nvPicPr>
                        <pic:blipFill rotWithShape="1">
                          <a:blip r:embed="rId31">
                            <a:extLst>
                              <a:ext uri="{28A0092B-C50C-407E-A947-70E740481C1C}">
                                <a14:useLocalDpi xmlns:a14="http://schemas.microsoft.com/office/drawing/2010/main" val="0"/>
                              </a:ext>
                            </a:extLst>
                          </a:blip>
                          <a:srcRect/>
                          <a:stretch/>
                        </pic:blipFill>
                        <pic:spPr bwMode="auto">
                          <a:xfrm>
                            <a:off x="0" y="0"/>
                            <a:ext cx="4970446" cy="3297986"/>
                          </a:xfrm>
                          <a:prstGeom prst="rect">
                            <a:avLst/>
                          </a:prstGeom>
                          <a:noFill/>
                          <a:ln>
                            <a:noFill/>
                          </a:ln>
                          <a:extLst>
                            <a:ext uri="{53640926-AAD7-44D8-BBD7-CCE9431645EC}">
                              <a14:shadowObscured xmlns:a14="http://schemas.microsoft.com/office/drawing/2010/main"/>
                            </a:ext>
                          </a:extLst>
                        </pic:spPr>
                      </pic:pic>
                    </a:graphicData>
                  </a:graphic>
                </wp:inline>
              </w:drawing>
            </w:r>
          </w:p>
          <w:p w14:paraId="155A0206" w14:textId="177F1B2C" w:rsidR="00B04D6B" w:rsidRDefault="009C0229" w:rsidP="00310E94">
            <w:pPr>
              <w:pStyle w:val="Figureheading"/>
              <w:keepNext w:val="0"/>
              <w:ind w:hanging="833"/>
            </w:pPr>
            <w:bookmarkStart w:id="31" w:name="Figure3"/>
            <w:bookmarkStart w:id="32" w:name="_Toc129957945"/>
            <w:r w:rsidRPr="00120463">
              <w:rPr>
                <w:color w:val="1B556B"/>
              </w:rPr>
              <w:t>Figure 3</w:t>
            </w:r>
            <w:bookmarkEnd w:id="31"/>
            <w:r w:rsidR="00001E3C">
              <w:rPr>
                <w:color w:val="1B556B"/>
              </w:rPr>
              <w:t>:</w:t>
            </w:r>
            <w:r w:rsidR="00120463" w:rsidRPr="00120463">
              <w:rPr>
                <w:color w:val="1B556B"/>
              </w:rPr>
              <w:tab/>
            </w:r>
            <w:r w:rsidRPr="00120463">
              <w:rPr>
                <w:color w:val="1B556B"/>
              </w:rPr>
              <w:t xml:space="preserve">Contaminant removal efficacy </w:t>
            </w:r>
            <w:r w:rsidR="00545437">
              <w:rPr>
                <w:color w:val="1B556B"/>
              </w:rPr>
              <w:t>versus</w:t>
            </w:r>
            <w:r w:rsidRPr="00120463">
              <w:rPr>
                <w:color w:val="1B556B"/>
              </w:rPr>
              <w:t xml:space="preserve"> buffer width for: (a) </w:t>
            </w:r>
            <w:r w:rsidR="00545437">
              <w:rPr>
                <w:color w:val="1B556B"/>
              </w:rPr>
              <w:t>s</w:t>
            </w:r>
            <w:r w:rsidRPr="00120463">
              <w:rPr>
                <w:color w:val="1B556B"/>
              </w:rPr>
              <w:t xml:space="preserve">ediment, (b) </w:t>
            </w:r>
            <w:r w:rsidR="00545437">
              <w:rPr>
                <w:color w:val="1B556B"/>
              </w:rPr>
              <w:t>p</w:t>
            </w:r>
            <w:r w:rsidRPr="00120463">
              <w:rPr>
                <w:color w:val="1B556B"/>
              </w:rPr>
              <w:t xml:space="preserve">esticide, (c) </w:t>
            </w:r>
            <w:r w:rsidR="00545437">
              <w:rPr>
                <w:color w:val="1B556B"/>
              </w:rPr>
              <w:t>n</w:t>
            </w:r>
            <w:r w:rsidRPr="00120463">
              <w:rPr>
                <w:color w:val="1B556B"/>
              </w:rPr>
              <w:t xml:space="preserve">itrogen and (d) </w:t>
            </w:r>
            <w:r w:rsidR="00545437">
              <w:rPr>
                <w:color w:val="1B556B"/>
              </w:rPr>
              <w:t>p</w:t>
            </w:r>
            <w:r w:rsidRPr="00120463">
              <w:rPr>
                <w:color w:val="1B556B"/>
              </w:rPr>
              <w:t>hosphorus</w:t>
            </w:r>
            <w:bookmarkEnd w:id="32"/>
            <w:r w:rsidRPr="00120463">
              <w:rPr>
                <w:color w:val="1B556B"/>
              </w:rPr>
              <w:t xml:space="preserve"> </w:t>
            </w:r>
          </w:p>
          <w:p w14:paraId="08FC268C" w14:textId="77777777" w:rsidR="009C0229" w:rsidRDefault="00120463" w:rsidP="00310E94">
            <w:pPr>
              <w:pStyle w:val="Boxtext"/>
            </w:pPr>
            <w:r>
              <w:rPr>
                <w:noProof/>
              </w:rPr>
              <w:drawing>
                <wp:inline distT="0" distB="0" distL="0" distR="0" wp14:anchorId="444D4C02" wp14:editId="76C71E52">
                  <wp:extent cx="4879975" cy="3756482"/>
                  <wp:effectExtent l="0" t="0" r="0" b="0"/>
                  <wp:docPr id="25" name="Picture 25" descr="Four graphs showing the relationship between buffer widths and removal efficacy for sediment, pesticide, nitrogen and phosphorus. The x axis shows buffer width in metres and the y axis shows removal efficacy by perce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our graphs showing the relationship between buffer widths and removal efficacy for sediment, pesticide, nitrogen and phosphorus. The x axis shows buffer width in metres and the y axis shows removal efficacy by percentage."/>
                          <pic:cNvPicPr/>
                        </pic:nvPicPr>
                        <pic:blipFill rotWithShape="1">
                          <a:blip r:embed="rId32">
                            <a:extLst>
                              <a:ext uri="{28A0092B-C50C-407E-A947-70E740481C1C}">
                                <a14:useLocalDpi xmlns:a14="http://schemas.microsoft.com/office/drawing/2010/main" val="0"/>
                              </a:ext>
                            </a:extLst>
                          </a:blip>
                          <a:srcRect/>
                          <a:stretch/>
                        </pic:blipFill>
                        <pic:spPr bwMode="auto">
                          <a:xfrm>
                            <a:off x="0" y="0"/>
                            <a:ext cx="4901737" cy="3773234"/>
                          </a:xfrm>
                          <a:prstGeom prst="rect">
                            <a:avLst/>
                          </a:prstGeom>
                          <a:ln>
                            <a:noFill/>
                          </a:ln>
                          <a:extLst>
                            <a:ext uri="{53640926-AAD7-44D8-BBD7-CCE9431645EC}">
                              <a14:shadowObscured xmlns:a14="http://schemas.microsoft.com/office/drawing/2010/main"/>
                            </a:ext>
                          </a:extLst>
                        </pic:spPr>
                      </pic:pic>
                    </a:graphicData>
                  </a:graphic>
                </wp:inline>
              </w:drawing>
            </w:r>
          </w:p>
          <w:p w14:paraId="584EE991" w14:textId="725EAF72" w:rsidR="00767601" w:rsidRPr="00484C12" w:rsidRDefault="00545437" w:rsidP="005E59F9">
            <w:pPr>
              <w:pStyle w:val="Boxtext"/>
            </w:pPr>
            <w:r w:rsidRPr="00120463">
              <w:t>Black dots are data and solid lines are model predictions. Dotted lines indicate the 95</w:t>
            </w:r>
            <w:r>
              <w:t xml:space="preserve"> per cent</w:t>
            </w:r>
            <w:r w:rsidRPr="00120463">
              <w:t xml:space="preserve"> confidence band. Grey numbers with dashed lines are maximum removal efficiency. </w:t>
            </w:r>
            <w:r w:rsidR="005E59F9">
              <w:br/>
            </w:r>
            <w:r w:rsidR="00767601" w:rsidRPr="005E59F9">
              <w:t xml:space="preserve">Source: Zhang </w:t>
            </w:r>
            <w:r w:rsidR="003B0999" w:rsidRPr="005E59F9">
              <w:t>et al,</w:t>
            </w:r>
            <w:r w:rsidR="00767601" w:rsidRPr="005E59F9">
              <w:t xml:space="preserve"> 2010.</w:t>
            </w:r>
          </w:p>
        </w:tc>
      </w:tr>
    </w:tbl>
    <w:p w14:paraId="7F24F94F" w14:textId="77777777" w:rsidR="00142D51" w:rsidRDefault="00142D51" w:rsidP="00743F6A">
      <w:pPr>
        <w:pStyle w:val="Heading4"/>
        <w:spacing w:after="120"/>
      </w:pPr>
      <w:r>
        <w:lastRenderedPageBreak/>
        <w:t>Cropping methods</w:t>
      </w:r>
    </w:p>
    <w:p w14:paraId="487D4109" w14:textId="1CDE6B3C" w:rsidR="00142D51" w:rsidRDefault="00142D51" w:rsidP="00120463">
      <w:pPr>
        <w:pStyle w:val="Bullet"/>
      </w:pPr>
      <w:r w:rsidRPr="004B462B">
        <w:rPr>
          <w:b/>
          <w:bCs/>
        </w:rPr>
        <w:t>Reduced tillage:</w:t>
      </w:r>
      <w:r>
        <w:t xml:space="preserve"> Establishing winter forage crops with reduced tillage (</w:t>
      </w:r>
      <w:r w:rsidR="003B0999">
        <w:t>eg</w:t>
      </w:r>
      <w:r>
        <w:t>, no tillage, shallow non-inversion tillage</w:t>
      </w:r>
      <w:r w:rsidR="00545437">
        <w:t xml:space="preserve"> </w:t>
      </w:r>
      <w:r w:rsidR="009B32DA">
        <w:t xml:space="preserve">or </w:t>
      </w:r>
      <w:r>
        <w:t xml:space="preserve">strip tillage) can reduce the risk of pugging and compaction during winter grazing (Thomas </w:t>
      </w:r>
      <w:r w:rsidR="003B0999">
        <w:t>et al,</w:t>
      </w:r>
      <w:r>
        <w:t xml:space="preserve"> 2004; Hu </w:t>
      </w:r>
      <w:r w:rsidR="003B0999">
        <w:t>et al,</w:t>
      </w:r>
      <w:r>
        <w:t xml:space="preserve"> 2020). </w:t>
      </w:r>
    </w:p>
    <w:p w14:paraId="0834E17F" w14:textId="4815EC4E" w:rsidR="00142D51" w:rsidRDefault="00142D51" w:rsidP="00120463">
      <w:pPr>
        <w:pStyle w:val="Bullet"/>
      </w:pPr>
      <w:r w:rsidRPr="004B462B">
        <w:rPr>
          <w:b/>
          <w:bCs/>
        </w:rPr>
        <w:t>Cultivation:</w:t>
      </w:r>
      <w:r>
        <w:t xml:space="preserve"> If cultivating on sloping land, cultivate across the slope. Cross-slope cultivation creates a barrier to surface </w:t>
      </w:r>
      <w:r w:rsidR="003B0999">
        <w:t>run-off</w:t>
      </w:r>
      <w:r>
        <w:t xml:space="preserve">, thereby reducing flow velocity, and providing more time for water to infiltrate (Ghimire </w:t>
      </w:r>
      <w:r w:rsidR="003B0999">
        <w:t>et al,</w:t>
      </w:r>
      <w:r>
        <w:t xml:space="preserve"> 2021; Quinton and Catt, 2004). Soil loss from contour-cultivated fields is usually reduced by at least 30</w:t>
      </w:r>
      <w:r w:rsidR="00323C49">
        <w:t xml:space="preserve"> per cent</w:t>
      </w:r>
      <w:r>
        <w:t>, and often 90</w:t>
      </w:r>
      <w:r w:rsidR="00323C49">
        <w:t xml:space="preserve"> per cent</w:t>
      </w:r>
      <w:r>
        <w:t xml:space="preserve"> or more, compared with fields that are cultivated downslope (Hudson, 1981). </w:t>
      </w:r>
    </w:p>
    <w:p w14:paraId="6FBB75D6" w14:textId="0C173655" w:rsidR="00142D51" w:rsidRDefault="00142D51" w:rsidP="00120463">
      <w:pPr>
        <w:pStyle w:val="Heading3"/>
      </w:pPr>
      <w:bookmarkStart w:id="33" w:name="_Toc129957932"/>
      <w:r>
        <w:t>6.2.2</w:t>
      </w:r>
      <w:r>
        <w:tab/>
        <w:t xml:space="preserve">Management between 1 May </w:t>
      </w:r>
      <w:r w:rsidR="00545437">
        <w:t xml:space="preserve">and </w:t>
      </w:r>
      <w:r>
        <w:t>30 September</w:t>
      </w:r>
      <w:bookmarkEnd w:id="33"/>
      <w:r>
        <w:t xml:space="preserve"> </w:t>
      </w:r>
    </w:p>
    <w:p w14:paraId="249B5F02" w14:textId="1353A640" w:rsidR="002556F8" w:rsidRDefault="002F4D2E" w:rsidP="00142D51">
      <w:pPr>
        <w:pStyle w:val="BodyText"/>
      </w:pPr>
      <w:r>
        <w:t>The NES-F includes permitted activity conditions for a</w:t>
      </w:r>
      <w:r w:rsidR="009411CD" w:rsidRPr="009411CD">
        <w:t>ny critical source area that is within, or adjacent to, any area of land that is used for intensive winter grazing on a farm</w:t>
      </w:r>
      <w:r w:rsidR="00F34A58">
        <w:t xml:space="preserve">. </w:t>
      </w:r>
      <w:r w:rsidR="007E20AC">
        <w:t xml:space="preserve">These conditions </w:t>
      </w:r>
      <w:r w:rsidR="00171D64">
        <w:t>include the following:</w:t>
      </w:r>
    </w:p>
    <w:p w14:paraId="1607DB44" w14:textId="50A521EE" w:rsidR="00142D51" w:rsidRDefault="00142D51" w:rsidP="00120463">
      <w:pPr>
        <w:pStyle w:val="Bullet"/>
      </w:pPr>
      <w:r w:rsidRPr="004B462B">
        <w:rPr>
          <w:b/>
          <w:bCs/>
        </w:rPr>
        <w:t>CSA livestock exclusion:</w:t>
      </w:r>
      <w:r>
        <w:t xml:space="preserve"> A </w:t>
      </w:r>
      <w:r w:rsidR="00DF551B">
        <w:t>critical source area</w:t>
      </w:r>
      <w:r>
        <w:t xml:space="preserve"> cannot be grazed to reduce the risk of soil damage and contaminant </w:t>
      </w:r>
      <w:r w:rsidR="003B0999">
        <w:t>run-off</w:t>
      </w:r>
      <w:r>
        <w:t>. Grazing outside this period is permitted but local councils may have additional regulations that must be complied with.</w:t>
      </w:r>
    </w:p>
    <w:p w14:paraId="46738709" w14:textId="0C4B1682" w:rsidR="00142D51" w:rsidRDefault="00142D51" w:rsidP="00120463">
      <w:pPr>
        <w:pStyle w:val="Bullet"/>
      </w:pPr>
      <w:r w:rsidRPr="004B462B">
        <w:rPr>
          <w:b/>
          <w:bCs/>
        </w:rPr>
        <w:t>CSA vegetation cover:</w:t>
      </w:r>
      <w:r>
        <w:t xml:space="preserve"> Vegetation must be maintained over the entire </w:t>
      </w:r>
      <w:r w:rsidR="00DF551B">
        <w:t>critical source area</w:t>
      </w:r>
      <w:r>
        <w:t xml:space="preserve"> during this period. This is to protect the soil and slow surface </w:t>
      </w:r>
      <w:r w:rsidR="003B0999">
        <w:t>run-off</w:t>
      </w:r>
      <w:r>
        <w:t xml:space="preserve">. </w:t>
      </w:r>
    </w:p>
    <w:p w14:paraId="59103B1C" w14:textId="7144F2F9" w:rsidR="00142D51" w:rsidRDefault="00142D51" w:rsidP="00120463">
      <w:pPr>
        <w:pStyle w:val="Bullet"/>
      </w:pPr>
      <w:r w:rsidRPr="004B462B">
        <w:rPr>
          <w:b/>
          <w:bCs/>
        </w:rPr>
        <w:t>No CSA cultivation or harvesting:</w:t>
      </w:r>
      <w:r>
        <w:t xml:space="preserve"> </w:t>
      </w:r>
      <w:r w:rsidR="00DF551B">
        <w:t>Critical source area</w:t>
      </w:r>
      <w:r>
        <w:t xml:space="preserve">s in land used for IWG should be left intact and not cultivated. Cultivation during this period could damage soil structure and </w:t>
      </w:r>
      <w:r w:rsidR="00545437">
        <w:t xml:space="preserve">further increase </w:t>
      </w:r>
      <w:r>
        <w:t>sediment losses.</w:t>
      </w:r>
    </w:p>
    <w:p w14:paraId="5EB88F04" w14:textId="3C324363" w:rsidR="00142D51" w:rsidRDefault="00142D51" w:rsidP="00142D51">
      <w:pPr>
        <w:pStyle w:val="BodyText"/>
      </w:pPr>
      <w:r>
        <w:t xml:space="preserve">Other good management practices to consider during winter grazing include: </w:t>
      </w:r>
    </w:p>
    <w:p w14:paraId="412BCA09" w14:textId="5E77E4E5" w:rsidR="00142D51" w:rsidRDefault="00142D51" w:rsidP="00B042D5">
      <w:pPr>
        <w:pStyle w:val="Bullet"/>
      </w:pPr>
      <w:r>
        <w:rPr>
          <w:b/>
        </w:rPr>
        <w:t>Grazing</w:t>
      </w:r>
      <w:r w:rsidR="00024197">
        <w:rPr>
          <w:b/>
          <w:bCs/>
        </w:rPr>
        <w:t xml:space="preserve"> d</w:t>
      </w:r>
      <w:r w:rsidRPr="004B462B">
        <w:rPr>
          <w:b/>
          <w:bCs/>
        </w:rPr>
        <w:t>irection:</w:t>
      </w:r>
      <w:r>
        <w:t xml:space="preserve"> </w:t>
      </w:r>
      <w:r w:rsidR="00545437">
        <w:t xml:space="preserve">Considering the direction of </w:t>
      </w:r>
      <w:r>
        <w:t>grazing can minimise the risk of contaminant loss from non-</w:t>
      </w:r>
      <w:r w:rsidR="00702C1F">
        <w:t>critical source area</w:t>
      </w:r>
      <w:r>
        <w:t xml:space="preserve"> areas. Grazing towards the </w:t>
      </w:r>
      <w:r w:rsidR="00545437">
        <w:t xml:space="preserve">location of the </w:t>
      </w:r>
      <w:r w:rsidR="00DF551B">
        <w:t>critical source area</w:t>
      </w:r>
      <w:r>
        <w:t xml:space="preserve"> will maximise the buffering opportunity of the un-grazed crop</w:t>
      </w:r>
      <w:r w:rsidR="00545437">
        <w:t>s</w:t>
      </w:r>
      <w:r>
        <w:t xml:space="preserve"> between the herd and </w:t>
      </w:r>
      <w:r w:rsidR="00DF551B">
        <w:t>critical source area</w:t>
      </w:r>
      <w:r>
        <w:t xml:space="preserve"> (Monaghan </w:t>
      </w:r>
      <w:r w:rsidR="003B0999">
        <w:t>et al,</w:t>
      </w:r>
      <w:r>
        <w:t xml:space="preserve"> 2017). </w:t>
      </w:r>
    </w:p>
    <w:p w14:paraId="47F2A0CC" w14:textId="5D0D9522" w:rsidR="00142D51" w:rsidRDefault="00142D51" w:rsidP="00B042D5">
      <w:pPr>
        <w:pStyle w:val="Bullet"/>
      </w:pPr>
      <w:r w:rsidRPr="004B462B">
        <w:rPr>
          <w:b/>
          <w:bCs/>
        </w:rPr>
        <w:t>Fencing:</w:t>
      </w:r>
      <w:r>
        <w:t xml:space="preserve"> Back-fence to confine areas of damaged soil as much as possible. A back fence will reduce animal pacing and therefore limit soil damage through unnecessary stock movement (Drewry and Paton, 2005). Back fencing is not appropriate for deer.</w:t>
      </w:r>
    </w:p>
    <w:p w14:paraId="420F90AB" w14:textId="103E41AC" w:rsidR="00142D51" w:rsidRDefault="00142D51" w:rsidP="00B042D5">
      <w:pPr>
        <w:pStyle w:val="Bullet"/>
      </w:pPr>
      <w:r w:rsidRPr="004B462B">
        <w:rPr>
          <w:b/>
          <w:bCs/>
        </w:rPr>
        <w:t>Livestock:</w:t>
      </w:r>
      <w:r>
        <w:t xml:space="preserve"> In general, heavy soils are at greater risk of pugging, compaction and structural damage. Consider only grazing lighter classes of stock on heavy soils during winter.</w:t>
      </w:r>
    </w:p>
    <w:p w14:paraId="6A2DD2CD" w14:textId="2551B7F9" w:rsidR="00142D51" w:rsidRDefault="00142D51" w:rsidP="00142D51">
      <w:pPr>
        <w:pStyle w:val="BodyText"/>
      </w:pPr>
      <w:r>
        <w:t xml:space="preserve">If </w:t>
      </w:r>
      <w:r w:rsidR="00DF551B">
        <w:t>critical source area</w:t>
      </w:r>
      <w:r>
        <w:t xml:space="preserve">s need to be grazed (requiring a resource consent), soil damage, surface </w:t>
      </w:r>
      <w:r w:rsidR="003B0999">
        <w:t>run-off</w:t>
      </w:r>
      <w:r>
        <w:t xml:space="preserve"> and contaminant loss could be minimised by limiting the extent of crop grazing. This could be achieved by delaying grazing of </w:t>
      </w:r>
      <w:r w:rsidR="00DF551B">
        <w:t>critical source area</w:t>
      </w:r>
      <w:r>
        <w:t xml:space="preserve">s until as late as possible in winter (thereby potentially avoiding rainfall events that are likely to produce surface </w:t>
      </w:r>
      <w:r w:rsidR="003B0999">
        <w:t>run-off</w:t>
      </w:r>
      <w:r>
        <w:t xml:space="preserve"> and associated contaminants loss), and by implementing a time-restricted (on-off) grazing regime (McDowell and Houlbrooke, 2009). Most surface </w:t>
      </w:r>
      <w:r w:rsidR="003B0999">
        <w:t>run-off</w:t>
      </w:r>
      <w:r>
        <w:t xml:space="preserve"> is likely to occur in winter when soil water content </w:t>
      </w:r>
      <w:r w:rsidR="00A732E5">
        <w:t xml:space="preserve">is </w:t>
      </w:r>
      <w:r>
        <w:t xml:space="preserve">at or above field capacity (Curran-Cournane </w:t>
      </w:r>
      <w:r w:rsidR="003B0999">
        <w:t>et al,</w:t>
      </w:r>
      <w:r>
        <w:t xml:space="preserve"> 2011).</w:t>
      </w:r>
    </w:p>
    <w:p w14:paraId="54259AAC" w14:textId="77777777" w:rsidR="00B042D5" w:rsidRDefault="00B042D5">
      <w:pPr>
        <w:spacing w:before="0" w:after="200" w:line="276" w:lineRule="auto"/>
        <w:jc w:val="left"/>
      </w:pPr>
      <w:r>
        <w:br w:type="page"/>
      </w:r>
    </w:p>
    <w:p w14:paraId="7AFCE4C6" w14:textId="33F81EE7" w:rsidR="00142D51" w:rsidRDefault="00142D51" w:rsidP="004A4632">
      <w:pPr>
        <w:pStyle w:val="Heading1"/>
        <w:ind w:left="851" w:hanging="851"/>
      </w:pPr>
      <w:bookmarkStart w:id="34" w:name="_Toc129957933"/>
      <w:r>
        <w:lastRenderedPageBreak/>
        <w:t>7.</w:t>
      </w:r>
      <w:r>
        <w:tab/>
        <w:t xml:space="preserve">Integrating </w:t>
      </w:r>
      <w:r w:rsidR="00DF551B">
        <w:t>critical source area</w:t>
      </w:r>
      <w:r>
        <w:t xml:space="preserve"> management with the winter forage crop cycle</w:t>
      </w:r>
      <w:bookmarkEnd w:id="34"/>
    </w:p>
    <w:p w14:paraId="52E18C1F" w14:textId="31AEF7E7" w:rsidR="00142D51" w:rsidRDefault="00142D51" w:rsidP="00B042D5">
      <w:pPr>
        <w:pStyle w:val="Heading2"/>
      </w:pPr>
      <w:bookmarkStart w:id="35" w:name="_Toc129957934"/>
      <w:r>
        <w:t>7.1</w:t>
      </w:r>
      <w:r>
        <w:tab/>
        <w:t>Winter forage planning</w:t>
      </w:r>
      <w:bookmarkEnd w:id="35"/>
      <w:r>
        <w:t xml:space="preserve"> </w:t>
      </w:r>
    </w:p>
    <w:p w14:paraId="31C95568" w14:textId="2B947E56" w:rsidR="00142D51" w:rsidRDefault="00A732E5" w:rsidP="00142D51">
      <w:pPr>
        <w:pStyle w:val="BodyText"/>
      </w:pPr>
      <w:r>
        <w:t xml:space="preserve">Best practice may be to integrate the management of </w:t>
      </w:r>
      <w:r w:rsidR="00702C1F">
        <w:t>critical source area</w:t>
      </w:r>
      <w:r w:rsidR="00635EDD">
        <w:t>s</w:t>
      </w:r>
      <w:r w:rsidR="00142D51" w:rsidDel="00635EDD">
        <w:t xml:space="preserve"> </w:t>
      </w:r>
      <w:r w:rsidR="00142D51">
        <w:t>into the entire winter forage cropping cycle</w:t>
      </w:r>
      <w:r>
        <w:t>,</w:t>
      </w:r>
      <w:r w:rsidR="00142D51">
        <w:t xml:space="preserve"> from planning to execution </w:t>
      </w:r>
      <w:r>
        <w:t xml:space="preserve">as well as </w:t>
      </w:r>
      <w:r w:rsidR="00142D51">
        <w:t>future planning of winter crops (</w:t>
      </w:r>
      <w:hyperlink w:anchor="Figure4" w:history="1">
        <w:r w:rsidRPr="00DC5FD3">
          <w:rPr>
            <w:rStyle w:val="Hyperlink"/>
          </w:rPr>
          <w:t>f</w:t>
        </w:r>
        <w:r w:rsidR="00142D51" w:rsidRPr="00DC5FD3">
          <w:rPr>
            <w:rStyle w:val="Hyperlink"/>
          </w:rPr>
          <w:t>igure 4</w:t>
        </w:r>
      </w:hyperlink>
      <w:r w:rsidR="00142D51">
        <w:t xml:space="preserve">). </w:t>
      </w:r>
      <w:r>
        <w:t>This</w:t>
      </w:r>
      <w:r w:rsidR="00142D51">
        <w:t xml:space="preserve"> section</w:t>
      </w:r>
      <w:r>
        <w:t xml:space="preserve"> presents </w:t>
      </w:r>
      <w:r w:rsidR="00142D51">
        <w:t xml:space="preserve">a holistic approach to grazed winter forage cropping. It integrates the relevant IWG regulations with the </w:t>
      </w:r>
      <w:r>
        <w:t xml:space="preserve">main </w:t>
      </w:r>
      <w:r w:rsidR="00142D51">
        <w:t>decision points of the grazed winter forage cropping cycle. This process is focused on meeting the conditions for permitted activities (</w:t>
      </w:r>
      <w:r>
        <w:t>p</w:t>
      </w:r>
      <w:r w:rsidR="00142D51">
        <w:t xml:space="preserve">athway 1; </w:t>
      </w:r>
      <w:hyperlink w:anchor="Box2" w:history="1">
        <w:r w:rsidRPr="00DC5FD3">
          <w:rPr>
            <w:rStyle w:val="Hyperlink"/>
          </w:rPr>
          <w:t>b</w:t>
        </w:r>
        <w:r w:rsidR="00142D51" w:rsidRPr="00DC5FD3">
          <w:rPr>
            <w:rStyle w:val="Hyperlink"/>
          </w:rPr>
          <w:t>ox 2</w:t>
        </w:r>
      </w:hyperlink>
      <w:r w:rsidR="00142D51">
        <w:t>). If the conditions for permitted activities (</w:t>
      </w:r>
      <w:r>
        <w:t>b</w:t>
      </w:r>
      <w:r w:rsidR="00142D51">
        <w:t xml:space="preserve">ox 2) are not met, and IWG is not managed as a permitted activity under a certified freshwater farm plan (see </w:t>
      </w:r>
      <w:hyperlink w:anchor="_4.2_Freshwater_farm" w:history="1">
        <w:r w:rsidRPr="00DC5FD3">
          <w:rPr>
            <w:rStyle w:val="Hyperlink"/>
          </w:rPr>
          <w:t>section</w:t>
        </w:r>
        <w:r w:rsidR="00DC5FD3" w:rsidRPr="00DC5FD3">
          <w:rPr>
            <w:rStyle w:val="Hyperlink"/>
          </w:rPr>
          <w:t> </w:t>
        </w:r>
        <w:r w:rsidR="00142D51" w:rsidRPr="00DC5FD3">
          <w:rPr>
            <w:rStyle w:val="Hyperlink"/>
          </w:rPr>
          <w:t>4.2</w:t>
        </w:r>
      </w:hyperlink>
      <w:r w:rsidR="00142D51">
        <w:t>), then applying for a consent will need to be added to the planning stage of the cycle.</w:t>
      </w:r>
      <w:r w:rsidR="003B0999">
        <w:t xml:space="preserve"> </w:t>
      </w:r>
      <w:r w:rsidR="00142D51">
        <w:t xml:space="preserve">Remember that regional plans may also address related issues, and whichever rules are more stringent apply. </w:t>
      </w:r>
    </w:p>
    <w:p w14:paraId="720E83B2" w14:textId="6F424B7C" w:rsidR="00142D51" w:rsidRDefault="00142D51" w:rsidP="00B042D5">
      <w:pPr>
        <w:pStyle w:val="Figureheading"/>
      </w:pPr>
      <w:bookmarkStart w:id="36" w:name="Figure4"/>
      <w:bookmarkStart w:id="37" w:name="_Toc129957946"/>
      <w:r>
        <w:t>Figure 4</w:t>
      </w:r>
      <w:bookmarkEnd w:id="36"/>
      <w:r w:rsidR="006E2D99">
        <w:t>:</w:t>
      </w:r>
      <w:r w:rsidR="00B042D5">
        <w:tab/>
      </w:r>
      <w:r>
        <w:t>Overview of the stages and key decision points in the grazed winter forage cropping cycle</w:t>
      </w:r>
      <w:bookmarkEnd w:id="37"/>
      <w:r>
        <w:t xml:space="preserve"> </w:t>
      </w:r>
    </w:p>
    <w:p w14:paraId="0978337B" w14:textId="03B9BEA7" w:rsidR="00EE4CF3" w:rsidRDefault="001D067F" w:rsidP="00142D51">
      <w:pPr>
        <w:pStyle w:val="BodyText"/>
      </w:pPr>
      <w:r>
        <w:rPr>
          <w:noProof/>
        </w:rPr>
        <w:drawing>
          <wp:inline distT="0" distB="0" distL="0" distR="0" wp14:anchorId="07D3ACBE" wp14:editId="26674017">
            <wp:extent cx="5400675" cy="1637030"/>
            <wp:effectExtent l="0" t="0" r="9525" b="1270"/>
            <wp:docPr id="933021600" name="Picture 933021600" descr="Four stages are outlined: Plan, prepare, graze and check and review &#10;&#10;An overview of key decision points is outlined for each stage &#10;&#10;In the ‘plan’ stage consider: purpose, &#10;crop area, walkover survey, risks such as slope and soil, paddock selection. &#10;&#10;In the ‘prepare’ stage consider: critical source area protection, cropping methods.&#10;&#10;In the ‘Graze’ stage consider: direction, fencing, critical source area exclusion. &#10;&#10;In the ‘Check and review’ stage consider: Note crop, weather, grazing, and critical source area performance;&#10;Evaluate and plan changes for next ti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021600" name="Picture 933021600" descr="Four stages are outlined: Plan, prepare, graze and check and review &#10;&#10;An overview of key decision points is outlined for each stage &#10;&#10;In the ‘plan’ stage consider: purpose, &#10;crop area, walkover survey, risks such as slope and soil, paddock selection. &#10;&#10;In the ‘prepare’ stage consider: critical source area protection, cropping methods.&#10;&#10;In the ‘Graze’ stage consider: direction, fencing, critical source area exclusion. &#10;&#10;In the ‘Check and review’ stage consider: Note crop, weather, grazing, and critical source area performance;&#10;Evaluate and plan changes for next time. "/>
                    <pic:cNvPicPr/>
                  </pic:nvPicPr>
                  <pic:blipFill>
                    <a:blip r:embed="rId33" cstate="print">
                      <a:extLst>
                        <a:ext uri="{28A0092B-C50C-407E-A947-70E740481C1C}">
                          <a14:useLocalDpi xmlns:a14="http://schemas.microsoft.com/office/drawing/2010/main"/>
                        </a:ext>
                      </a:extLst>
                    </a:blip>
                    <a:stretch>
                      <a:fillRect/>
                    </a:stretch>
                  </pic:blipFill>
                  <pic:spPr>
                    <a:xfrm>
                      <a:off x="0" y="0"/>
                      <a:ext cx="5400675" cy="1637030"/>
                    </a:xfrm>
                    <a:prstGeom prst="rect">
                      <a:avLst/>
                    </a:prstGeom>
                  </pic:spPr>
                </pic:pic>
              </a:graphicData>
            </a:graphic>
          </wp:inline>
        </w:drawing>
      </w:r>
    </w:p>
    <w:p w14:paraId="77BC245E" w14:textId="41789BB9" w:rsidR="00E50756" w:rsidRDefault="00E50756" w:rsidP="00E50756">
      <w:pPr>
        <w:pStyle w:val="Source"/>
      </w:pPr>
      <w:r>
        <w:t xml:space="preserve">(These stages and key questions are expanded on in table </w:t>
      </w:r>
      <w:r w:rsidR="0069511D">
        <w:t>2</w:t>
      </w:r>
      <w:r>
        <w:t>.)</w:t>
      </w:r>
    </w:p>
    <w:p w14:paraId="78869E75" w14:textId="7920BB3E" w:rsidR="00A732E5" w:rsidRDefault="00142D51" w:rsidP="00142D51">
      <w:pPr>
        <w:pStyle w:val="BodyText"/>
      </w:pPr>
      <w:r>
        <w:t xml:space="preserve">Planning begins with considering the purpose for planting a winter forage crop, how much feed is needed and therefore how large an area is required. Paddocks with a low risk of contaminant loss in surface </w:t>
      </w:r>
      <w:r w:rsidR="003B0999">
        <w:t>run-off</w:t>
      </w:r>
      <w:r>
        <w:t xml:space="preserve"> should be prioritised for winter forage cropping. Factors such as soil, slope, proximity and </w:t>
      </w:r>
      <w:r w:rsidR="00A732E5">
        <w:t xml:space="preserve">connection </w:t>
      </w:r>
      <w:r>
        <w:t xml:space="preserve">to water should all be considered. </w:t>
      </w:r>
    </w:p>
    <w:p w14:paraId="761E5F2E" w14:textId="4603FB07" w:rsidR="00A732E5" w:rsidRDefault="00142D51" w:rsidP="00142D51">
      <w:pPr>
        <w:pStyle w:val="BodyText"/>
      </w:pPr>
      <w:r>
        <w:t xml:space="preserve">Recommended actions for managing </w:t>
      </w:r>
      <w:r w:rsidR="00702C1F">
        <w:t>critical source area</w:t>
      </w:r>
      <w:r>
        <w:t xml:space="preserve">s before and during grazing is detailed in </w:t>
      </w:r>
      <w:hyperlink w:anchor="_6.2_Managing_critical" w:history="1">
        <w:r w:rsidRPr="002459FC">
          <w:rPr>
            <w:rStyle w:val="Hyperlink"/>
          </w:rPr>
          <w:t>section 6.2</w:t>
        </w:r>
      </w:hyperlink>
      <w:r>
        <w:t xml:space="preserve"> and in the framework below (</w:t>
      </w:r>
      <w:r w:rsidR="00A732E5">
        <w:t>t</w:t>
      </w:r>
      <w:r>
        <w:t xml:space="preserve">able </w:t>
      </w:r>
      <w:r w:rsidR="0069511D">
        <w:t>2</w:t>
      </w:r>
      <w:r>
        <w:t xml:space="preserve">). </w:t>
      </w:r>
    </w:p>
    <w:p w14:paraId="50579546" w14:textId="66A05D80" w:rsidR="00A732E5" w:rsidRDefault="00142D51" w:rsidP="00142D51">
      <w:pPr>
        <w:pStyle w:val="BodyText"/>
      </w:pPr>
      <w:r>
        <w:t xml:space="preserve">At the completion of the grazed winter forage cropping cycle, it is important to check and review outcomes to help improve future winter grazing plans. This includes documenting what worked well and any </w:t>
      </w:r>
      <w:r w:rsidR="00702C1F">
        <w:t>critical source area</w:t>
      </w:r>
      <w:r>
        <w:t xml:space="preserve">s that might have been missed in the initial planning. </w:t>
      </w:r>
    </w:p>
    <w:p w14:paraId="31DF34E2" w14:textId="14715E0A" w:rsidR="00D15589" w:rsidRDefault="00142D51" w:rsidP="00142D51">
      <w:pPr>
        <w:pStyle w:val="BodyText"/>
      </w:pPr>
      <w:r>
        <w:t xml:space="preserve">Table </w:t>
      </w:r>
      <w:r w:rsidR="0069511D">
        <w:t>2</w:t>
      </w:r>
      <w:r>
        <w:t xml:space="preserve"> provides a framework to navigate the key decisions in IWG planning, from planning through to review (</w:t>
      </w:r>
      <w:r w:rsidR="00A732E5">
        <w:t>f</w:t>
      </w:r>
      <w:r>
        <w:t>igure 4).</w:t>
      </w:r>
    </w:p>
    <w:p w14:paraId="1BDAE9B1" w14:textId="77777777" w:rsidR="00D15589" w:rsidRDefault="00D15589">
      <w:pPr>
        <w:spacing w:before="0" w:after="200" w:line="276" w:lineRule="auto"/>
        <w:jc w:val="left"/>
      </w:pPr>
      <w:r>
        <w:br w:type="page"/>
      </w:r>
    </w:p>
    <w:p w14:paraId="1CAE7ECB" w14:textId="5C316146" w:rsidR="00FD45B2" w:rsidRDefault="00142D51" w:rsidP="00594229">
      <w:pPr>
        <w:pStyle w:val="Tableheading"/>
      </w:pPr>
      <w:bookmarkStart w:id="38" w:name="_Toc129957942"/>
      <w:r>
        <w:lastRenderedPageBreak/>
        <w:t xml:space="preserve">Table </w:t>
      </w:r>
      <w:r w:rsidR="0069511D">
        <w:t>2</w:t>
      </w:r>
      <w:r w:rsidR="006E2D99">
        <w:t>:</w:t>
      </w:r>
      <w:r w:rsidR="00594229">
        <w:tab/>
      </w:r>
      <w:r>
        <w:t>A decision framework for intensive winter grazing</w:t>
      </w:r>
      <w:r w:rsidR="00A732E5">
        <w:t>,</w:t>
      </w:r>
      <w:r>
        <w:t xml:space="preserve"> covering the planning phase through to the review stage</w:t>
      </w:r>
      <w:bookmarkEnd w:id="38"/>
      <w:r>
        <w:t xml:space="preserve"> </w:t>
      </w:r>
    </w:p>
    <w:p w14:paraId="24DDE1EB" w14:textId="1E08C90A" w:rsidR="00142D51" w:rsidRPr="00EF4284" w:rsidRDefault="002A0119" w:rsidP="00FD45B2">
      <w:pPr>
        <w:pStyle w:val="BodyText"/>
        <w:rPr>
          <w:b/>
        </w:rPr>
      </w:pPr>
      <w:r>
        <w:t>This</w:t>
      </w:r>
      <w:r w:rsidR="00142D51" w:rsidRPr="00666308">
        <w:t xml:space="preserve"> template </w:t>
      </w:r>
      <w:r>
        <w:t>can be</w:t>
      </w:r>
      <w:r w:rsidR="00142D51" w:rsidRPr="00EF4284">
        <w:t xml:space="preserve"> used to capture the decisions made at each step and could potentially be used for compliance checks.</w:t>
      </w:r>
      <w:r w:rsidR="003B0999" w:rsidRPr="00EF4284">
        <w:t xml:space="preserve"> </w:t>
      </w:r>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582"/>
        <w:gridCol w:w="1128"/>
        <w:gridCol w:w="2968"/>
        <w:gridCol w:w="3827"/>
      </w:tblGrid>
      <w:tr w:rsidR="00730A79" w:rsidRPr="006B77BB" w14:paraId="6C3970F4" w14:textId="77777777" w:rsidTr="00EF4284">
        <w:trPr>
          <w:tblHeader/>
        </w:trPr>
        <w:tc>
          <w:tcPr>
            <w:tcW w:w="342" w:type="pct"/>
            <w:shd w:val="clear" w:color="auto" w:fill="1B556B"/>
          </w:tcPr>
          <w:p w14:paraId="2A2D2F20" w14:textId="77777777" w:rsidR="00594229" w:rsidRPr="006B77BB" w:rsidRDefault="00594229">
            <w:pPr>
              <w:pStyle w:val="TableTextbold"/>
              <w:rPr>
                <w:color w:val="FFFFFF" w:themeColor="background1"/>
              </w:rPr>
            </w:pPr>
          </w:p>
        </w:tc>
        <w:tc>
          <w:tcPr>
            <w:tcW w:w="663" w:type="pct"/>
            <w:shd w:val="clear" w:color="auto" w:fill="1B556B"/>
          </w:tcPr>
          <w:p w14:paraId="524DF3A1" w14:textId="049F6CE7" w:rsidR="00594229" w:rsidRPr="006B77BB" w:rsidRDefault="00594229">
            <w:pPr>
              <w:pStyle w:val="TableTextbold"/>
              <w:rPr>
                <w:color w:val="FFFFFF" w:themeColor="background1"/>
              </w:rPr>
            </w:pPr>
          </w:p>
        </w:tc>
        <w:tc>
          <w:tcPr>
            <w:tcW w:w="1745" w:type="pct"/>
            <w:shd w:val="clear" w:color="auto" w:fill="1B556B"/>
          </w:tcPr>
          <w:p w14:paraId="2FB8007A" w14:textId="03825BD6" w:rsidR="00594229" w:rsidRPr="006B77BB" w:rsidRDefault="00594229">
            <w:pPr>
              <w:pStyle w:val="TableTextbold"/>
              <w:rPr>
                <w:color w:val="FFFFFF" w:themeColor="background1"/>
              </w:rPr>
            </w:pPr>
            <w:r>
              <w:rPr>
                <w:color w:val="FFFFFF" w:themeColor="background1"/>
              </w:rPr>
              <w:t>Questions</w:t>
            </w:r>
          </w:p>
        </w:tc>
        <w:tc>
          <w:tcPr>
            <w:tcW w:w="2250" w:type="pct"/>
            <w:shd w:val="clear" w:color="auto" w:fill="1B556B"/>
          </w:tcPr>
          <w:p w14:paraId="13883A83" w14:textId="336E0AC7" w:rsidR="00594229" w:rsidRPr="006B77BB" w:rsidRDefault="00594229">
            <w:pPr>
              <w:pStyle w:val="TableTextbold"/>
              <w:rPr>
                <w:color w:val="FFFFFF" w:themeColor="background1"/>
              </w:rPr>
            </w:pPr>
            <w:r>
              <w:rPr>
                <w:color w:val="FFFFFF" w:themeColor="background1"/>
              </w:rPr>
              <w:t>Notes</w:t>
            </w:r>
          </w:p>
        </w:tc>
      </w:tr>
      <w:tr w:rsidR="006B1D07" w:rsidRPr="006B77BB" w14:paraId="3E33A184" w14:textId="77777777" w:rsidTr="00EF4284">
        <w:trPr>
          <w:tblHeader/>
        </w:trPr>
        <w:tc>
          <w:tcPr>
            <w:tcW w:w="342" w:type="pct"/>
            <w:vMerge w:val="restart"/>
            <w:shd w:val="clear" w:color="auto" w:fill="D0E7F0" w:themeFill="accent2" w:themeFillTint="33"/>
            <w:textDirection w:val="btLr"/>
            <w:vAlign w:val="center"/>
          </w:tcPr>
          <w:p w14:paraId="31CDDFBB" w14:textId="010A97DB" w:rsidR="006B1D07" w:rsidRPr="0062551F" w:rsidRDefault="001939F6" w:rsidP="001939F6">
            <w:pPr>
              <w:pStyle w:val="TableText"/>
              <w:ind w:left="113" w:right="113"/>
              <w:jc w:val="center"/>
              <w:rPr>
                <w:b/>
                <w:bCs/>
              </w:rPr>
            </w:pPr>
            <w:r w:rsidRPr="0062551F">
              <w:rPr>
                <w:b/>
                <w:bCs/>
              </w:rPr>
              <w:t>PLAN</w:t>
            </w:r>
          </w:p>
        </w:tc>
        <w:tc>
          <w:tcPr>
            <w:tcW w:w="663" w:type="pct"/>
            <w:shd w:val="clear" w:color="auto" w:fill="auto"/>
          </w:tcPr>
          <w:p w14:paraId="72AF37C6" w14:textId="061AC92D" w:rsidR="006B1D07" w:rsidRPr="0062551F" w:rsidRDefault="006B1D07">
            <w:pPr>
              <w:pStyle w:val="TableText"/>
              <w:rPr>
                <w:b/>
                <w:bCs/>
              </w:rPr>
            </w:pPr>
            <w:r w:rsidRPr="0062551F">
              <w:rPr>
                <w:b/>
                <w:bCs/>
              </w:rPr>
              <w:t>Purpose</w:t>
            </w:r>
          </w:p>
        </w:tc>
        <w:tc>
          <w:tcPr>
            <w:tcW w:w="1745" w:type="pct"/>
          </w:tcPr>
          <w:p w14:paraId="0C5AEFC2" w14:textId="4146BF05" w:rsidR="006B1D07" w:rsidRPr="00020892" w:rsidRDefault="006B1D07" w:rsidP="00EF4284">
            <w:pPr>
              <w:pStyle w:val="TableText"/>
              <w:ind w:left="29" w:hanging="29"/>
            </w:pPr>
            <w:r w:rsidRPr="00020892">
              <w:rPr>
                <w:b/>
                <w:bCs/>
              </w:rPr>
              <w:t>1.</w:t>
            </w:r>
            <w:r w:rsidRPr="00EF4284">
              <w:rPr>
                <w:b/>
                <w:bCs/>
              </w:rPr>
              <w:t xml:space="preserve"> What is the purpose of your winter forage crop?</w:t>
            </w:r>
          </w:p>
          <w:p w14:paraId="17ACAA7D" w14:textId="4EE1C497" w:rsidR="006B1D07" w:rsidRPr="00F84C27" w:rsidRDefault="006B1D07" w:rsidP="00F84C27">
            <w:pPr>
              <w:pStyle w:val="TableBullet"/>
            </w:pPr>
            <w:r w:rsidRPr="00F84C27">
              <w:t xml:space="preserve">Additional feed over winter? </w:t>
            </w:r>
          </w:p>
          <w:p w14:paraId="56153C0D" w14:textId="14AA8E00" w:rsidR="006B1D07" w:rsidRPr="00F84C27" w:rsidRDefault="006B1D07" w:rsidP="00F84C27">
            <w:pPr>
              <w:pStyle w:val="TableBullet"/>
            </w:pPr>
            <w:r w:rsidRPr="00F84C27">
              <w:t>Keep livestock off the rest of the farm?</w:t>
            </w:r>
          </w:p>
          <w:p w14:paraId="7394D959" w14:textId="6C380F03" w:rsidR="006B1D07" w:rsidRPr="006B77BB" w:rsidRDefault="006B1D07" w:rsidP="00F84C27">
            <w:pPr>
              <w:pStyle w:val="TableBullet"/>
            </w:pPr>
            <w:r w:rsidRPr="00F84C27">
              <w:t>Part of the pasture renewal cycle?</w:t>
            </w:r>
          </w:p>
        </w:tc>
        <w:tc>
          <w:tcPr>
            <w:tcW w:w="2250" w:type="pct"/>
            <w:shd w:val="clear" w:color="auto" w:fill="auto"/>
          </w:tcPr>
          <w:p w14:paraId="46FB9FF0" w14:textId="5887FA29" w:rsidR="006B1D07" w:rsidRPr="006B77BB" w:rsidRDefault="006B1D07">
            <w:pPr>
              <w:pStyle w:val="TableText"/>
            </w:pPr>
          </w:p>
        </w:tc>
      </w:tr>
      <w:tr w:rsidR="006B1D07" w:rsidRPr="006B77BB" w14:paraId="0041FC3D" w14:textId="77777777" w:rsidTr="00666308">
        <w:trPr>
          <w:tblHeader/>
        </w:trPr>
        <w:tc>
          <w:tcPr>
            <w:tcW w:w="342" w:type="pct"/>
            <w:vMerge/>
            <w:shd w:val="clear" w:color="auto" w:fill="D0E7F0" w:themeFill="accent2" w:themeFillTint="33"/>
          </w:tcPr>
          <w:p w14:paraId="45BBBF8D" w14:textId="77777777" w:rsidR="006B1D07" w:rsidRPr="006B77BB" w:rsidRDefault="006B1D07">
            <w:pPr>
              <w:pStyle w:val="TableText"/>
            </w:pPr>
          </w:p>
        </w:tc>
        <w:tc>
          <w:tcPr>
            <w:tcW w:w="663" w:type="pct"/>
            <w:shd w:val="clear" w:color="auto" w:fill="auto"/>
          </w:tcPr>
          <w:p w14:paraId="5DC80AEF" w14:textId="7EEFB3CD" w:rsidR="006B1D07" w:rsidRPr="0062551F" w:rsidRDefault="006B1D07">
            <w:pPr>
              <w:pStyle w:val="TableText"/>
              <w:rPr>
                <w:b/>
                <w:bCs/>
              </w:rPr>
            </w:pPr>
            <w:r w:rsidRPr="0062551F">
              <w:rPr>
                <w:b/>
                <w:bCs/>
              </w:rPr>
              <w:t>Crop choice</w:t>
            </w:r>
          </w:p>
        </w:tc>
        <w:tc>
          <w:tcPr>
            <w:tcW w:w="1745" w:type="pct"/>
          </w:tcPr>
          <w:p w14:paraId="5AD58582" w14:textId="2DAB71AB" w:rsidR="006B1D07" w:rsidRPr="00EF4284" w:rsidRDefault="006B1D07" w:rsidP="00020892">
            <w:pPr>
              <w:pStyle w:val="TableText"/>
              <w:rPr>
                <w:b/>
                <w:bCs/>
              </w:rPr>
            </w:pPr>
            <w:r w:rsidRPr="00020892">
              <w:rPr>
                <w:b/>
                <w:bCs/>
              </w:rPr>
              <w:t>2.</w:t>
            </w:r>
            <w:r w:rsidRPr="00EF4284">
              <w:rPr>
                <w:b/>
                <w:bCs/>
              </w:rPr>
              <w:t xml:space="preserve"> What crop are you choosing to grow and why?</w:t>
            </w:r>
          </w:p>
        </w:tc>
        <w:tc>
          <w:tcPr>
            <w:tcW w:w="2250" w:type="pct"/>
            <w:shd w:val="clear" w:color="auto" w:fill="auto"/>
          </w:tcPr>
          <w:p w14:paraId="23132575" w14:textId="02756BCF" w:rsidR="006B1D07" w:rsidRPr="00F84C27" w:rsidRDefault="006B1D07" w:rsidP="00F84C27">
            <w:pPr>
              <w:pStyle w:val="TableText"/>
            </w:pPr>
            <w:r w:rsidRPr="00F84C27">
              <w:t>A high</w:t>
            </w:r>
            <w:r w:rsidR="00A732E5">
              <w:t>-</w:t>
            </w:r>
            <w:r w:rsidRPr="00F84C27">
              <w:t xml:space="preserve">yielding winter forage crop like fodder beet leads to higher intensity grazing and greater risk </w:t>
            </w:r>
            <w:r w:rsidR="00A732E5">
              <w:t>of</w:t>
            </w:r>
            <w:r w:rsidR="00A732E5" w:rsidRPr="00F84C27">
              <w:t xml:space="preserve"> </w:t>
            </w:r>
            <w:r w:rsidRPr="00F84C27">
              <w:t>soil damage.</w:t>
            </w:r>
            <w:r w:rsidR="003B0999">
              <w:t xml:space="preserve"> </w:t>
            </w:r>
          </w:p>
          <w:p w14:paraId="5E5865B0" w14:textId="00BB13AF" w:rsidR="006B1D07" w:rsidRPr="006B77BB" w:rsidRDefault="006B1D07" w:rsidP="001F0000">
            <w:pPr>
              <w:pStyle w:val="TableText"/>
            </w:pPr>
            <w:r w:rsidRPr="00F84C27">
              <w:t xml:space="preserve">Companion planting, such as plantain sown with a brassica, can reduce the period of bare soil after winter grazing (see also </w:t>
            </w:r>
            <w:r w:rsidR="00A732E5">
              <w:t xml:space="preserve">the </w:t>
            </w:r>
            <w:hyperlink r:id="rId34" w:history="1">
              <w:r w:rsidR="00A732E5" w:rsidRPr="00A903DF">
                <w:rPr>
                  <w:rStyle w:val="Hyperlink"/>
                  <w:rFonts w:cstheme="minorBidi"/>
                  <w:szCs w:val="22"/>
                </w:rPr>
                <w:t>Ministry’s g</w:t>
              </w:r>
              <w:r w:rsidRPr="00A903DF">
                <w:rPr>
                  <w:rStyle w:val="Hyperlink"/>
                </w:rPr>
                <w:t>round</w:t>
              </w:r>
              <w:r w:rsidR="00A732E5" w:rsidRPr="00A903DF">
                <w:rPr>
                  <w:rStyle w:val="Hyperlink"/>
                </w:rPr>
                <w:t>c</w:t>
              </w:r>
              <w:r w:rsidRPr="00A903DF">
                <w:rPr>
                  <w:rStyle w:val="Hyperlink"/>
                </w:rPr>
                <w:t xml:space="preserve">over </w:t>
              </w:r>
              <w:r w:rsidR="00A732E5" w:rsidRPr="00A903DF">
                <w:rPr>
                  <w:rStyle w:val="Hyperlink"/>
                </w:rPr>
                <w:t>g</w:t>
              </w:r>
              <w:r w:rsidRPr="00A903DF">
                <w:rPr>
                  <w:rStyle w:val="Hyperlink"/>
                </w:rPr>
                <w:t>uidance</w:t>
              </w:r>
            </w:hyperlink>
            <w:r w:rsidRPr="00F84C27">
              <w:t>).</w:t>
            </w:r>
          </w:p>
        </w:tc>
      </w:tr>
      <w:tr w:rsidR="006B1D07" w:rsidRPr="006B77BB" w14:paraId="2D5C571E" w14:textId="77777777" w:rsidTr="00666308">
        <w:trPr>
          <w:tblHeader/>
        </w:trPr>
        <w:tc>
          <w:tcPr>
            <w:tcW w:w="342" w:type="pct"/>
            <w:vMerge/>
            <w:shd w:val="clear" w:color="auto" w:fill="D0E7F0" w:themeFill="accent2" w:themeFillTint="33"/>
          </w:tcPr>
          <w:p w14:paraId="23D02558" w14:textId="77777777" w:rsidR="006B1D07" w:rsidRPr="006B77BB" w:rsidRDefault="006B1D07">
            <w:pPr>
              <w:pStyle w:val="TableText"/>
            </w:pPr>
          </w:p>
        </w:tc>
        <w:tc>
          <w:tcPr>
            <w:tcW w:w="663" w:type="pct"/>
          </w:tcPr>
          <w:p w14:paraId="7E7667D4" w14:textId="161BA421" w:rsidR="006B1D07" w:rsidRPr="0062551F" w:rsidRDefault="006B1D07">
            <w:pPr>
              <w:pStyle w:val="TableText"/>
              <w:rPr>
                <w:b/>
                <w:bCs/>
              </w:rPr>
            </w:pPr>
            <w:r w:rsidRPr="0062551F">
              <w:rPr>
                <w:b/>
                <w:bCs/>
              </w:rPr>
              <w:t>Area required</w:t>
            </w:r>
          </w:p>
        </w:tc>
        <w:tc>
          <w:tcPr>
            <w:tcW w:w="1745" w:type="pct"/>
          </w:tcPr>
          <w:p w14:paraId="70ECA590" w14:textId="33CC1040" w:rsidR="006B1D07" w:rsidRPr="00666308" w:rsidRDefault="006B1D07" w:rsidP="00666308">
            <w:pPr>
              <w:pStyle w:val="TableText"/>
              <w:ind w:left="29"/>
              <w:rPr>
                <w:b/>
                <w:bCs/>
              </w:rPr>
            </w:pPr>
            <w:r w:rsidRPr="00020892">
              <w:rPr>
                <w:b/>
                <w:bCs/>
              </w:rPr>
              <w:t>3.</w:t>
            </w:r>
            <w:r w:rsidRPr="00666308">
              <w:rPr>
                <w:b/>
                <w:bCs/>
              </w:rPr>
              <w:t xml:space="preserve"> What area of crop (Q2) do you need to meet your need</w:t>
            </w:r>
            <w:r w:rsidR="00A732E5" w:rsidRPr="00666308">
              <w:rPr>
                <w:b/>
                <w:bCs/>
              </w:rPr>
              <w:t xml:space="preserve"> and/or </w:t>
            </w:r>
            <w:r w:rsidRPr="00666308">
              <w:rPr>
                <w:b/>
                <w:bCs/>
              </w:rPr>
              <w:t>purpose (Q1)?</w:t>
            </w:r>
          </w:p>
        </w:tc>
        <w:tc>
          <w:tcPr>
            <w:tcW w:w="2250" w:type="pct"/>
          </w:tcPr>
          <w:p w14:paraId="7AE51FEB" w14:textId="073A213C" w:rsidR="006B1D07" w:rsidRPr="006A4757" w:rsidRDefault="006B1D07" w:rsidP="006A4757">
            <w:pPr>
              <w:pStyle w:val="TableText"/>
            </w:pPr>
            <w:r w:rsidRPr="006A4757">
              <w:t>If this area is &gt;50 ha or 10</w:t>
            </w:r>
            <w:r w:rsidR="003F4436">
              <w:t>%</w:t>
            </w:r>
            <w:r w:rsidRPr="006A4757">
              <w:t xml:space="preserve"> of your farm, you will need to apply for a </w:t>
            </w:r>
            <w:r w:rsidR="00A732E5">
              <w:t xml:space="preserve">resource </w:t>
            </w:r>
            <w:r w:rsidRPr="006A4757">
              <w:t xml:space="preserve">consent. The area must also be no greater than the maximum area of land used for IWG in the reference period (1 July 2014 and 30 June 2019). </w:t>
            </w:r>
          </w:p>
          <w:p w14:paraId="1F7A2EA6" w14:textId="5C19A428" w:rsidR="006B1D07" w:rsidRPr="006B77BB" w:rsidRDefault="00A732E5" w:rsidP="006A4757">
            <w:pPr>
              <w:pStyle w:val="TableText"/>
            </w:pPr>
            <w:r>
              <w:t xml:space="preserve">Alternatively, </w:t>
            </w:r>
            <w:r w:rsidR="006B1D07" w:rsidRPr="006A4757">
              <w:t>revisit Q1 and Q2 and rethink crop choice based on purpose.</w:t>
            </w:r>
          </w:p>
        </w:tc>
      </w:tr>
      <w:tr w:rsidR="006B1D07" w:rsidRPr="006B77BB" w14:paraId="7070BE1C" w14:textId="77777777" w:rsidTr="00666308">
        <w:trPr>
          <w:tblHeader/>
        </w:trPr>
        <w:tc>
          <w:tcPr>
            <w:tcW w:w="342" w:type="pct"/>
            <w:vMerge/>
            <w:shd w:val="clear" w:color="auto" w:fill="D0E7F0" w:themeFill="accent2" w:themeFillTint="33"/>
          </w:tcPr>
          <w:p w14:paraId="2A080948" w14:textId="77777777" w:rsidR="006B1D07" w:rsidRPr="006B77BB" w:rsidRDefault="006B1D07">
            <w:pPr>
              <w:pStyle w:val="TableText"/>
            </w:pPr>
          </w:p>
        </w:tc>
        <w:tc>
          <w:tcPr>
            <w:tcW w:w="663" w:type="pct"/>
          </w:tcPr>
          <w:p w14:paraId="1158DC43" w14:textId="0129E657" w:rsidR="006B1D07" w:rsidRPr="0062551F" w:rsidRDefault="006B1D07">
            <w:pPr>
              <w:pStyle w:val="TableText"/>
              <w:rPr>
                <w:b/>
                <w:bCs/>
              </w:rPr>
            </w:pPr>
            <w:r w:rsidRPr="0062551F">
              <w:rPr>
                <w:b/>
                <w:bCs/>
              </w:rPr>
              <w:t>Walkover survey</w:t>
            </w:r>
          </w:p>
        </w:tc>
        <w:tc>
          <w:tcPr>
            <w:tcW w:w="1745" w:type="pct"/>
          </w:tcPr>
          <w:p w14:paraId="44F36B82" w14:textId="77777777" w:rsidR="006B1D07" w:rsidRPr="002D3CD7" w:rsidRDefault="006B1D07" w:rsidP="006A4757">
            <w:pPr>
              <w:pStyle w:val="TableText"/>
              <w:rPr>
                <w:b/>
                <w:bCs/>
              </w:rPr>
            </w:pPr>
            <w:r w:rsidRPr="00020892">
              <w:rPr>
                <w:b/>
                <w:bCs/>
              </w:rPr>
              <w:t>4.</w:t>
            </w:r>
            <w:r w:rsidRPr="002D3CD7">
              <w:rPr>
                <w:b/>
                <w:bCs/>
              </w:rPr>
              <w:t xml:space="preserve"> What features are in your prospective IWG paddocks that have the potential to accelerate contaminant delivery to waterways during intensive winter grazing? </w:t>
            </w:r>
          </w:p>
          <w:p w14:paraId="1906A64C" w14:textId="18F6F9B7" w:rsidR="006B1D07" w:rsidRPr="001F0000" w:rsidRDefault="00580610" w:rsidP="006A4757">
            <w:pPr>
              <w:pStyle w:val="TableText"/>
            </w:pPr>
            <w:r>
              <w:t>(</w:t>
            </w:r>
            <w:r w:rsidR="006B1D07" w:rsidRPr="006A4757">
              <w:t xml:space="preserve">See </w:t>
            </w:r>
            <w:hyperlink w:anchor="_6.2.2_Management_between" w:history="1">
              <w:r w:rsidR="00047796" w:rsidRPr="00047796">
                <w:rPr>
                  <w:rStyle w:val="Hyperlink"/>
                  <w:rFonts w:cstheme="minorBidi"/>
                  <w:szCs w:val="22"/>
                </w:rPr>
                <w:t>s</w:t>
              </w:r>
              <w:r w:rsidR="006B1D07" w:rsidRPr="00047796">
                <w:rPr>
                  <w:rStyle w:val="Hyperlink"/>
                </w:rPr>
                <w:t>ection 6.2.2</w:t>
              </w:r>
            </w:hyperlink>
            <w:r w:rsidR="006B1D07" w:rsidRPr="006A4757">
              <w:t xml:space="preserve"> for features to note and use the walkover survey guide in </w:t>
            </w:r>
            <w:hyperlink w:anchor="_Appendix_1:_Walkover" w:history="1">
              <w:r w:rsidR="00A732E5" w:rsidRPr="00E273E5">
                <w:rPr>
                  <w:rStyle w:val="Hyperlink"/>
                  <w:rFonts w:cstheme="minorBidi"/>
                  <w:szCs w:val="22"/>
                </w:rPr>
                <w:t>a</w:t>
              </w:r>
              <w:r w:rsidR="006B1D07" w:rsidRPr="00E273E5">
                <w:rPr>
                  <w:rStyle w:val="Hyperlink"/>
                </w:rPr>
                <w:t>ppendix 1</w:t>
              </w:r>
            </w:hyperlink>
            <w:r w:rsidR="006B1D07" w:rsidRPr="006A4757">
              <w:t>.</w:t>
            </w:r>
            <w:r>
              <w:t>)</w:t>
            </w:r>
          </w:p>
        </w:tc>
        <w:tc>
          <w:tcPr>
            <w:tcW w:w="2250" w:type="pct"/>
          </w:tcPr>
          <w:p w14:paraId="2F266EAD" w14:textId="44D91532" w:rsidR="006B1D07" w:rsidRPr="006A4757" w:rsidRDefault="006B1D07" w:rsidP="006A4757">
            <w:pPr>
              <w:pStyle w:val="TableText"/>
            </w:pPr>
            <w:r w:rsidRPr="006A4757">
              <w:t xml:space="preserve">The walkover survey includes </w:t>
            </w:r>
            <w:r w:rsidR="00A732E5">
              <w:t>identifying</w:t>
            </w:r>
            <w:r w:rsidRPr="006A4757">
              <w:t xml:space="preserve"> </w:t>
            </w:r>
            <w:r w:rsidR="00702C1F">
              <w:t>critical source area</w:t>
            </w:r>
            <w:r w:rsidRPr="006A4757">
              <w:t xml:space="preserve">s and waterways that are important for paddock selection. </w:t>
            </w:r>
            <w:r w:rsidR="00A732E5">
              <w:t>C</w:t>
            </w:r>
            <w:r w:rsidR="00702C1F">
              <w:t>ritical source area</w:t>
            </w:r>
            <w:r w:rsidRPr="006A4757">
              <w:t xml:space="preserve">s must be protected, and livestock must be kept at least 5 </w:t>
            </w:r>
            <w:r w:rsidR="00545437">
              <w:t>metres</w:t>
            </w:r>
            <w:r w:rsidRPr="006A4757">
              <w:t xml:space="preserve"> away from waterways</w:t>
            </w:r>
            <w:r w:rsidR="00A732E5">
              <w:t xml:space="preserve"> from</w:t>
            </w:r>
            <w:r w:rsidRPr="006A4757">
              <w:t xml:space="preserve"> 1 May </w:t>
            </w:r>
            <w:r w:rsidR="00A732E5">
              <w:t xml:space="preserve">to </w:t>
            </w:r>
            <w:r w:rsidRPr="006A4757">
              <w:t xml:space="preserve">30 September (see </w:t>
            </w:r>
            <w:hyperlink w:anchor="_4._Regulation_requirements" w:history="1">
              <w:r w:rsidR="00A732E5" w:rsidRPr="00C81E68">
                <w:rPr>
                  <w:rStyle w:val="Hyperlink"/>
                  <w:rFonts w:cstheme="minorBidi"/>
                  <w:szCs w:val="22"/>
                </w:rPr>
                <w:t>s</w:t>
              </w:r>
              <w:r w:rsidRPr="00C81E68">
                <w:rPr>
                  <w:rStyle w:val="Hyperlink"/>
                </w:rPr>
                <w:t>ection 4</w:t>
              </w:r>
            </w:hyperlink>
            <w:r w:rsidRPr="006A4757">
              <w:t>).</w:t>
            </w:r>
          </w:p>
        </w:tc>
      </w:tr>
      <w:tr w:rsidR="006B1D07" w:rsidRPr="006B77BB" w14:paraId="647038A9" w14:textId="77777777" w:rsidTr="00666308">
        <w:trPr>
          <w:tblHeader/>
        </w:trPr>
        <w:tc>
          <w:tcPr>
            <w:tcW w:w="342" w:type="pct"/>
            <w:vMerge/>
            <w:shd w:val="clear" w:color="auto" w:fill="D0E7F0" w:themeFill="accent2" w:themeFillTint="33"/>
          </w:tcPr>
          <w:p w14:paraId="5D468D3A" w14:textId="77777777" w:rsidR="006B1D07" w:rsidRPr="006B77BB" w:rsidRDefault="006B1D07">
            <w:pPr>
              <w:pStyle w:val="TableText"/>
            </w:pPr>
          </w:p>
        </w:tc>
        <w:tc>
          <w:tcPr>
            <w:tcW w:w="663" w:type="pct"/>
          </w:tcPr>
          <w:p w14:paraId="76A4CA6D" w14:textId="11E6B858" w:rsidR="006B1D07" w:rsidRPr="0062551F" w:rsidRDefault="006B1D07">
            <w:pPr>
              <w:pStyle w:val="TableText"/>
              <w:rPr>
                <w:b/>
                <w:bCs/>
              </w:rPr>
            </w:pPr>
            <w:r w:rsidRPr="0062551F">
              <w:rPr>
                <w:b/>
                <w:bCs/>
              </w:rPr>
              <w:t>Risk factor: Slope</w:t>
            </w:r>
          </w:p>
        </w:tc>
        <w:tc>
          <w:tcPr>
            <w:tcW w:w="1745" w:type="pct"/>
          </w:tcPr>
          <w:p w14:paraId="2AF6A811" w14:textId="2E5956FA" w:rsidR="006B1D07" w:rsidRPr="002D3CD7" w:rsidRDefault="006B1D07" w:rsidP="006A4757">
            <w:pPr>
              <w:pStyle w:val="TableText"/>
              <w:rPr>
                <w:b/>
                <w:bCs/>
              </w:rPr>
            </w:pPr>
            <w:r w:rsidRPr="00020892">
              <w:rPr>
                <w:b/>
                <w:bCs/>
              </w:rPr>
              <w:t>5.</w:t>
            </w:r>
            <w:r w:rsidRPr="002D3CD7">
              <w:rPr>
                <w:b/>
                <w:bCs/>
              </w:rPr>
              <w:t xml:space="preserve"> What is the slope in the paddock you plan to crop?</w:t>
            </w:r>
          </w:p>
        </w:tc>
        <w:tc>
          <w:tcPr>
            <w:tcW w:w="2250" w:type="pct"/>
          </w:tcPr>
          <w:p w14:paraId="192AFDDF" w14:textId="1A17144D" w:rsidR="006B1D07" w:rsidRPr="00DE4AD3" w:rsidRDefault="006B1D07" w:rsidP="00DE4AD3">
            <w:pPr>
              <w:pStyle w:val="TableText"/>
            </w:pPr>
            <w:r w:rsidRPr="00DE4AD3">
              <w:t xml:space="preserve">If this is </w:t>
            </w:r>
            <w:r w:rsidR="00A732E5">
              <w:t>more than</w:t>
            </w:r>
            <w:r w:rsidR="00A732E5" w:rsidRPr="00DE4AD3">
              <w:t xml:space="preserve"> </w:t>
            </w:r>
            <w:r w:rsidRPr="00DE4AD3">
              <w:t xml:space="preserve">10 degrees, you will need to apply for a </w:t>
            </w:r>
            <w:r w:rsidR="00A732E5">
              <w:t xml:space="preserve">resource </w:t>
            </w:r>
            <w:r w:rsidRPr="00DE4AD3">
              <w:t xml:space="preserve">consent. </w:t>
            </w:r>
          </w:p>
          <w:p w14:paraId="539A6061" w14:textId="215A23AA" w:rsidR="006B1D07" w:rsidRPr="006A4757" w:rsidRDefault="006B1D07" w:rsidP="00DE4AD3">
            <w:pPr>
              <w:pStyle w:val="TableText"/>
            </w:pPr>
            <w:r w:rsidRPr="00DE4AD3">
              <w:t>Alternately, you can choose not to crop the steeper sections of the paddock.</w:t>
            </w:r>
          </w:p>
        </w:tc>
      </w:tr>
      <w:tr w:rsidR="006B1D07" w:rsidRPr="006B77BB" w14:paraId="47EBCEB6" w14:textId="77777777" w:rsidTr="00666308">
        <w:trPr>
          <w:tblHeader/>
        </w:trPr>
        <w:tc>
          <w:tcPr>
            <w:tcW w:w="342" w:type="pct"/>
            <w:vMerge/>
            <w:shd w:val="clear" w:color="auto" w:fill="D0E7F0" w:themeFill="accent2" w:themeFillTint="33"/>
          </w:tcPr>
          <w:p w14:paraId="612858BF" w14:textId="77777777" w:rsidR="006B1D07" w:rsidRPr="006B77BB" w:rsidRDefault="006B1D07">
            <w:pPr>
              <w:pStyle w:val="TableText"/>
            </w:pPr>
          </w:p>
        </w:tc>
        <w:tc>
          <w:tcPr>
            <w:tcW w:w="663" w:type="pct"/>
          </w:tcPr>
          <w:p w14:paraId="63E17605" w14:textId="2A8E389A" w:rsidR="006B1D07" w:rsidRPr="0062551F" w:rsidRDefault="006B1D07">
            <w:pPr>
              <w:pStyle w:val="TableText"/>
              <w:rPr>
                <w:b/>
                <w:bCs/>
              </w:rPr>
            </w:pPr>
            <w:r w:rsidRPr="0062551F">
              <w:rPr>
                <w:b/>
                <w:bCs/>
              </w:rPr>
              <w:t>Risk factor: Soil</w:t>
            </w:r>
          </w:p>
        </w:tc>
        <w:tc>
          <w:tcPr>
            <w:tcW w:w="1745" w:type="pct"/>
          </w:tcPr>
          <w:p w14:paraId="290DF20A" w14:textId="77777777" w:rsidR="006B1D07" w:rsidRPr="00EF4284" w:rsidRDefault="006B1D07" w:rsidP="00DE4AD3">
            <w:pPr>
              <w:pStyle w:val="TableText"/>
              <w:rPr>
                <w:b/>
                <w:bCs/>
              </w:rPr>
            </w:pPr>
            <w:r w:rsidRPr="00020892">
              <w:rPr>
                <w:b/>
                <w:bCs/>
              </w:rPr>
              <w:t>6.</w:t>
            </w:r>
            <w:r w:rsidRPr="00EF4284">
              <w:rPr>
                <w:b/>
                <w:bCs/>
              </w:rPr>
              <w:t xml:space="preserve"> Is it a heavy soil in the paddock you plan to crop? </w:t>
            </w:r>
          </w:p>
          <w:p w14:paraId="684017B1" w14:textId="77777777" w:rsidR="00580610" w:rsidRDefault="006B1D07" w:rsidP="00FA5F79">
            <w:pPr>
              <w:pStyle w:val="TableText"/>
            </w:pPr>
            <w:r w:rsidRPr="00DE4AD3">
              <w:t>If yes</w:t>
            </w:r>
            <w:r w:rsidR="00580610">
              <w:t>:</w:t>
            </w:r>
          </w:p>
          <w:p w14:paraId="5B798777" w14:textId="225673F3" w:rsidR="006B1D07" w:rsidRPr="00DE4AD3" w:rsidRDefault="006B1D07" w:rsidP="00FA5F79">
            <w:pPr>
              <w:pStyle w:val="TableText"/>
            </w:pPr>
            <w:r w:rsidRPr="00FA5F79">
              <w:rPr>
                <w:b/>
                <w:bCs/>
              </w:rPr>
              <w:t>6a.</w:t>
            </w:r>
            <w:r w:rsidRPr="00DE4AD3">
              <w:t xml:space="preserve"> </w:t>
            </w:r>
            <w:r w:rsidRPr="00DD3CE4">
              <w:rPr>
                <w:b/>
                <w:bCs/>
              </w:rPr>
              <w:t>How do you plan to mitigate the risk of soil damage?</w:t>
            </w:r>
          </w:p>
        </w:tc>
        <w:tc>
          <w:tcPr>
            <w:tcW w:w="2250" w:type="pct"/>
          </w:tcPr>
          <w:p w14:paraId="604EBE6A" w14:textId="4A3D49BC" w:rsidR="006B1D07" w:rsidRPr="00DE4AD3" w:rsidRDefault="006B1D07" w:rsidP="00DE4AD3">
            <w:pPr>
              <w:pStyle w:val="TableText"/>
            </w:pPr>
            <w:r w:rsidRPr="00DE4AD3">
              <w:t xml:space="preserve">In general, heavy soils are more susceptible to damage from winter grazing compared with free-draining stony soils (Drewry </w:t>
            </w:r>
            <w:r w:rsidR="003B0999">
              <w:t>et al,</w:t>
            </w:r>
            <w:r w:rsidRPr="00DE4AD3">
              <w:t xml:space="preserve"> 2008). See also </w:t>
            </w:r>
            <w:hyperlink w:anchor="_6.2_Managing_critical" w:history="1">
              <w:r w:rsidRPr="00E273E5">
                <w:rPr>
                  <w:rStyle w:val="Hyperlink"/>
                  <w:rFonts w:cstheme="minorBidi"/>
                  <w:szCs w:val="22"/>
                </w:rPr>
                <w:t>section 6.2</w:t>
              </w:r>
            </w:hyperlink>
            <w:r w:rsidRPr="00DE4AD3">
              <w:t>.</w:t>
            </w:r>
          </w:p>
        </w:tc>
      </w:tr>
      <w:tr w:rsidR="006B1D07" w:rsidRPr="006B77BB" w14:paraId="77CB1B1C" w14:textId="77777777" w:rsidTr="00666308">
        <w:trPr>
          <w:tblHeader/>
        </w:trPr>
        <w:tc>
          <w:tcPr>
            <w:tcW w:w="342" w:type="pct"/>
            <w:vMerge/>
            <w:shd w:val="clear" w:color="auto" w:fill="D0E7F0" w:themeFill="accent2" w:themeFillTint="33"/>
          </w:tcPr>
          <w:p w14:paraId="43C91470" w14:textId="77777777" w:rsidR="006B1D07" w:rsidRPr="006B77BB" w:rsidRDefault="006B1D07" w:rsidP="00DE4AD3">
            <w:pPr>
              <w:pStyle w:val="TableText"/>
            </w:pPr>
          </w:p>
        </w:tc>
        <w:tc>
          <w:tcPr>
            <w:tcW w:w="663" w:type="pct"/>
          </w:tcPr>
          <w:p w14:paraId="1421E328" w14:textId="39F584B6" w:rsidR="006B1D07" w:rsidRPr="0062551F" w:rsidRDefault="006B1D07" w:rsidP="00DE4AD3">
            <w:pPr>
              <w:pStyle w:val="TableText"/>
              <w:rPr>
                <w:b/>
                <w:bCs/>
              </w:rPr>
            </w:pPr>
            <w:r w:rsidRPr="0062551F">
              <w:rPr>
                <w:b/>
                <w:bCs/>
              </w:rPr>
              <w:t xml:space="preserve">Paddock </w:t>
            </w:r>
            <w:r w:rsidR="00A732E5">
              <w:rPr>
                <w:b/>
                <w:bCs/>
              </w:rPr>
              <w:t>s</w:t>
            </w:r>
            <w:r w:rsidRPr="0062551F">
              <w:rPr>
                <w:b/>
                <w:bCs/>
              </w:rPr>
              <w:t xml:space="preserve">election </w:t>
            </w:r>
          </w:p>
        </w:tc>
        <w:tc>
          <w:tcPr>
            <w:tcW w:w="1745" w:type="pct"/>
          </w:tcPr>
          <w:p w14:paraId="73144088" w14:textId="2800F89E" w:rsidR="006B1D07" w:rsidRPr="00EF4284" w:rsidRDefault="006B1D07" w:rsidP="00DE4AD3">
            <w:pPr>
              <w:pStyle w:val="TableText"/>
              <w:rPr>
                <w:b/>
                <w:bCs/>
              </w:rPr>
            </w:pPr>
            <w:r w:rsidRPr="00020892">
              <w:rPr>
                <w:b/>
                <w:bCs/>
              </w:rPr>
              <w:t>7.</w:t>
            </w:r>
            <w:r w:rsidRPr="00EF4284">
              <w:rPr>
                <w:b/>
                <w:bCs/>
              </w:rPr>
              <w:t xml:space="preserve"> Choose the location best suited to grow and graze your preferred crop with minimal impact on the environment. </w:t>
            </w:r>
          </w:p>
        </w:tc>
        <w:tc>
          <w:tcPr>
            <w:tcW w:w="2250" w:type="pct"/>
          </w:tcPr>
          <w:p w14:paraId="6AFC9ACA" w14:textId="484E963F" w:rsidR="006B1D07" w:rsidRPr="00DE4AD3" w:rsidRDefault="006B1D07" w:rsidP="00DE4AD3">
            <w:pPr>
              <w:pStyle w:val="TableText"/>
            </w:pPr>
            <w:r w:rsidRPr="00C1717B">
              <w:t>Also check local regional plans that may address related issues, and whichever is more stringent applies.</w:t>
            </w:r>
          </w:p>
        </w:tc>
      </w:tr>
    </w:tbl>
    <w:p w14:paraId="6737DCA6" w14:textId="2AD40459" w:rsidR="00253FBC" w:rsidRDefault="00253FBC">
      <w:pPr>
        <w:spacing w:before="0" w:after="200" w:line="276" w:lineRule="auto"/>
        <w:jc w:val="left"/>
      </w:pPr>
    </w:p>
    <w:p w14:paraId="22B799AF" w14:textId="77777777" w:rsidR="00253FBC" w:rsidRDefault="00253FBC">
      <w:pPr>
        <w:spacing w:before="0" w:after="200" w:line="276" w:lineRule="auto"/>
        <w:jc w:val="left"/>
      </w:pPr>
      <w:r>
        <w:br w:type="page"/>
      </w:r>
    </w:p>
    <w:p w14:paraId="1775D70C" w14:textId="3923E2BE" w:rsidR="007267B0" w:rsidRDefault="007267B0">
      <w:pPr>
        <w:spacing w:before="0" w:after="200" w:line="276" w:lineRule="auto"/>
        <w:jc w:val="left"/>
      </w:pPr>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582"/>
        <w:gridCol w:w="1128"/>
        <w:gridCol w:w="2968"/>
        <w:gridCol w:w="3827"/>
      </w:tblGrid>
      <w:tr w:rsidR="004C5678" w:rsidRPr="006B77BB" w14:paraId="387212F5" w14:textId="77777777" w:rsidTr="002D3CD7">
        <w:tc>
          <w:tcPr>
            <w:tcW w:w="342" w:type="pct"/>
            <w:vMerge w:val="restart"/>
            <w:shd w:val="clear" w:color="auto" w:fill="D0E7F0" w:themeFill="accent2" w:themeFillTint="33"/>
            <w:textDirection w:val="btLr"/>
            <w:vAlign w:val="center"/>
          </w:tcPr>
          <w:p w14:paraId="69323AD1" w14:textId="5B72FE19" w:rsidR="004C5678" w:rsidRPr="00D10459" w:rsidRDefault="001939F6" w:rsidP="001939F6">
            <w:pPr>
              <w:pStyle w:val="TableText"/>
              <w:ind w:left="113" w:right="113"/>
              <w:jc w:val="center"/>
              <w:rPr>
                <w:b/>
                <w:bCs/>
              </w:rPr>
            </w:pPr>
            <w:r w:rsidRPr="00D10459">
              <w:rPr>
                <w:b/>
                <w:bCs/>
              </w:rPr>
              <w:t>PREPARE</w:t>
            </w:r>
          </w:p>
        </w:tc>
        <w:tc>
          <w:tcPr>
            <w:tcW w:w="663" w:type="pct"/>
          </w:tcPr>
          <w:p w14:paraId="47075C43" w14:textId="7CE245EB" w:rsidR="004C5678" w:rsidRPr="006E5AA5" w:rsidRDefault="004C5678" w:rsidP="003C24EA">
            <w:pPr>
              <w:pStyle w:val="TableText"/>
              <w:rPr>
                <w:b/>
                <w:bCs/>
              </w:rPr>
            </w:pPr>
            <w:r w:rsidRPr="006E5AA5">
              <w:rPr>
                <w:b/>
                <w:bCs/>
              </w:rPr>
              <w:t>Cropping methods</w:t>
            </w:r>
          </w:p>
        </w:tc>
        <w:tc>
          <w:tcPr>
            <w:tcW w:w="1745" w:type="pct"/>
          </w:tcPr>
          <w:p w14:paraId="006B453E" w14:textId="0FA14BCC" w:rsidR="004C5678" w:rsidRPr="00020892" w:rsidRDefault="004C5678" w:rsidP="003C24EA">
            <w:pPr>
              <w:pStyle w:val="TableText"/>
            </w:pPr>
            <w:r w:rsidRPr="00020892">
              <w:rPr>
                <w:b/>
                <w:bCs/>
              </w:rPr>
              <w:t>8.</w:t>
            </w:r>
            <w:r w:rsidRPr="002D3CD7">
              <w:rPr>
                <w:b/>
                <w:bCs/>
              </w:rPr>
              <w:t xml:space="preserve"> What preparation does the selected paddock(s) require? How will you minimise the risk during the establishment period</w:t>
            </w:r>
            <w:r w:rsidRPr="00020892">
              <w:t xml:space="preserve">? </w:t>
            </w:r>
          </w:p>
        </w:tc>
        <w:tc>
          <w:tcPr>
            <w:tcW w:w="2250" w:type="pct"/>
          </w:tcPr>
          <w:p w14:paraId="015DDD19" w14:textId="77777777" w:rsidR="004C5678" w:rsidRPr="003C24EA" w:rsidRDefault="004C5678" w:rsidP="003C24EA">
            <w:pPr>
              <w:pStyle w:val="TableText"/>
            </w:pPr>
            <w:r w:rsidRPr="003C24EA">
              <w:t xml:space="preserve">Ensure clear communication with any external contractors by indicating sites to protect or avoid. </w:t>
            </w:r>
          </w:p>
          <w:p w14:paraId="2E4C1944" w14:textId="51250EC0" w:rsidR="004C5678" w:rsidRPr="00C1717B" w:rsidRDefault="004C5678" w:rsidP="003C24EA">
            <w:pPr>
              <w:pStyle w:val="TableText"/>
            </w:pPr>
            <w:r w:rsidRPr="003C24EA">
              <w:t>Establishing winter forage crops with reduced tillage (</w:t>
            </w:r>
            <w:r w:rsidR="003B0999">
              <w:t>eg</w:t>
            </w:r>
            <w:r w:rsidRPr="003C24EA">
              <w:t>, no tillage, shallow non-inversion tillage</w:t>
            </w:r>
            <w:r w:rsidR="00A732E5">
              <w:t xml:space="preserve"> or </w:t>
            </w:r>
            <w:r w:rsidRPr="003C24EA">
              <w:t xml:space="preserve">strip tillage) can reduce the risk of pugging and compaction during winter grazing (Thomas </w:t>
            </w:r>
            <w:r w:rsidR="003B0999">
              <w:t>et al,</w:t>
            </w:r>
            <w:r w:rsidRPr="003C24EA">
              <w:t xml:space="preserve"> 2004; Hu </w:t>
            </w:r>
            <w:r w:rsidR="003B0999">
              <w:t>et al,</w:t>
            </w:r>
            <w:r w:rsidRPr="003C24EA">
              <w:t xml:space="preserve"> 2020). See </w:t>
            </w:r>
            <w:hyperlink w:anchor="_6.2.1_Management_before" w:history="1">
              <w:r w:rsidRPr="00E273E5">
                <w:rPr>
                  <w:rStyle w:val="Hyperlink"/>
                  <w:rFonts w:cstheme="minorBidi"/>
                  <w:szCs w:val="22"/>
                </w:rPr>
                <w:t>section</w:t>
              </w:r>
              <w:r w:rsidR="00E273E5">
                <w:rPr>
                  <w:rStyle w:val="Hyperlink"/>
                  <w:rFonts w:cstheme="minorBidi"/>
                  <w:szCs w:val="22"/>
                </w:rPr>
                <w:t> </w:t>
              </w:r>
              <w:r w:rsidRPr="00E273E5">
                <w:rPr>
                  <w:rStyle w:val="Hyperlink"/>
                  <w:rFonts w:cstheme="minorBidi"/>
                  <w:szCs w:val="22"/>
                </w:rPr>
                <w:t>6.2.1</w:t>
              </w:r>
            </w:hyperlink>
            <w:r w:rsidRPr="003C24EA">
              <w:t xml:space="preserve">, and also the </w:t>
            </w:r>
            <w:hyperlink r:id="rId35" w:history="1">
              <w:r w:rsidR="00A732E5" w:rsidRPr="009C2F97">
                <w:rPr>
                  <w:rStyle w:val="Hyperlink"/>
                  <w:rFonts w:cstheme="minorBidi"/>
                  <w:szCs w:val="22"/>
                </w:rPr>
                <w:t xml:space="preserve">Ministry’s </w:t>
              </w:r>
              <w:r w:rsidRPr="009C2F97">
                <w:rPr>
                  <w:rStyle w:val="Hyperlink"/>
                </w:rPr>
                <w:t>pugging guidance</w:t>
              </w:r>
            </w:hyperlink>
            <w:r w:rsidRPr="003C24EA">
              <w:t>.</w:t>
            </w:r>
          </w:p>
        </w:tc>
      </w:tr>
      <w:tr w:rsidR="004C5678" w:rsidRPr="006B77BB" w14:paraId="37ADAF62" w14:textId="77777777" w:rsidTr="002D3CD7">
        <w:tc>
          <w:tcPr>
            <w:tcW w:w="342" w:type="pct"/>
            <w:vMerge/>
            <w:shd w:val="clear" w:color="auto" w:fill="D0E7F0" w:themeFill="accent2" w:themeFillTint="33"/>
          </w:tcPr>
          <w:p w14:paraId="5E08ABB5" w14:textId="77777777" w:rsidR="004C5678" w:rsidRPr="006B77BB" w:rsidRDefault="004C5678" w:rsidP="003C24EA">
            <w:pPr>
              <w:pStyle w:val="TableText"/>
            </w:pPr>
          </w:p>
        </w:tc>
        <w:tc>
          <w:tcPr>
            <w:tcW w:w="663" w:type="pct"/>
          </w:tcPr>
          <w:p w14:paraId="0DB0396A" w14:textId="0853936B" w:rsidR="004C5678" w:rsidRPr="00D10459" w:rsidRDefault="00702C1F" w:rsidP="003C24EA">
            <w:pPr>
              <w:pStyle w:val="TableText"/>
              <w:rPr>
                <w:b/>
                <w:bCs/>
              </w:rPr>
            </w:pPr>
            <w:r>
              <w:rPr>
                <w:b/>
                <w:bCs/>
              </w:rPr>
              <w:t>Critical source area</w:t>
            </w:r>
            <w:r w:rsidR="004C5678" w:rsidRPr="00D10459">
              <w:rPr>
                <w:b/>
                <w:bCs/>
              </w:rPr>
              <w:t xml:space="preserve"> </w:t>
            </w:r>
            <w:r>
              <w:rPr>
                <w:b/>
                <w:bCs/>
              </w:rPr>
              <w:t>p</w:t>
            </w:r>
            <w:r w:rsidR="004C5678" w:rsidRPr="00D10459">
              <w:rPr>
                <w:b/>
                <w:bCs/>
              </w:rPr>
              <w:t>rotection</w:t>
            </w:r>
          </w:p>
        </w:tc>
        <w:tc>
          <w:tcPr>
            <w:tcW w:w="1745" w:type="pct"/>
          </w:tcPr>
          <w:p w14:paraId="72EFFAD2" w14:textId="77777777" w:rsidR="004C5678" w:rsidRPr="002D3CD7" w:rsidRDefault="004C5678" w:rsidP="003C24EA">
            <w:pPr>
              <w:pStyle w:val="TableText"/>
              <w:rPr>
                <w:b/>
                <w:bCs/>
              </w:rPr>
            </w:pPr>
            <w:r w:rsidRPr="00020892">
              <w:rPr>
                <w:b/>
                <w:bCs/>
              </w:rPr>
              <w:t>9.</w:t>
            </w:r>
            <w:r w:rsidRPr="002D3CD7">
              <w:rPr>
                <w:b/>
                <w:bCs/>
              </w:rPr>
              <w:t xml:space="preserve"> What is your plan for protecting the CSAs identified in your walkover survey? </w:t>
            </w:r>
          </w:p>
          <w:p w14:paraId="7B7649AA" w14:textId="77777777" w:rsidR="004C5678" w:rsidRDefault="004C5678" w:rsidP="003C24EA">
            <w:pPr>
              <w:pStyle w:val="TableBullet"/>
            </w:pPr>
            <w:r>
              <w:t>Is it worth permanently fencing off the area?</w:t>
            </w:r>
          </w:p>
          <w:p w14:paraId="03F4F6DF" w14:textId="193778EB" w:rsidR="004C5678" w:rsidRDefault="004C5678" w:rsidP="003C24EA">
            <w:pPr>
              <w:pStyle w:val="TableBullet"/>
            </w:pPr>
            <w:r>
              <w:t xml:space="preserve">How large a buffer area around the CSA should you allow for based on site factors and previous experience? </w:t>
            </w:r>
          </w:p>
          <w:p w14:paraId="3C97583F" w14:textId="253B38D5" w:rsidR="004C5678" w:rsidRPr="003C24EA" w:rsidRDefault="004C5678" w:rsidP="003C24EA">
            <w:pPr>
              <w:pStyle w:val="TableBullet"/>
            </w:pPr>
            <w:r>
              <w:t xml:space="preserve">Is there good vegetation cover in the CSA? </w:t>
            </w:r>
          </w:p>
        </w:tc>
        <w:tc>
          <w:tcPr>
            <w:tcW w:w="2250" w:type="pct"/>
          </w:tcPr>
          <w:p w14:paraId="15214055" w14:textId="094B2A8B" w:rsidR="004C5678" w:rsidRPr="003C24EA" w:rsidRDefault="004C5678" w:rsidP="003C24EA">
            <w:pPr>
              <w:pStyle w:val="TableText"/>
              <w:rPr>
                <w:rFonts w:cstheme="minorBidi"/>
                <w:sz w:val="22"/>
                <w:szCs w:val="22"/>
              </w:rPr>
            </w:pPr>
            <w:r>
              <w:t>Fence off CSAs temporarily to graze the area outside the winter grazing months (</w:t>
            </w:r>
            <w:r w:rsidR="00020892">
              <w:t xml:space="preserve">from </w:t>
            </w:r>
            <w:r>
              <w:t xml:space="preserve">1 May </w:t>
            </w:r>
            <w:r w:rsidR="00020892">
              <w:t xml:space="preserve">to </w:t>
            </w:r>
            <w:r>
              <w:t>30 September), or fence permanently.</w:t>
            </w:r>
          </w:p>
        </w:tc>
      </w:tr>
      <w:tr w:rsidR="00D8198E" w:rsidRPr="006B77BB" w14:paraId="1115D1E3" w14:textId="77777777" w:rsidTr="002D3CD7">
        <w:trPr>
          <w:cantSplit/>
          <w:trHeight w:val="1134"/>
        </w:trPr>
        <w:tc>
          <w:tcPr>
            <w:tcW w:w="342" w:type="pct"/>
            <w:shd w:val="clear" w:color="auto" w:fill="D0E7F0" w:themeFill="accent2" w:themeFillTint="33"/>
            <w:textDirection w:val="btLr"/>
          </w:tcPr>
          <w:p w14:paraId="342522CD" w14:textId="321B0645" w:rsidR="00D8198E" w:rsidRPr="00D10459" w:rsidRDefault="00D8198E" w:rsidP="00D8198E">
            <w:pPr>
              <w:pStyle w:val="TableText"/>
              <w:ind w:left="113" w:right="113"/>
              <w:jc w:val="center"/>
              <w:rPr>
                <w:b/>
                <w:bCs/>
              </w:rPr>
            </w:pPr>
            <w:r w:rsidRPr="00D10459">
              <w:rPr>
                <w:b/>
                <w:bCs/>
              </w:rPr>
              <w:t>GRAZE</w:t>
            </w:r>
          </w:p>
        </w:tc>
        <w:tc>
          <w:tcPr>
            <w:tcW w:w="663" w:type="pct"/>
          </w:tcPr>
          <w:p w14:paraId="0FB4EF89" w14:textId="5949745A" w:rsidR="00D8198E" w:rsidRPr="00D10459" w:rsidRDefault="00D8198E" w:rsidP="00D8198E">
            <w:pPr>
              <w:pStyle w:val="TableText"/>
              <w:rPr>
                <w:b/>
                <w:bCs/>
              </w:rPr>
            </w:pPr>
            <w:r w:rsidRPr="00D10459">
              <w:rPr>
                <w:b/>
                <w:bCs/>
              </w:rPr>
              <w:t xml:space="preserve">Grazing </w:t>
            </w:r>
          </w:p>
        </w:tc>
        <w:tc>
          <w:tcPr>
            <w:tcW w:w="1745" w:type="pct"/>
          </w:tcPr>
          <w:p w14:paraId="2B56252D" w14:textId="72018B2A" w:rsidR="00D8198E" w:rsidRPr="007961CA" w:rsidRDefault="00D8198E" w:rsidP="00D8198E">
            <w:pPr>
              <w:pStyle w:val="TableText"/>
            </w:pPr>
            <w:r w:rsidRPr="00D67E6D">
              <w:rPr>
                <w:b/>
                <w:bCs/>
              </w:rPr>
              <w:t>10.</w:t>
            </w:r>
            <w:r w:rsidRPr="00E32976">
              <w:t xml:space="preserve"> </w:t>
            </w:r>
            <w:r w:rsidRPr="002D3CD7">
              <w:rPr>
                <w:b/>
                <w:bCs/>
              </w:rPr>
              <w:t>How will you graze your forage crop to reduce the risk of contaminant loss?</w:t>
            </w:r>
            <w:r w:rsidRPr="00E32976">
              <w:t xml:space="preserve"> </w:t>
            </w:r>
          </w:p>
        </w:tc>
        <w:tc>
          <w:tcPr>
            <w:tcW w:w="2250" w:type="pct"/>
          </w:tcPr>
          <w:p w14:paraId="27A1AF15" w14:textId="46BCF855" w:rsidR="00D8198E" w:rsidRDefault="00D8198E" w:rsidP="00D8198E">
            <w:pPr>
              <w:pStyle w:val="TableText"/>
            </w:pPr>
            <w:r>
              <w:t xml:space="preserve">Grazing during winter when soil is very wet can significantly increase the potential for contaminant loss in surface </w:t>
            </w:r>
            <w:r w:rsidR="003B0999">
              <w:t>run-off</w:t>
            </w:r>
            <w:r>
              <w:t xml:space="preserve">. To reduce this risk, the stocking rate can be reduced, and lighter animals used on wetter areas. </w:t>
            </w:r>
          </w:p>
          <w:p w14:paraId="22DCF0FD" w14:textId="547982AA" w:rsidR="00D8198E" w:rsidRPr="00D8198E" w:rsidRDefault="00020892" w:rsidP="00D8198E">
            <w:pPr>
              <w:pStyle w:val="TableText"/>
              <w:rPr>
                <w:sz w:val="22"/>
              </w:rPr>
            </w:pPr>
            <w:r>
              <w:t>Considering the direction of the</w:t>
            </w:r>
            <w:r w:rsidR="00D8198E">
              <w:t xml:space="preserve"> grazing can be helpful. Grazing towards the CSA location will maximise the buffering opportunity of the un-grazed crop still standing between the herd and CSA.</w:t>
            </w:r>
          </w:p>
        </w:tc>
      </w:tr>
      <w:tr w:rsidR="00AA5C24" w:rsidRPr="006B77BB" w14:paraId="323BC7B3" w14:textId="77777777" w:rsidTr="002D3CD7">
        <w:trPr>
          <w:cantSplit/>
          <w:trHeight w:val="1134"/>
        </w:trPr>
        <w:tc>
          <w:tcPr>
            <w:tcW w:w="342" w:type="pct"/>
            <w:vMerge w:val="restart"/>
            <w:shd w:val="clear" w:color="auto" w:fill="D0E7F0" w:themeFill="accent2" w:themeFillTint="33"/>
            <w:textDirection w:val="btLr"/>
          </w:tcPr>
          <w:p w14:paraId="6FB31CF2" w14:textId="0EF9729A" w:rsidR="00AA5C24" w:rsidRPr="00D10459" w:rsidRDefault="00AA5C24" w:rsidP="00D8198E">
            <w:pPr>
              <w:pStyle w:val="TableText"/>
              <w:ind w:left="113" w:right="113"/>
              <w:jc w:val="center"/>
              <w:rPr>
                <w:b/>
                <w:bCs/>
              </w:rPr>
            </w:pPr>
            <w:r w:rsidRPr="00D10459">
              <w:rPr>
                <w:b/>
                <w:bCs/>
              </w:rPr>
              <w:t>CHECK</w:t>
            </w:r>
          </w:p>
        </w:tc>
        <w:tc>
          <w:tcPr>
            <w:tcW w:w="663" w:type="pct"/>
          </w:tcPr>
          <w:p w14:paraId="456A70B7" w14:textId="3EA1B2FD" w:rsidR="00AA5C24" w:rsidRPr="00D10459" w:rsidRDefault="00AA5C24" w:rsidP="00D8198E">
            <w:pPr>
              <w:pStyle w:val="TableText"/>
              <w:rPr>
                <w:b/>
                <w:bCs/>
              </w:rPr>
            </w:pPr>
            <w:r w:rsidRPr="00D10459">
              <w:rPr>
                <w:b/>
                <w:bCs/>
              </w:rPr>
              <w:t>Crop</w:t>
            </w:r>
          </w:p>
        </w:tc>
        <w:tc>
          <w:tcPr>
            <w:tcW w:w="1745" w:type="pct"/>
          </w:tcPr>
          <w:p w14:paraId="1308A29E" w14:textId="77777777" w:rsidR="00AA5C24" w:rsidRPr="00277E7F" w:rsidRDefault="00AA5C24" w:rsidP="00D8198E">
            <w:pPr>
              <w:pStyle w:val="TableText"/>
              <w:rPr>
                <w:b/>
                <w:bCs/>
              </w:rPr>
            </w:pPr>
            <w:r w:rsidRPr="00D67E6D">
              <w:rPr>
                <w:b/>
                <w:bCs/>
              </w:rPr>
              <w:t>11.</w:t>
            </w:r>
            <w:r>
              <w:t xml:space="preserve"> </w:t>
            </w:r>
            <w:r w:rsidRPr="00277E7F">
              <w:rPr>
                <w:b/>
                <w:bCs/>
              </w:rPr>
              <w:t xml:space="preserve">How well did your crop choice and sowing methods work? </w:t>
            </w:r>
          </w:p>
          <w:p w14:paraId="4D533B19" w14:textId="59C74BB8" w:rsidR="00AA5C24" w:rsidRDefault="00AA5C24" w:rsidP="00D8198E">
            <w:pPr>
              <w:pStyle w:val="TableBullet"/>
            </w:pPr>
            <w:r>
              <w:t xml:space="preserve">Was the crop sown in the intended place? </w:t>
            </w:r>
          </w:p>
          <w:p w14:paraId="0D0F14AA" w14:textId="6F4ED6E5" w:rsidR="00AA5C24" w:rsidRDefault="00020892" w:rsidP="00D8198E">
            <w:pPr>
              <w:pStyle w:val="TableBullet"/>
            </w:pPr>
            <w:r>
              <w:t>Was th</w:t>
            </w:r>
            <w:r w:rsidR="00277E7F">
              <w:t>ere</w:t>
            </w:r>
            <w:r>
              <w:t xml:space="preserve"> g</w:t>
            </w:r>
            <w:r w:rsidR="00AA5C24">
              <w:t xml:space="preserve">ood establishment? </w:t>
            </w:r>
          </w:p>
          <w:p w14:paraId="1698646C" w14:textId="3E970C9F" w:rsidR="00AA5C24" w:rsidRDefault="00020892" w:rsidP="00D8198E">
            <w:pPr>
              <w:pStyle w:val="TableBullet"/>
            </w:pPr>
            <w:r>
              <w:t xml:space="preserve">Did you use the right </w:t>
            </w:r>
            <w:r w:rsidR="00AA5C24">
              <w:t xml:space="preserve">spray and fertiliser regime? </w:t>
            </w:r>
          </w:p>
          <w:p w14:paraId="1F72FF9D" w14:textId="43CC0C4C" w:rsidR="00AA5C24" w:rsidRPr="00D8198E" w:rsidRDefault="00020892" w:rsidP="00D8198E">
            <w:pPr>
              <w:pStyle w:val="TableBullet"/>
            </w:pPr>
            <w:r>
              <w:t>Were there a</w:t>
            </w:r>
            <w:r w:rsidR="00AA5C24">
              <w:t>ny animal welfare issues?</w:t>
            </w:r>
          </w:p>
        </w:tc>
        <w:tc>
          <w:tcPr>
            <w:tcW w:w="2250" w:type="pct"/>
          </w:tcPr>
          <w:p w14:paraId="11DB2CA0" w14:textId="0600A5F7" w:rsidR="00AA5C24" w:rsidRPr="00D8198E" w:rsidRDefault="00AA5C24" w:rsidP="00D8198E">
            <w:pPr>
              <w:pStyle w:val="TableText"/>
            </w:pPr>
            <w:r w:rsidRPr="00D8198E">
              <w:t>Note that vegetation must be established as groundcover on land used for intensive winter grazing as soon as practicable after livestock have finished grazing.</w:t>
            </w:r>
          </w:p>
          <w:p w14:paraId="19C4E96D" w14:textId="3C76F2E8" w:rsidR="00AA5C24" w:rsidRDefault="00AA5C24" w:rsidP="00D8198E">
            <w:pPr>
              <w:pStyle w:val="TableText"/>
            </w:pPr>
            <w:r w:rsidRPr="00D8198E">
              <w:t xml:space="preserve">See also </w:t>
            </w:r>
            <w:r w:rsidR="009149A2">
              <w:t xml:space="preserve">the </w:t>
            </w:r>
            <w:hyperlink r:id="rId36" w:history="1">
              <w:r w:rsidR="009149A2" w:rsidRPr="009C2F97">
                <w:rPr>
                  <w:rStyle w:val="Hyperlink"/>
                  <w:rFonts w:cstheme="minorBidi"/>
                  <w:szCs w:val="22"/>
                </w:rPr>
                <w:t xml:space="preserve">Ministry’s </w:t>
              </w:r>
              <w:r w:rsidR="00020892" w:rsidRPr="009C2F97">
                <w:rPr>
                  <w:rStyle w:val="Hyperlink"/>
                </w:rPr>
                <w:t xml:space="preserve">groundcover </w:t>
              </w:r>
              <w:r w:rsidR="009149A2" w:rsidRPr="009C2F97">
                <w:rPr>
                  <w:rStyle w:val="Hyperlink"/>
                </w:rPr>
                <w:t>guidance</w:t>
              </w:r>
            </w:hyperlink>
            <w:r w:rsidRPr="00D8198E">
              <w:t>.</w:t>
            </w:r>
          </w:p>
        </w:tc>
      </w:tr>
      <w:tr w:rsidR="00AA5C24" w:rsidRPr="006B77BB" w14:paraId="6DFE3FE2" w14:textId="77777777" w:rsidTr="002D3CD7">
        <w:trPr>
          <w:cantSplit/>
          <w:trHeight w:val="1134"/>
        </w:trPr>
        <w:tc>
          <w:tcPr>
            <w:tcW w:w="342" w:type="pct"/>
            <w:vMerge/>
            <w:shd w:val="clear" w:color="auto" w:fill="D0E7F0" w:themeFill="accent2" w:themeFillTint="33"/>
            <w:textDirection w:val="btLr"/>
          </w:tcPr>
          <w:p w14:paraId="6030A70F" w14:textId="77777777" w:rsidR="00AA5C24" w:rsidRPr="00D10459" w:rsidRDefault="00AA5C24" w:rsidP="00D8198E">
            <w:pPr>
              <w:pStyle w:val="TableText"/>
              <w:ind w:left="113" w:right="113"/>
              <w:jc w:val="center"/>
              <w:rPr>
                <w:b/>
                <w:bCs/>
              </w:rPr>
            </w:pPr>
          </w:p>
        </w:tc>
        <w:tc>
          <w:tcPr>
            <w:tcW w:w="663" w:type="pct"/>
          </w:tcPr>
          <w:p w14:paraId="4585D599" w14:textId="2CD160FE" w:rsidR="00AA5C24" w:rsidRPr="00D10459" w:rsidRDefault="00AA5C24" w:rsidP="00D8198E">
            <w:pPr>
              <w:pStyle w:val="TableText"/>
              <w:rPr>
                <w:b/>
                <w:bCs/>
              </w:rPr>
            </w:pPr>
            <w:r w:rsidRPr="00D10459">
              <w:rPr>
                <w:b/>
                <w:bCs/>
              </w:rPr>
              <w:t>Weather</w:t>
            </w:r>
          </w:p>
        </w:tc>
        <w:tc>
          <w:tcPr>
            <w:tcW w:w="1745" w:type="pct"/>
          </w:tcPr>
          <w:p w14:paraId="4FB53777" w14:textId="77777777" w:rsidR="00AA5C24" w:rsidRPr="00EF796A" w:rsidRDefault="00AA5C24" w:rsidP="00EF796A">
            <w:pPr>
              <w:pStyle w:val="TableText"/>
            </w:pPr>
            <w:r w:rsidRPr="00D67E6D">
              <w:rPr>
                <w:b/>
                <w:bCs/>
              </w:rPr>
              <w:t>12.</w:t>
            </w:r>
            <w:r w:rsidRPr="00EF796A">
              <w:tab/>
            </w:r>
            <w:r w:rsidRPr="00EF4284">
              <w:rPr>
                <w:b/>
                <w:bCs/>
              </w:rPr>
              <w:t>What was the weather like during this winter, and how might that have influenced IWG outcomes?</w:t>
            </w:r>
            <w:r w:rsidRPr="00EF796A">
              <w:t xml:space="preserve"> </w:t>
            </w:r>
          </w:p>
          <w:p w14:paraId="761DB767" w14:textId="624540BA" w:rsidR="00AA5C24" w:rsidRPr="00EF796A" w:rsidRDefault="00020892" w:rsidP="00EF796A">
            <w:pPr>
              <w:pStyle w:val="TableBullet"/>
            </w:pPr>
            <w:r>
              <w:t>Was it w</w:t>
            </w:r>
            <w:r w:rsidR="00AA5C24" w:rsidRPr="00EF796A">
              <w:t>etter/dryer/warmer/colder than normal?</w:t>
            </w:r>
          </w:p>
          <w:p w14:paraId="3A601EAE" w14:textId="15D10E8B" w:rsidR="00AA5C24" w:rsidRDefault="00020892" w:rsidP="00EF796A">
            <w:pPr>
              <w:pStyle w:val="TableBullet"/>
            </w:pPr>
            <w:r>
              <w:t>Did it rain for longer than normal?</w:t>
            </w:r>
          </w:p>
        </w:tc>
        <w:tc>
          <w:tcPr>
            <w:tcW w:w="2250" w:type="pct"/>
          </w:tcPr>
          <w:p w14:paraId="1485D9B9" w14:textId="77777777" w:rsidR="00AA5C24" w:rsidRPr="00D8198E" w:rsidRDefault="00AA5C24" w:rsidP="00D8198E">
            <w:pPr>
              <w:pStyle w:val="TableText"/>
            </w:pPr>
          </w:p>
        </w:tc>
      </w:tr>
      <w:tr w:rsidR="00AA5C24" w:rsidRPr="006B77BB" w14:paraId="18F22D96" w14:textId="77777777" w:rsidTr="002D3CD7">
        <w:trPr>
          <w:cantSplit/>
          <w:trHeight w:val="1134"/>
        </w:trPr>
        <w:tc>
          <w:tcPr>
            <w:tcW w:w="342" w:type="pct"/>
            <w:vMerge/>
            <w:shd w:val="clear" w:color="auto" w:fill="D0E7F0" w:themeFill="accent2" w:themeFillTint="33"/>
            <w:textDirection w:val="btLr"/>
          </w:tcPr>
          <w:p w14:paraId="25213E4A" w14:textId="77777777" w:rsidR="00AA5C24" w:rsidRPr="00D10459" w:rsidRDefault="00AA5C24" w:rsidP="00D8198E">
            <w:pPr>
              <w:pStyle w:val="TableText"/>
              <w:ind w:left="113" w:right="113"/>
              <w:jc w:val="center"/>
              <w:rPr>
                <w:b/>
                <w:bCs/>
              </w:rPr>
            </w:pPr>
          </w:p>
        </w:tc>
        <w:tc>
          <w:tcPr>
            <w:tcW w:w="663" w:type="pct"/>
          </w:tcPr>
          <w:p w14:paraId="075F73E1" w14:textId="582E1796" w:rsidR="00AA5C24" w:rsidRPr="00D10459" w:rsidRDefault="00702C1F" w:rsidP="00D8198E">
            <w:pPr>
              <w:pStyle w:val="TableText"/>
              <w:rPr>
                <w:b/>
                <w:bCs/>
              </w:rPr>
            </w:pPr>
            <w:r>
              <w:rPr>
                <w:b/>
                <w:bCs/>
              </w:rPr>
              <w:t>Critical source area</w:t>
            </w:r>
          </w:p>
        </w:tc>
        <w:tc>
          <w:tcPr>
            <w:tcW w:w="1745" w:type="pct"/>
          </w:tcPr>
          <w:p w14:paraId="34FBD69D" w14:textId="77777777" w:rsidR="00AA5C24" w:rsidRPr="00EF796A" w:rsidRDefault="00AA5C24" w:rsidP="00EF796A">
            <w:pPr>
              <w:pStyle w:val="TableText"/>
            </w:pPr>
            <w:r w:rsidRPr="00D67E6D">
              <w:rPr>
                <w:b/>
                <w:bCs/>
              </w:rPr>
              <w:t>13.</w:t>
            </w:r>
            <w:r w:rsidRPr="00EF796A">
              <w:t xml:space="preserve"> </w:t>
            </w:r>
            <w:r w:rsidRPr="00EF4284">
              <w:rPr>
                <w:b/>
                <w:bCs/>
              </w:rPr>
              <w:t>Were the CSAs where you expected?</w:t>
            </w:r>
            <w:r w:rsidRPr="00EF796A">
              <w:t xml:space="preserve"> </w:t>
            </w:r>
          </w:p>
          <w:p w14:paraId="3C6508EC" w14:textId="2D235CD6" w:rsidR="00AA5C24" w:rsidRPr="00EF796A" w:rsidRDefault="00AA5C24" w:rsidP="00EF796A">
            <w:pPr>
              <w:pStyle w:val="TableBullet"/>
            </w:pPr>
            <w:r w:rsidRPr="00EF796A">
              <w:t xml:space="preserve">Was the area fenced sufficient? </w:t>
            </w:r>
          </w:p>
          <w:p w14:paraId="0B140EF1" w14:textId="51C9E60C" w:rsidR="00AA5C24" w:rsidRPr="00EF796A" w:rsidRDefault="00AA5C24" w:rsidP="00EF796A">
            <w:pPr>
              <w:pStyle w:val="TableBullet"/>
            </w:pPr>
            <w:r w:rsidRPr="00EF796A">
              <w:t xml:space="preserve">Were there any ‘new’ surface flow paths or wet areas not marked on the map? </w:t>
            </w:r>
          </w:p>
          <w:p w14:paraId="1B8DF8C9" w14:textId="7BF11F1C" w:rsidR="00AA5C24" w:rsidRPr="00EF796A" w:rsidRDefault="00AA5C24" w:rsidP="00EF796A">
            <w:pPr>
              <w:pStyle w:val="TableBullet"/>
            </w:pPr>
            <w:r w:rsidRPr="00EF796A">
              <w:t>Did any surface flow bypass the buffer or CSA?</w:t>
            </w:r>
          </w:p>
          <w:p w14:paraId="73ED2DCA" w14:textId="4AC13185" w:rsidR="00AA5C24" w:rsidRPr="00EF796A" w:rsidRDefault="00020892" w:rsidP="00EF796A">
            <w:pPr>
              <w:pStyle w:val="TableBullet"/>
            </w:pPr>
            <w:r>
              <w:t>Did you t</w:t>
            </w:r>
            <w:r w:rsidR="00AA5C24" w:rsidRPr="00EF796A">
              <w:t xml:space="preserve">ake photos of </w:t>
            </w:r>
            <w:r>
              <w:t xml:space="preserve">the </w:t>
            </w:r>
            <w:r w:rsidR="00AA5C24" w:rsidRPr="00EF796A">
              <w:t>CSAs for next time and consider where they are stored?</w:t>
            </w:r>
          </w:p>
        </w:tc>
        <w:tc>
          <w:tcPr>
            <w:tcW w:w="2250" w:type="pct"/>
          </w:tcPr>
          <w:p w14:paraId="6D02A148" w14:textId="77777777" w:rsidR="00AA5C24" w:rsidRPr="00D8198E" w:rsidRDefault="00AA5C24" w:rsidP="00D8198E">
            <w:pPr>
              <w:pStyle w:val="TableText"/>
            </w:pPr>
          </w:p>
        </w:tc>
      </w:tr>
      <w:tr w:rsidR="00AA5C24" w:rsidRPr="006B77BB" w14:paraId="436ACF2B" w14:textId="77777777" w:rsidTr="002D3CD7">
        <w:trPr>
          <w:cantSplit/>
          <w:trHeight w:val="1134"/>
        </w:trPr>
        <w:tc>
          <w:tcPr>
            <w:tcW w:w="342" w:type="pct"/>
            <w:shd w:val="clear" w:color="auto" w:fill="D0E7F0" w:themeFill="accent2" w:themeFillTint="33"/>
            <w:textDirection w:val="btLr"/>
          </w:tcPr>
          <w:p w14:paraId="0DCBFBDC" w14:textId="29C57793" w:rsidR="00AA5C24" w:rsidRPr="006E5AA5" w:rsidRDefault="00AA5C24" w:rsidP="00AA5C24">
            <w:pPr>
              <w:pStyle w:val="TableText"/>
              <w:ind w:left="113" w:right="113"/>
              <w:jc w:val="center"/>
              <w:rPr>
                <w:b/>
                <w:bCs/>
              </w:rPr>
            </w:pPr>
            <w:r w:rsidRPr="006E5AA5">
              <w:rPr>
                <w:b/>
                <w:bCs/>
              </w:rPr>
              <w:t>REVIEW</w:t>
            </w:r>
          </w:p>
        </w:tc>
        <w:tc>
          <w:tcPr>
            <w:tcW w:w="663" w:type="pct"/>
          </w:tcPr>
          <w:p w14:paraId="6589D454" w14:textId="65C8BF25" w:rsidR="00AA5C24" w:rsidRPr="006E5AA5" w:rsidRDefault="00AA5C24" w:rsidP="00AA5C24">
            <w:pPr>
              <w:pStyle w:val="TableText"/>
              <w:rPr>
                <w:b/>
                <w:bCs/>
              </w:rPr>
            </w:pPr>
            <w:r w:rsidRPr="006E5AA5">
              <w:rPr>
                <w:b/>
                <w:bCs/>
              </w:rPr>
              <w:t xml:space="preserve">Crop, </w:t>
            </w:r>
            <w:r w:rsidR="00702C1F">
              <w:rPr>
                <w:b/>
                <w:bCs/>
              </w:rPr>
              <w:t>f</w:t>
            </w:r>
            <w:r w:rsidRPr="006E5AA5">
              <w:rPr>
                <w:b/>
                <w:bCs/>
              </w:rPr>
              <w:t xml:space="preserve">encing and </w:t>
            </w:r>
            <w:r w:rsidR="00702C1F">
              <w:rPr>
                <w:b/>
                <w:bCs/>
              </w:rPr>
              <w:t>critical source area</w:t>
            </w:r>
            <w:r w:rsidRPr="006E5AA5">
              <w:rPr>
                <w:b/>
                <w:bCs/>
              </w:rPr>
              <w:t>s</w:t>
            </w:r>
          </w:p>
        </w:tc>
        <w:tc>
          <w:tcPr>
            <w:tcW w:w="1745" w:type="pct"/>
          </w:tcPr>
          <w:p w14:paraId="42A34BE3" w14:textId="77777777" w:rsidR="00AA5C24" w:rsidRPr="004E178A" w:rsidRDefault="00AA5C24" w:rsidP="00AA5C24">
            <w:pPr>
              <w:pStyle w:val="TableText"/>
              <w:rPr>
                <w:b/>
                <w:bCs/>
              </w:rPr>
            </w:pPr>
            <w:r w:rsidRPr="00D67E6D">
              <w:rPr>
                <w:b/>
                <w:bCs/>
              </w:rPr>
              <w:t>14.</w:t>
            </w:r>
            <w:r w:rsidRPr="00FC631B">
              <w:t xml:space="preserve"> </w:t>
            </w:r>
            <w:r w:rsidRPr="004E178A">
              <w:rPr>
                <w:b/>
                <w:bCs/>
              </w:rPr>
              <w:t xml:space="preserve">What would you change for next time? </w:t>
            </w:r>
          </w:p>
          <w:p w14:paraId="1D396D80" w14:textId="7F051CE5" w:rsidR="00AA5C24" w:rsidRPr="00AA5C24" w:rsidRDefault="00AA5C24" w:rsidP="004E178A">
            <w:pPr>
              <w:pStyle w:val="TableBullet"/>
              <w:ind w:hanging="255"/>
            </w:pPr>
            <w:r w:rsidRPr="00AA5C24">
              <w:t>Was enough, or too much, feed grown?</w:t>
            </w:r>
          </w:p>
          <w:p w14:paraId="3F2A768E" w14:textId="50EE8F94" w:rsidR="00AA5C24" w:rsidRPr="00AA5C24" w:rsidRDefault="00AA5C24" w:rsidP="004E178A">
            <w:pPr>
              <w:pStyle w:val="TableBullet"/>
              <w:ind w:hanging="255"/>
            </w:pPr>
            <w:r w:rsidRPr="00AA5C24">
              <w:t xml:space="preserve">Did wet conditions result in low </w:t>
            </w:r>
            <w:r w:rsidR="00020892">
              <w:t>use</w:t>
            </w:r>
            <w:r w:rsidR="00020892" w:rsidRPr="00AA5C24">
              <w:t xml:space="preserve"> </w:t>
            </w:r>
            <w:r w:rsidRPr="00AA5C24">
              <w:t>of feed?</w:t>
            </w:r>
            <w:r w:rsidR="003B0999">
              <w:t xml:space="preserve"> </w:t>
            </w:r>
          </w:p>
          <w:p w14:paraId="5B13021F" w14:textId="1DB41C4C" w:rsidR="00AA5C24" w:rsidRPr="00AA5C24" w:rsidRDefault="00AA5C24" w:rsidP="004E178A">
            <w:pPr>
              <w:pStyle w:val="TableBullet"/>
              <w:ind w:hanging="255"/>
            </w:pPr>
            <w:r w:rsidRPr="00AA5C24">
              <w:t>Would it be better to fence in another place?</w:t>
            </w:r>
          </w:p>
          <w:p w14:paraId="73A37733" w14:textId="092CF6ED" w:rsidR="00AA5C24" w:rsidRPr="00EF796A" w:rsidRDefault="00AA5C24" w:rsidP="004E178A">
            <w:pPr>
              <w:pStyle w:val="TableBullet"/>
              <w:ind w:hanging="255"/>
            </w:pPr>
            <w:r w:rsidRPr="00AA5C24">
              <w:t>Do you need a bigger</w:t>
            </w:r>
            <w:r w:rsidR="00020892">
              <w:t xml:space="preserve"> or </w:t>
            </w:r>
            <w:r w:rsidRPr="00AA5C24">
              <w:t>smaller buffer area?</w:t>
            </w:r>
          </w:p>
        </w:tc>
        <w:tc>
          <w:tcPr>
            <w:tcW w:w="2250" w:type="pct"/>
          </w:tcPr>
          <w:p w14:paraId="6120D3D0" w14:textId="77777777" w:rsidR="00AA5C24" w:rsidRPr="00D8198E" w:rsidRDefault="00AA5C24" w:rsidP="00AA5C24">
            <w:pPr>
              <w:pStyle w:val="TableText"/>
            </w:pPr>
          </w:p>
        </w:tc>
      </w:tr>
    </w:tbl>
    <w:p w14:paraId="25070713" w14:textId="0BE5F1DD" w:rsidR="00142D51" w:rsidRDefault="00142D51" w:rsidP="00C77F95">
      <w:pPr>
        <w:pStyle w:val="Heading2"/>
        <w:ind w:left="851" w:hanging="851"/>
      </w:pPr>
      <w:bookmarkStart w:id="39" w:name="_Toc129957935"/>
      <w:r>
        <w:t>7.2</w:t>
      </w:r>
      <w:r>
        <w:tab/>
        <w:t xml:space="preserve">Case studies of </w:t>
      </w:r>
      <w:r w:rsidR="00702C1F">
        <w:t>critical source area</w:t>
      </w:r>
      <w:r>
        <w:t xml:space="preserve"> management</w:t>
      </w:r>
      <w:bookmarkEnd w:id="39"/>
    </w:p>
    <w:p w14:paraId="19A72578" w14:textId="5B1F805B" w:rsidR="00142D51" w:rsidRDefault="00142D51" w:rsidP="00142D51">
      <w:pPr>
        <w:pStyle w:val="BodyText"/>
      </w:pPr>
      <w:r>
        <w:t>Critical source areas are not always easy to spot, and the</w:t>
      </w:r>
      <w:r w:rsidR="00020892">
        <w:t>ir</w:t>
      </w:r>
      <w:r>
        <w:t xml:space="preserve"> size and extent will vary from year to year depending on climate conditions. Five case studies of </w:t>
      </w:r>
      <w:r w:rsidR="00702C1F">
        <w:t>critical source area</w:t>
      </w:r>
      <w:r>
        <w:t xml:space="preserve">s are presented below, representing protected and unprotected </w:t>
      </w:r>
      <w:r w:rsidR="00702C1F">
        <w:t>critical source area</w:t>
      </w:r>
      <w:r>
        <w:t xml:space="preserve">s on different soil types in different regions, evaluated according to the stages in the winter forage cropping cycle outlined in </w:t>
      </w:r>
      <w:hyperlink w:anchor="Figure4" w:history="1">
        <w:r w:rsidR="00020892" w:rsidRPr="007A5E62">
          <w:rPr>
            <w:rStyle w:val="Hyperlink"/>
          </w:rPr>
          <w:t>f</w:t>
        </w:r>
        <w:r w:rsidRPr="007A5E62">
          <w:rPr>
            <w:rStyle w:val="Hyperlink"/>
          </w:rPr>
          <w:t>igure 4</w:t>
        </w:r>
      </w:hyperlink>
      <w:r>
        <w:t>.</w:t>
      </w:r>
      <w:r w:rsidR="003B0999">
        <w:t xml:space="preserve"> </w:t>
      </w:r>
    </w:p>
    <w:tbl>
      <w:tblPr>
        <w:tblW w:w="9064" w:type="dxa"/>
        <w:tblInd w:w="113"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gridCol w:w="559"/>
      </w:tblGrid>
      <w:tr w:rsidR="00AA5C24" w:rsidRPr="006B77BB" w14:paraId="0B222B3F" w14:textId="77777777" w:rsidTr="001B53AC">
        <w:tc>
          <w:tcPr>
            <w:tcW w:w="9064" w:type="dxa"/>
            <w:gridSpan w:val="2"/>
            <w:shd w:val="clear" w:color="auto" w:fill="D5EBE8" w:themeFill="accent3"/>
          </w:tcPr>
          <w:p w14:paraId="58B97D56" w14:textId="05D10D07" w:rsidR="00AA5C24" w:rsidRPr="0051754D" w:rsidRDefault="00020892">
            <w:pPr>
              <w:pStyle w:val="Greenheading-casestudytables"/>
            </w:pPr>
            <w:r>
              <w:lastRenderedPageBreak/>
              <w:t xml:space="preserve">Case study 1: </w:t>
            </w:r>
            <w:r w:rsidR="00AA5C24" w:rsidRPr="00AA5C24">
              <w:t xml:space="preserve">Protected </w:t>
            </w:r>
            <w:r w:rsidR="00702C1F">
              <w:t>critical source area</w:t>
            </w:r>
            <w:r w:rsidR="00AA5C24" w:rsidRPr="00AA5C24">
              <w:t xml:space="preserve"> on rolling slope</w:t>
            </w:r>
            <w:r w:rsidR="00AA5C24" w:rsidRPr="006B77BB">
              <w:t xml:space="preserve"> </w:t>
            </w:r>
          </w:p>
          <w:p w14:paraId="3ADFA41E" w14:textId="15457B1C" w:rsidR="005B3A73" w:rsidRDefault="005B3A73" w:rsidP="005B3A73">
            <w:pPr>
              <w:pStyle w:val="Boxtext"/>
            </w:pPr>
            <w:r w:rsidRPr="005B3A73">
              <w:rPr>
                <w:b/>
                <w:bCs/>
              </w:rPr>
              <w:t>Plan and prepare</w:t>
            </w:r>
            <w:r>
              <w:t xml:space="preserve">: In this example of good practice, a </w:t>
            </w:r>
            <w:r w:rsidR="00702C1F">
              <w:t>critical source area</w:t>
            </w:r>
            <w:r>
              <w:t xml:space="preserve"> has been identified in a low-lying area of the paddock where surface </w:t>
            </w:r>
            <w:r w:rsidR="003B0999">
              <w:t>run-off</w:t>
            </w:r>
            <w:r>
              <w:t xml:space="preserve"> collects. </w:t>
            </w:r>
          </w:p>
          <w:p w14:paraId="30A7DAFB" w14:textId="39B7128B" w:rsidR="005B3A73" w:rsidRPr="001B53AC" w:rsidRDefault="005B3A73" w:rsidP="005B3A73">
            <w:pPr>
              <w:pStyle w:val="Boxtext"/>
              <w:rPr>
                <w:spacing w:val="-4"/>
              </w:rPr>
            </w:pPr>
            <w:r w:rsidRPr="001B53AC">
              <w:rPr>
                <w:b/>
                <w:bCs/>
                <w:spacing w:val="-4"/>
              </w:rPr>
              <w:t>Graze</w:t>
            </w:r>
            <w:r w:rsidRPr="001B53AC">
              <w:rPr>
                <w:spacing w:val="-4"/>
              </w:rPr>
              <w:t xml:space="preserve">: The </w:t>
            </w:r>
            <w:r w:rsidR="00702C1F" w:rsidRPr="001B53AC">
              <w:rPr>
                <w:spacing w:val="-4"/>
              </w:rPr>
              <w:t>critical source area</w:t>
            </w:r>
            <w:r w:rsidRPr="001B53AC">
              <w:rPr>
                <w:spacing w:val="-4"/>
              </w:rPr>
              <w:t xml:space="preserve"> has been fenced to exclude livestock and protect the </w:t>
            </w:r>
            <w:r w:rsidR="00702C1F" w:rsidRPr="001B53AC">
              <w:rPr>
                <w:spacing w:val="-4"/>
              </w:rPr>
              <w:t>critical source area</w:t>
            </w:r>
            <w:r w:rsidRPr="001B53AC">
              <w:rPr>
                <w:spacing w:val="-4"/>
              </w:rPr>
              <w:t xml:space="preserve">. </w:t>
            </w:r>
          </w:p>
          <w:p w14:paraId="23A44810" w14:textId="006400F7" w:rsidR="00AA5C24" w:rsidRDefault="005B3A73" w:rsidP="00FC4E7E">
            <w:pPr>
              <w:pStyle w:val="Boxtext"/>
              <w:tabs>
                <w:tab w:val="left" w:pos="1059"/>
              </w:tabs>
              <w:ind w:left="1059" w:hanging="775"/>
              <w:rPr>
                <w:b/>
                <w:bCs/>
              </w:rPr>
            </w:pPr>
            <w:r w:rsidRPr="00996982">
              <w:rPr>
                <w:b/>
                <w:bCs/>
              </w:rPr>
              <w:t>Photos:</w:t>
            </w:r>
            <w:r w:rsidR="00FC4E7E">
              <w:rPr>
                <w:b/>
                <w:bCs/>
              </w:rPr>
              <w:tab/>
            </w:r>
            <w:r w:rsidRPr="00996982">
              <w:rPr>
                <w:b/>
                <w:bCs/>
              </w:rPr>
              <w:t>Pre-grazing (above) and post-grazing (below).</w:t>
            </w:r>
          </w:p>
          <w:p w14:paraId="0C9A5091" w14:textId="22D1884E" w:rsidR="00996982" w:rsidRDefault="00182EE6" w:rsidP="005B3A73">
            <w:pPr>
              <w:pStyle w:val="Boxtext"/>
              <w:rPr>
                <w:b/>
                <w:bCs/>
              </w:rPr>
            </w:pPr>
            <w:r>
              <w:rPr>
                <w:noProof/>
              </w:rPr>
              <w:drawing>
                <wp:inline distT="0" distB="0" distL="0" distR="0" wp14:anchorId="6CF2B5EE" wp14:editId="0A004298">
                  <wp:extent cx="5256000" cy="1700373"/>
                  <wp:effectExtent l="0" t="0" r="1905" b="0"/>
                  <wp:docPr id="6" name="Picture 6" descr="A comparison of winter grazing paddocks on rolling slope, one showing pre-grazing and the other post-grazing. Fencing around the critical source area has retained vegetative cover in the post-grazing image, which is surrounded by bare soil and erodible sedi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omparison of winter grazing paddocks on rolling slope, one showing pre-grazing and the other post-grazing. Fencing around the critical source area has retained vegetative cover in the post-grazing image, which is surrounded by bare soil and erodible sediment. "/>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5256000" cy="1700373"/>
                          </a:xfrm>
                          <a:prstGeom prst="rect">
                            <a:avLst/>
                          </a:prstGeom>
                          <a:ln>
                            <a:noFill/>
                          </a:ln>
                          <a:extLst>
                            <a:ext uri="{53640926-AAD7-44D8-BBD7-CCE9431645EC}">
                              <a14:shadowObscured xmlns:a14="http://schemas.microsoft.com/office/drawing/2010/main"/>
                            </a:ext>
                          </a:extLst>
                        </pic:spPr>
                      </pic:pic>
                    </a:graphicData>
                  </a:graphic>
                </wp:inline>
              </w:drawing>
            </w:r>
          </w:p>
          <w:p w14:paraId="36F5B4B4" w14:textId="4CDDA779" w:rsidR="00182EE6" w:rsidRPr="00996982" w:rsidRDefault="00BD78D0" w:rsidP="005B3A73">
            <w:pPr>
              <w:pStyle w:val="Boxtext"/>
              <w:rPr>
                <w:b/>
                <w:bCs/>
              </w:rPr>
            </w:pPr>
            <w:r>
              <w:rPr>
                <w:noProof/>
              </w:rPr>
              <w:drawing>
                <wp:inline distT="0" distB="0" distL="0" distR="0" wp14:anchorId="3049CE02" wp14:editId="054554A2">
                  <wp:extent cx="5256000" cy="2199480"/>
                  <wp:effectExtent l="0" t="0" r="1905" b="0"/>
                  <wp:docPr id="1" name="Picture 1" descr="A comparison of winter grazing paddocks on rolling slope, one showing pre-grazing and the other post-grazing. Fencing around the critical source area has retained vegetative cover in the post-grazing image, which is surrounded by bare soil and erodible sedi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omparison of winter grazing paddocks on rolling slope, one showing pre-grazing and the other post-grazing. Fencing around the critical source area has retained vegetative cover in the post-grazing image, which is surrounded by bare soil and erodible sediment. "/>
                          <pic:cNvPicPr/>
                        </pic:nvPicPr>
                        <pic:blipFill rotWithShape="1">
                          <a:blip r:embed="rId38" cstate="print">
                            <a:extLst>
                              <a:ext uri="{28A0092B-C50C-407E-A947-70E740481C1C}">
                                <a14:useLocalDpi xmlns:a14="http://schemas.microsoft.com/office/drawing/2010/main"/>
                              </a:ext>
                            </a:extLst>
                          </a:blip>
                          <a:srcRect/>
                          <a:stretch/>
                        </pic:blipFill>
                        <pic:spPr bwMode="auto">
                          <a:xfrm>
                            <a:off x="0" y="0"/>
                            <a:ext cx="5256000" cy="2199480"/>
                          </a:xfrm>
                          <a:prstGeom prst="rect">
                            <a:avLst/>
                          </a:prstGeom>
                          <a:ln>
                            <a:noFill/>
                          </a:ln>
                          <a:extLst>
                            <a:ext uri="{53640926-AAD7-44D8-BBD7-CCE9431645EC}">
                              <a14:shadowObscured xmlns:a14="http://schemas.microsoft.com/office/drawing/2010/main"/>
                            </a:ext>
                          </a:extLst>
                        </pic:spPr>
                      </pic:pic>
                    </a:graphicData>
                  </a:graphic>
                </wp:inline>
              </w:drawing>
            </w:r>
          </w:p>
        </w:tc>
      </w:tr>
      <w:tr w:rsidR="00BD78D0" w:rsidRPr="006B77BB" w14:paraId="205BE8AB" w14:textId="77777777">
        <w:trPr>
          <w:gridAfter w:val="1"/>
          <w:wAfter w:w="559" w:type="dxa"/>
        </w:trPr>
        <w:tc>
          <w:tcPr>
            <w:tcW w:w="8505" w:type="dxa"/>
            <w:shd w:val="clear" w:color="auto" w:fill="D5EBE8" w:themeFill="accent3"/>
          </w:tcPr>
          <w:p w14:paraId="3AAF877F" w14:textId="6729A2E3" w:rsidR="00BD78D0" w:rsidRPr="0051754D" w:rsidRDefault="00253FBC">
            <w:pPr>
              <w:pStyle w:val="Greenheading-casestudytables"/>
            </w:pPr>
            <w:r>
              <w:lastRenderedPageBreak/>
              <w:t>Case study 2: U</w:t>
            </w:r>
            <w:r w:rsidR="00FC4E7E" w:rsidRPr="00FC4E7E">
              <w:t xml:space="preserve">nprotected </w:t>
            </w:r>
            <w:r w:rsidR="00702C1F">
              <w:t>critical source area</w:t>
            </w:r>
            <w:r w:rsidR="00FC4E7E" w:rsidRPr="00FC4E7E">
              <w:t xml:space="preserve"> on (mostly) flat slope</w:t>
            </w:r>
          </w:p>
          <w:p w14:paraId="11CFAF05" w14:textId="0BE7284B" w:rsidR="00FC4E7E" w:rsidRPr="00FC4E7E" w:rsidRDefault="00FC4E7E" w:rsidP="00FC4E7E">
            <w:pPr>
              <w:pStyle w:val="Boxtext"/>
            </w:pPr>
            <w:r w:rsidRPr="00FC4E7E">
              <w:rPr>
                <w:b/>
                <w:bCs/>
              </w:rPr>
              <w:t>Prepare and graze</w:t>
            </w:r>
            <w:r w:rsidRPr="00FC4E7E">
              <w:t xml:space="preserve">: In this example, surface </w:t>
            </w:r>
            <w:r w:rsidR="003B0999">
              <w:t>run-off</w:t>
            </w:r>
            <w:r w:rsidRPr="00FC4E7E">
              <w:t xml:space="preserve"> has accumulated in the compacted margins of the paddock (</w:t>
            </w:r>
            <w:r w:rsidR="003B0999">
              <w:t>ie,</w:t>
            </w:r>
            <w:r w:rsidRPr="00FC4E7E">
              <w:t xml:space="preserve"> farm tracks), and surface flow runs through the paddock connecting the contaminants with a waterway in the distance (indicated by the blue line). </w:t>
            </w:r>
          </w:p>
          <w:p w14:paraId="677A05C4" w14:textId="10385F1A" w:rsidR="00FC4E7E" w:rsidRPr="00FC4E7E" w:rsidRDefault="00FC4E7E" w:rsidP="00FC4E7E">
            <w:pPr>
              <w:pStyle w:val="Boxtext"/>
            </w:pPr>
            <w:r w:rsidRPr="00FC4E7E">
              <w:rPr>
                <w:b/>
                <w:bCs/>
              </w:rPr>
              <w:t>Check and review</w:t>
            </w:r>
            <w:r w:rsidRPr="00FC4E7E">
              <w:t>: Future plans for IWG should consider excluding livestock from the paddock margins to preserv</w:t>
            </w:r>
            <w:r w:rsidR="00253FBC">
              <w:t>e</w:t>
            </w:r>
            <w:r w:rsidRPr="00FC4E7E">
              <w:t xml:space="preserve"> ground and limit surface </w:t>
            </w:r>
            <w:r w:rsidR="003B0999">
              <w:t>run-off</w:t>
            </w:r>
            <w:r w:rsidRPr="00FC4E7E">
              <w:t xml:space="preserve">. The </w:t>
            </w:r>
            <w:r w:rsidR="00702C1F">
              <w:t>critical source area</w:t>
            </w:r>
            <w:r w:rsidRPr="00FC4E7E">
              <w:t xml:space="preserve"> where the </w:t>
            </w:r>
            <w:r w:rsidR="006D2116">
              <w:t xml:space="preserve">surface runoff </w:t>
            </w:r>
            <w:r w:rsidR="008C772A">
              <w:t xml:space="preserve">enters a waterway </w:t>
            </w:r>
            <w:r w:rsidRPr="00FC4E7E">
              <w:t xml:space="preserve">should also be protected from grazing, including a buffer area (see case study 1). </w:t>
            </w:r>
          </w:p>
          <w:p w14:paraId="01AA7E9F" w14:textId="77777777" w:rsidR="00BD78D0" w:rsidRDefault="00FC4E7E" w:rsidP="00FC4E7E">
            <w:pPr>
              <w:pStyle w:val="Boxtext"/>
              <w:ind w:left="1059" w:hanging="775"/>
              <w:rPr>
                <w:b/>
                <w:bCs/>
              </w:rPr>
            </w:pPr>
            <w:r w:rsidRPr="00FC4E7E">
              <w:rPr>
                <w:b/>
                <w:bCs/>
              </w:rPr>
              <w:t>Photo:</w:t>
            </w:r>
            <w:r>
              <w:rPr>
                <w:b/>
                <w:bCs/>
              </w:rPr>
              <w:tab/>
            </w:r>
            <w:r w:rsidRPr="00FC4E7E">
              <w:rPr>
                <w:b/>
                <w:bCs/>
              </w:rPr>
              <w:t>A grazed swale with bare soil and erodible sediment. The blue line represents the surface flow connecting the contaminants with a waterway. (Note this photo was taken before IWG regulations came into effect).</w:t>
            </w:r>
          </w:p>
          <w:p w14:paraId="5B3BCE08" w14:textId="3875E156" w:rsidR="00FC4E7E" w:rsidRPr="00FC4E7E" w:rsidRDefault="00107BF5" w:rsidP="00FC4E7E">
            <w:pPr>
              <w:pStyle w:val="Boxtext"/>
              <w:ind w:left="1059" w:hanging="775"/>
              <w:rPr>
                <w:b/>
                <w:bCs/>
              </w:rPr>
            </w:pPr>
            <w:r>
              <w:rPr>
                <w:rFonts w:eastAsia="Times New Roman"/>
                <w:i/>
                <w:noProof/>
                <w:sz w:val="21"/>
                <w:szCs w:val="21"/>
              </w:rPr>
              <w:drawing>
                <wp:inline distT="0" distB="0" distL="0" distR="0" wp14:anchorId="1D526601" wp14:editId="15C147B8">
                  <wp:extent cx="4890976" cy="3446636"/>
                  <wp:effectExtent l="0" t="0" r="5080" b="1905"/>
                  <wp:docPr id="22" name="Picture 22" descr="A grazed swale with bare soil and erodible sediment shows a blue line representing the surface flow which connects the contaminants with a waterw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azed swale with bare soil and erodible sediment shows a blue line representing the surface flow which connects the contaminants with a waterway.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14194" cy="3462997"/>
                          </a:xfrm>
                          <a:prstGeom prst="rect">
                            <a:avLst/>
                          </a:prstGeom>
                          <a:noFill/>
                        </pic:spPr>
                      </pic:pic>
                    </a:graphicData>
                  </a:graphic>
                </wp:inline>
              </w:drawing>
            </w:r>
          </w:p>
        </w:tc>
      </w:tr>
    </w:tbl>
    <w:p w14:paraId="20AE8684" w14:textId="77777777" w:rsidR="00107BF5" w:rsidRDefault="00107BF5" w:rsidP="00142D51">
      <w:pPr>
        <w:pStyle w:val="BodyText"/>
      </w:pPr>
    </w:p>
    <w:tbl>
      <w:tblPr>
        <w:tblW w:w="8505" w:type="dxa"/>
        <w:tblInd w:w="113"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107BF5" w:rsidRPr="006B77BB" w14:paraId="428ECE43" w14:textId="77777777">
        <w:tc>
          <w:tcPr>
            <w:tcW w:w="8505" w:type="dxa"/>
            <w:shd w:val="clear" w:color="auto" w:fill="D5EBE8" w:themeFill="accent3"/>
          </w:tcPr>
          <w:p w14:paraId="47EAE117" w14:textId="4F7301BC" w:rsidR="00107BF5" w:rsidRPr="0051754D" w:rsidRDefault="00253FBC">
            <w:pPr>
              <w:pStyle w:val="Greenheading-casestudytables"/>
            </w:pPr>
            <w:r>
              <w:lastRenderedPageBreak/>
              <w:t xml:space="preserve">Case study 3: </w:t>
            </w:r>
            <w:r w:rsidR="00107BF5" w:rsidRPr="00107BF5">
              <w:t>Flat, unconnected depression</w:t>
            </w:r>
          </w:p>
          <w:p w14:paraId="2FADDF58" w14:textId="0A167306" w:rsidR="00107BF5" w:rsidRPr="00107BF5" w:rsidRDefault="00107BF5" w:rsidP="00107BF5">
            <w:pPr>
              <w:pStyle w:val="Boxtext"/>
            </w:pPr>
            <w:r w:rsidRPr="00107BF5">
              <w:rPr>
                <w:b/>
                <w:bCs/>
              </w:rPr>
              <w:t>Plan</w:t>
            </w:r>
            <w:r w:rsidRPr="00107BF5">
              <w:t xml:space="preserve">: In the example below, ponding and pugging is visible through the middle of the paddock. However, this area does not appear to be connected to surface water and therefore is a lower risk of becoming a </w:t>
            </w:r>
            <w:r w:rsidR="00702C1F">
              <w:t>critical source area</w:t>
            </w:r>
            <w:r w:rsidRPr="00107BF5">
              <w:t xml:space="preserve">, except in extreme weather. </w:t>
            </w:r>
          </w:p>
          <w:p w14:paraId="3C5DF98D" w14:textId="4F436C28" w:rsidR="00107BF5" w:rsidRPr="00107BF5" w:rsidRDefault="00107BF5" w:rsidP="00107BF5">
            <w:pPr>
              <w:pStyle w:val="Boxtext"/>
            </w:pPr>
            <w:r w:rsidRPr="00107BF5">
              <w:rPr>
                <w:b/>
                <w:bCs/>
              </w:rPr>
              <w:t>Prepare and graze</w:t>
            </w:r>
            <w:r w:rsidRPr="00107BF5">
              <w:t xml:space="preserve">: Winter crop could be sown in this paddock, and </w:t>
            </w:r>
            <w:r w:rsidR="00253FBC">
              <w:t xml:space="preserve">the </w:t>
            </w:r>
            <w:r w:rsidRPr="00107BF5">
              <w:t xml:space="preserve">grazing strategy should take into account the wetter areas of the paddock, </w:t>
            </w:r>
            <w:r w:rsidR="00253FBC">
              <w:t xml:space="preserve">with </w:t>
            </w:r>
            <w:r w:rsidRPr="00107BF5">
              <w:t xml:space="preserve">grazing in drier weather. Be prepared to remove stock from this paddock if extreme weather occurs and there is any risk of </w:t>
            </w:r>
            <w:r w:rsidR="00702C1F">
              <w:t>critical source area</w:t>
            </w:r>
            <w:r w:rsidRPr="00107BF5">
              <w:t xml:space="preserve"> connectivity.</w:t>
            </w:r>
          </w:p>
          <w:p w14:paraId="7C3B741B" w14:textId="085B5D7F" w:rsidR="00107BF5" w:rsidRPr="00107BF5" w:rsidRDefault="00107BF5" w:rsidP="00107BF5">
            <w:pPr>
              <w:pStyle w:val="Boxtext"/>
            </w:pPr>
            <w:r w:rsidRPr="00107BF5">
              <w:rPr>
                <w:b/>
                <w:bCs/>
              </w:rPr>
              <w:t>Review</w:t>
            </w:r>
            <w:r w:rsidRPr="00107BF5">
              <w:t xml:space="preserve">: Reflect on the winter season: was the extent of ponding in the depression larger than expected? Were there periods when surface flow did connect, or was at risk of connecting, with a drain or other waterway? Mark out the extent of ponding and surface flow pathways and consider if during the next grazed winter crop rotation some areas might not be cropped. See also </w:t>
            </w:r>
            <w:hyperlink r:id="rId40" w:history="1">
              <w:r w:rsidR="00253FBC" w:rsidRPr="00E26A3D">
                <w:rPr>
                  <w:rStyle w:val="Hyperlink"/>
                </w:rPr>
                <w:t xml:space="preserve">the Ministry’s </w:t>
              </w:r>
              <w:r w:rsidRPr="00E26A3D">
                <w:rPr>
                  <w:rStyle w:val="Hyperlink"/>
                </w:rPr>
                <w:t>pugging guidance</w:t>
              </w:r>
            </w:hyperlink>
            <w:r w:rsidRPr="00107BF5">
              <w:t>.</w:t>
            </w:r>
          </w:p>
          <w:p w14:paraId="7EB47049" w14:textId="1AC1455C" w:rsidR="00107BF5" w:rsidRPr="00107BF5" w:rsidRDefault="00107BF5" w:rsidP="00107BF5">
            <w:pPr>
              <w:pStyle w:val="Boxtext"/>
              <w:ind w:left="1059" w:hanging="775"/>
              <w:rPr>
                <w:b/>
                <w:bCs/>
              </w:rPr>
            </w:pPr>
            <w:r w:rsidRPr="00107BF5">
              <w:rPr>
                <w:b/>
                <w:bCs/>
              </w:rPr>
              <w:t>Photo:</w:t>
            </w:r>
            <w:r>
              <w:rPr>
                <w:b/>
                <w:bCs/>
              </w:rPr>
              <w:tab/>
            </w:r>
            <w:r w:rsidRPr="00107BF5">
              <w:rPr>
                <w:b/>
                <w:bCs/>
              </w:rPr>
              <w:t>Pasture with ponding and pugging running through the centre.</w:t>
            </w:r>
          </w:p>
          <w:p w14:paraId="6B449ED9" w14:textId="59B7CB36" w:rsidR="00107BF5" w:rsidRPr="00FC4E7E" w:rsidRDefault="00512F80">
            <w:pPr>
              <w:pStyle w:val="Boxtext"/>
              <w:ind w:left="1059" w:hanging="775"/>
              <w:rPr>
                <w:b/>
                <w:bCs/>
              </w:rPr>
            </w:pPr>
            <w:r>
              <w:rPr>
                <w:noProof/>
              </w:rPr>
              <w:drawing>
                <wp:inline distT="0" distB="0" distL="0" distR="0" wp14:anchorId="74BF0907" wp14:editId="1646565A">
                  <wp:extent cx="4880344" cy="2034664"/>
                  <wp:effectExtent l="0" t="0" r="0" b="3810"/>
                  <wp:docPr id="19" name="Picture 19" descr="Pasture with ponding and pugging running through the cent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asture with ponding and pugging running through the centre. "/>
                          <pic:cNvPicPr/>
                        </pic:nvPicPr>
                        <pic:blipFill rotWithShape="1">
                          <a:blip r:embed="rId41" cstate="print">
                            <a:extLst>
                              <a:ext uri="{28A0092B-C50C-407E-A947-70E740481C1C}">
                                <a14:useLocalDpi xmlns:a14="http://schemas.microsoft.com/office/drawing/2010/main"/>
                              </a:ext>
                            </a:extLst>
                          </a:blip>
                          <a:srcRect/>
                          <a:stretch/>
                        </pic:blipFill>
                        <pic:spPr bwMode="auto">
                          <a:xfrm>
                            <a:off x="0" y="0"/>
                            <a:ext cx="4927927" cy="2054502"/>
                          </a:xfrm>
                          <a:prstGeom prst="rect">
                            <a:avLst/>
                          </a:prstGeom>
                          <a:ln>
                            <a:noFill/>
                          </a:ln>
                          <a:extLst>
                            <a:ext uri="{53640926-AAD7-44D8-BBD7-CCE9431645EC}">
                              <a14:shadowObscured xmlns:a14="http://schemas.microsoft.com/office/drawing/2010/main"/>
                            </a:ext>
                          </a:extLst>
                        </pic:spPr>
                      </pic:pic>
                    </a:graphicData>
                  </a:graphic>
                </wp:inline>
              </w:drawing>
            </w:r>
          </w:p>
        </w:tc>
      </w:tr>
    </w:tbl>
    <w:p w14:paraId="799B6C63" w14:textId="77777777" w:rsidR="00512F80" w:rsidRDefault="00512F80" w:rsidP="00142D51">
      <w:pPr>
        <w:pStyle w:val="BodyText"/>
      </w:pPr>
    </w:p>
    <w:tbl>
      <w:tblPr>
        <w:tblW w:w="8505" w:type="dxa"/>
        <w:tblInd w:w="113"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800"/>
      </w:tblGrid>
      <w:tr w:rsidR="00950C6C" w:rsidRPr="006B77BB" w14:paraId="6B7D3005" w14:textId="77777777">
        <w:tc>
          <w:tcPr>
            <w:tcW w:w="8505" w:type="dxa"/>
            <w:shd w:val="clear" w:color="auto" w:fill="D5EBE8" w:themeFill="accent3"/>
          </w:tcPr>
          <w:p w14:paraId="2E275695" w14:textId="65C60C0A" w:rsidR="00512F80" w:rsidRPr="0051754D" w:rsidRDefault="00253FBC">
            <w:pPr>
              <w:pStyle w:val="Greenheading-casestudytables"/>
            </w:pPr>
            <w:r>
              <w:lastRenderedPageBreak/>
              <w:t xml:space="preserve">Case study 4: </w:t>
            </w:r>
            <w:r w:rsidR="00D91F52" w:rsidRPr="00D91F52">
              <w:t xml:space="preserve">Unprotected </w:t>
            </w:r>
            <w:r w:rsidR="00702C1F">
              <w:t>critical source area</w:t>
            </w:r>
            <w:r w:rsidR="00D91F52" w:rsidRPr="00D91F52">
              <w:t xml:space="preserve"> on rolling slope</w:t>
            </w:r>
            <w:r w:rsidR="00512F80" w:rsidRPr="006B77BB">
              <w:t xml:space="preserve"> </w:t>
            </w:r>
          </w:p>
          <w:p w14:paraId="2634501E" w14:textId="01B5EE47" w:rsidR="00D91F52" w:rsidRPr="00D91F52" w:rsidRDefault="00D91F52" w:rsidP="00D91F52">
            <w:pPr>
              <w:pStyle w:val="Boxtext"/>
            </w:pPr>
            <w:r w:rsidRPr="00D91F52">
              <w:rPr>
                <w:b/>
                <w:bCs/>
              </w:rPr>
              <w:t>Plan</w:t>
            </w:r>
            <w:r w:rsidRPr="00D91F52">
              <w:t xml:space="preserve">: In this example, surface </w:t>
            </w:r>
            <w:r w:rsidR="003B0999">
              <w:t>run-off</w:t>
            </w:r>
            <w:r w:rsidRPr="00D91F52">
              <w:t xml:space="preserve"> is clearly visible, and the swale channels the </w:t>
            </w:r>
            <w:r w:rsidR="003B0999">
              <w:t>run-off</w:t>
            </w:r>
            <w:r w:rsidRPr="00D91F52">
              <w:t xml:space="preserve"> across a laneway and into a surface drain. Sediment and nutrients from winter grazing have a clear pathway to impact water quality during rainfall events. Note the slope is greater than 10 degrees in some areas of this paddock, and a resource consent would be needed (if there was no </w:t>
            </w:r>
            <w:r w:rsidR="00253FBC">
              <w:t>freshwater farm plan</w:t>
            </w:r>
            <w:r w:rsidRPr="00D91F52">
              <w:t xml:space="preserve">). Alternatively, the steeper areas of the paddock could remain in pasture while the rest is used for </w:t>
            </w:r>
            <w:r w:rsidR="00253FBC">
              <w:t>intensive winter grazing</w:t>
            </w:r>
            <w:r w:rsidRPr="00D91F52">
              <w:t xml:space="preserve">. </w:t>
            </w:r>
          </w:p>
          <w:p w14:paraId="3FF25688" w14:textId="177BCBCF" w:rsidR="00D91F52" w:rsidRPr="00D91F52" w:rsidRDefault="00D91F52" w:rsidP="00D91F52">
            <w:pPr>
              <w:pStyle w:val="Boxtext"/>
            </w:pPr>
            <w:r w:rsidRPr="00D91F52">
              <w:rPr>
                <w:b/>
                <w:bCs/>
              </w:rPr>
              <w:t>Prepare and graze</w:t>
            </w:r>
            <w:r w:rsidRPr="00D91F52">
              <w:t xml:space="preserve">: Protecting the </w:t>
            </w:r>
            <w:r w:rsidR="00702C1F">
              <w:t>critical source area</w:t>
            </w:r>
            <w:r w:rsidRPr="00D91F52">
              <w:t xml:space="preserve"> through vegetation cover and </w:t>
            </w:r>
            <w:r w:rsidR="00253FBC">
              <w:t>by excluding live</w:t>
            </w:r>
            <w:r w:rsidRPr="00D91F52">
              <w:t xml:space="preserve">stock will minimise the loss of contaminants from winter grazing. The area shaded in </w:t>
            </w:r>
            <w:r w:rsidR="00253FBC">
              <w:t xml:space="preserve">blue </w:t>
            </w:r>
            <w:r w:rsidRPr="00D91F52">
              <w:t xml:space="preserve">the photo below represents an estimate of the </w:t>
            </w:r>
            <w:r w:rsidR="00702C1F">
              <w:t>critical source area</w:t>
            </w:r>
            <w:r w:rsidRPr="00D91F52">
              <w:t xml:space="preserve"> that should have been protected from grazing within the IWG paddock. </w:t>
            </w:r>
          </w:p>
          <w:p w14:paraId="4EEE6BC2" w14:textId="77777777" w:rsidR="00D91F52" w:rsidRPr="00D91F52" w:rsidRDefault="00D91F52" w:rsidP="00D91F52">
            <w:pPr>
              <w:pStyle w:val="Boxtext"/>
            </w:pPr>
            <w:r w:rsidRPr="00D91F52">
              <w:rPr>
                <w:b/>
                <w:bCs/>
              </w:rPr>
              <w:t>Check and review</w:t>
            </w:r>
            <w:r w:rsidRPr="00D91F52">
              <w:t>: How well did the protected area stop the flow of sediment from the surrounding grazed area? For the next grazed winter cropping rotation consider if the protected area should be larger or smaller, based on the observations from this year.</w:t>
            </w:r>
          </w:p>
          <w:p w14:paraId="1D30B758" w14:textId="03467774" w:rsidR="00512F80" w:rsidRDefault="00D91F52" w:rsidP="00D91F52">
            <w:pPr>
              <w:pStyle w:val="Boxtext"/>
              <w:ind w:left="1059" w:hanging="775"/>
              <w:rPr>
                <w:b/>
                <w:bCs/>
              </w:rPr>
            </w:pPr>
            <w:r w:rsidRPr="00D91F52">
              <w:rPr>
                <w:b/>
                <w:bCs/>
              </w:rPr>
              <w:t>Photo:</w:t>
            </w:r>
            <w:r>
              <w:rPr>
                <w:b/>
                <w:bCs/>
              </w:rPr>
              <w:tab/>
            </w:r>
            <w:r w:rsidRPr="00D91F52">
              <w:rPr>
                <w:b/>
                <w:bCs/>
              </w:rPr>
              <w:t xml:space="preserve">A grazed winter forage with bare soil and erodible sediment. The area shaded in blue represents an estimate of the </w:t>
            </w:r>
            <w:r w:rsidR="00702C1F">
              <w:rPr>
                <w:b/>
                <w:bCs/>
              </w:rPr>
              <w:t>critical source area</w:t>
            </w:r>
            <w:r w:rsidRPr="00D91F52">
              <w:rPr>
                <w:b/>
                <w:bCs/>
              </w:rPr>
              <w:t xml:space="preserve"> that should have been protected from grazing. (Note this photo was taken before IWG regulations came into effect).</w:t>
            </w:r>
          </w:p>
          <w:p w14:paraId="0E3D94AC" w14:textId="4D77FDD8" w:rsidR="00D91F52" w:rsidRPr="00950C6C" w:rsidRDefault="00DF1669" w:rsidP="00D91F52">
            <w:pPr>
              <w:pStyle w:val="Boxtext"/>
              <w:ind w:left="1059" w:hanging="775"/>
            </w:pPr>
            <w:r>
              <w:rPr>
                <w:noProof/>
              </w:rPr>
              <w:drawing>
                <wp:inline distT="0" distB="0" distL="0" distR="0" wp14:anchorId="6CA7557F" wp14:editId="50A88C65">
                  <wp:extent cx="5090160" cy="3344962"/>
                  <wp:effectExtent l="0" t="0" r="0" b="8255"/>
                  <wp:docPr id="3" name="Picture 3" descr="A grazed winter forage with bare soil and erodible sediment. The critical source area is delineated to show the area that should have been protected from graz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azed winter forage with bare soil and erodible sediment. The critical source area is delineated to show the area that should have been protected from grazing. "/>
                          <pic:cNvPicPr>
                            <a:picLocks noChangeAspect="1" noChangeArrowheads="1"/>
                          </pic:cNvPicPr>
                        </pic:nvPicPr>
                        <pic:blipFill rotWithShape="1">
                          <a:blip r:embed="rId42">
                            <a:extLst>
                              <a:ext uri="{28A0092B-C50C-407E-A947-70E740481C1C}">
                                <a14:useLocalDpi xmlns:a14="http://schemas.microsoft.com/office/drawing/2010/main" val="0"/>
                              </a:ext>
                            </a:extLst>
                          </a:blip>
                          <a:srcRect t="11645" r="25909" b="23423"/>
                          <a:stretch/>
                        </pic:blipFill>
                        <pic:spPr bwMode="auto">
                          <a:xfrm>
                            <a:off x="0" y="0"/>
                            <a:ext cx="5103506" cy="335373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CA83018" w14:textId="77777777" w:rsidR="00512F80" w:rsidRDefault="00512F80" w:rsidP="00512F80">
      <w:pPr>
        <w:pStyle w:val="BodyText"/>
      </w:pPr>
    </w:p>
    <w:tbl>
      <w:tblPr>
        <w:tblW w:w="8505" w:type="dxa"/>
        <w:tblInd w:w="113"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950C6C" w:rsidRPr="006B77BB" w14:paraId="5E5901E8" w14:textId="77777777">
        <w:tc>
          <w:tcPr>
            <w:tcW w:w="8505" w:type="dxa"/>
            <w:shd w:val="clear" w:color="auto" w:fill="D5EBE8" w:themeFill="accent3"/>
          </w:tcPr>
          <w:p w14:paraId="2B61AB0F" w14:textId="35B59514" w:rsidR="00950C6C" w:rsidRPr="0051754D" w:rsidRDefault="00253FBC">
            <w:pPr>
              <w:pStyle w:val="Greenheading-casestudytables"/>
            </w:pPr>
            <w:r>
              <w:lastRenderedPageBreak/>
              <w:t xml:space="preserve">Case study 5: </w:t>
            </w:r>
            <w:r w:rsidR="00950C6C" w:rsidRPr="00950C6C">
              <w:t xml:space="preserve">Protected </w:t>
            </w:r>
            <w:r w:rsidR="00702C1F">
              <w:t>critical source area</w:t>
            </w:r>
            <w:r w:rsidR="00950C6C" w:rsidRPr="00950C6C">
              <w:t xml:space="preserve"> on rolling slope</w:t>
            </w:r>
          </w:p>
          <w:p w14:paraId="69670310" w14:textId="1225019A" w:rsidR="00950C6C" w:rsidRPr="00950C6C" w:rsidRDefault="00950C6C" w:rsidP="00950C6C">
            <w:pPr>
              <w:pStyle w:val="Boxtext"/>
            </w:pPr>
            <w:r w:rsidRPr="00950C6C">
              <w:rPr>
                <w:b/>
                <w:bCs/>
              </w:rPr>
              <w:t>Plan and prepare</w:t>
            </w:r>
            <w:r w:rsidRPr="00950C6C">
              <w:t xml:space="preserve">: In the example below, the low-lying areas of the paddock were left in pasture. This area will intercept contamination from surface </w:t>
            </w:r>
            <w:r w:rsidR="003B0999">
              <w:t>run-off</w:t>
            </w:r>
            <w:r w:rsidRPr="00950C6C">
              <w:t xml:space="preserve"> (blue arrows) from the cropped area, while excluding livestock will help protect this area from pugging and soil compaction. </w:t>
            </w:r>
          </w:p>
          <w:p w14:paraId="2FED73F3" w14:textId="16293824" w:rsidR="00950C6C" w:rsidRPr="00950C6C" w:rsidRDefault="00950C6C" w:rsidP="00950C6C">
            <w:pPr>
              <w:pStyle w:val="Boxtext"/>
            </w:pPr>
            <w:r w:rsidRPr="00950C6C">
              <w:rPr>
                <w:b/>
                <w:bCs/>
              </w:rPr>
              <w:t>Graze</w:t>
            </w:r>
            <w:r w:rsidRPr="00950C6C">
              <w:t xml:space="preserve">: This </w:t>
            </w:r>
            <w:r w:rsidR="00702C1F">
              <w:t>critical source area</w:t>
            </w:r>
            <w:r w:rsidRPr="00950C6C">
              <w:t xml:space="preserve"> will remain ungrazed from 1 May to 30 September but can be opened for grazing afterwards using good management practices.</w:t>
            </w:r>
            <w:r w:rsidR="003B0999">
              <w:t xml:space="preserve"> </w:t>
            </w:r>
            <w:r w:rsidRPr="00950C6C">
              <w:t xml:space="preserve"> </w:t>
            </w:r>
          </w:p>
          <w:p w14:paraId="438603C6" w14:textId="40D97CA4" w:rsidR="00950C6C" w:rsidRPr="00950C6C" w:rsidRDefault="00950C6C" w:rsidP="00950C6C">
            <w:pPr>
              <w:pStyle w:val="Boxtext"/>
            </w:pPr>
            <w:r w:rsidRPr="00950C6C">
              <w:rPr>
                <w:b/>
                <w:bCs/>
              </w:rPr>
              <w:t>Check and review</w:t>
            </w:r>
            <w:r w:rsidRPr="00950C6C">
              <w:t xml:space="preserve">: Reflect on the winter season. Was the size of the area left in pasture large enough to cover the </w:t>
            </w:r>
            <w:r w:rsidR="00702C1F">
              <w:t>critical source area</w:t>
            </w:r>
            <w:r w:rsidRPr="00950C6C">
              <w:t xml:space="preserve">? Were there any unexpected ephemeral flow paths that bypassed the protected </w:t>
            </w:r>
            <w:r w:rsidR="00702C1F">
              <w:t>critical source area</w:t>
            </w:r>
            <w:r w:rsidRPr="00950C6C">
              <w:t xml:space="preserve">? </w:t>
            </w:r>
          </w:p>
          <w:p w14:paraId="4487285D" w14:textId="04C77455" w:rsidR="00950C6C" w:rsidRDefault="00950C6C" w:rsidP="00950C6C">
            <w:pPr>
              <w:pStyle w:val="Boxtext"/>
              <w:ind w:left="1059" w:hanging="775"/>
              <w:rPr>
                <w:b/>
                <w:bCs/>
              </w:rPr>
            </w:pPr>
            <w:r w:rsidRPr="00950C6C">
              <w:rPr>
                <w:b/>
                <w:bCs/>
              </w:rPr>
              <w:t>Photo:</w:t>
            </w:r>
            <w:r>
              <w:rPr>
                <w:b/>
                <w:bCs/>
              </w:rPr>
              <w:tab/>
            </w:r>
            <w:r w:rsidRPr="00950C6C">
              <w:rPr>
                <w:b/>
                <w:bCs/>
              </w:rPr>
              <w:t xml:space="preserve">An ungrazed winter forage with </w:t>
            </w:r>
            <w:r w:rsidR="00702C1F">
              <w:rPr>
                <w:b/>
                <w:bCs/>
              </w:rPr>
              <w:t>critical source area</w:t>
            </w:r>
            <w:r w:rsidRPr="00950C6C">
              <w:rPr>
                <w:b/>
                <w:bCs/>
              </w:rPr>
              <w:t xml:space="preserve"> in the foreground, left in pasture. The blue arrows represent the surface </w:t>
            </w:r>
            <w:r w:rsidR="003B0999">
              <w:rPr>
                <w:b/>
                <w:bCs/>
              </w:rPr>
              <w:t>run-off</w:t>
            </w:r>
            <w:r w:rsidRPr="00950C6C">
              <w:rPr>
                <w:b/>
                <w:bCs/>
              </w:rPr>
              <w:t xml:space="preserve"> that will occur when the winter forage crop is grazed.</w:t>
            </w:r>
          </w:p>
          <w:p w14:paraId="10245EE4" w14:textId="618499C2" w:rsidR="00950C6C" w:rsidRPr="00950C6C" w:rsidRDefault="009C37F5">
            <w:pPr>
              <w:pStyle w:val="Boxtext"/>
              <w:ind w:left="1059" w:hanging="775"/>
            </w:pPr>
            <w:r>
              <w:rPr>
                <w:i/>
                <w:noProof/>
                <w:sz w:val="21"/>
                <w:szCs w:val="21"/>
              </w:rPr>
              <w:drawing>
                <wp:inline distT="0" distB="0" distL="0" distR="0" wp14:anchorId="370B8703" wp14:editId="73A43D21">
                  <wp:extent cx="4869711" cy="3434992"/>
                  <wp:effectExtent l="0" t="0" r="7620" b="0"/>
                  <wp:docPr id="24" name="Picture 24" descr="An ungrazed winter forage area with critical source area in the foreground, left in pasture. Two blue arrows show the surface run-off direction that will occur when the winter forage crop is graz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n ungrazed winter forage area with critical source area in the foreground, left in pasture. Two blue arrows show the surface run-off direction that will occur when the winter forage crop is grazed.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79798" cy="3442107"/>
                          </a:xfrm>
                          <a:prstGeom prst="rect">
                            <a:avLst/>
                          </a:prstGeom>
                          <a:noFill/>
                        </pic:spPr>
                      </pic:pic>
                    </a:graphicData>
                  </a:graphic>
                </wp:inline>
              </w:drawing>
            </w:r>
          </w:p>
        </w:tc>
      </w:tr>
    </w:tbl>
    <w:p w14:paraId="17AAFA26" w14:textId="77777777" w:rsidR="00950C6C" w:rsidRDefault="00950C6C" w:rsidP="00950C6C">
      <w:pPr>
        <w:pStyle w:val="BodyText"/>
      </w:pPr>
    </w:p>
    <w:p w14:paraId="6064F3A6" w14:textId="4B7AFF6C" w:rsidR="009C37F5" w:rsidRDefault="009C37F5">
      <w:pPr>
        <w:spacing w:before="0" w:after="200" w:line="276" w:lineRule="auto"/>
        <w:jc w:val="left"/>
      </w:pPr>
      <w:r>
        <w:br w:type="page"/>
      </w:r>
    </w:p>
    <w:p w14:paraId="75D98774" w14:textId="77777777" w:rsidR="00142D51" w:rsidRPr="009C37F5" w:rsidRDefault="00142D51" w:rsidP="009C37F5">
      <w:pPr>
        <w:pStyle w:val="Heading1"/>
        <w:rPr>
          <w:spacing w:val="-8"/>
        </w:rPr>
      </w:pPr>
      <w:bookmarkStart w:id="40" w:name="_Toc129957936"/>
      <w:r w:rsidRPr="009C37F5">
        <w:rPr>
          <w:spacing w:val="-8"/>
        </w:rPr>
        <w:lastRenderedPageBreak/>
        <w:t>8.</w:t>
      </w:r>
      <w:r w:rsidRPr="009C37F5">
        <w:rPr>
          <w:spacing w:val="-8"/>
        </w:rPr>
        <w:tab/>
        <w:t>Knowledge gaps and limitations</w:t>
      </w:r>
      <w:bookmarkEnd w:id="40"/>
    </w:p>
    <w:p w14:paraId="1933E6F5" w14:textId="77777777" w:rsidR="00182C3E" w:rsidRDefault="00182C3E" w:rsidP="00BC7F37">
      <w:pPr>
        <w:pStyle w:val="Heading4"/>
      </w:pPr>
      <w:r>
        <w:t xml:space="preserve">Delineating critical source areas is challenging </w:t>
      </w:r>
    </w:p>
    <w:p w14:paraId="352E7463" w14:textId="0D58D75A" w:rsidR="00142D51" w:rsidRDefault="00182C3E" w:rsidP="00BC7F37">
      <w:pPr>
        <w:pStyle w:val="BodyText"/>
      </w:pPr>
      <w:r>
        <w:t>Delineating</w:t>
      </w:r>
      <w:r w:rsidR="00142D51">
        <w:t xml:space="preserve"> </w:t>
      </w:r>
      <w:r w:rsidR="00702C1F">
        <w:t>critical source area</w:t>
      </w:r>
      <w:r w:rsidR="00142D51">
        <w:t>s is challenging as the</w:t>
      </w:r>
      <w:r w:rsidR="00253FBC">
        <w:t xml:space="preserve"> areas</w:t>
      </w:r>
      <w:r w:rsidR="00142D51">
        <w:t xml:space="preserve"> generating </w:t>
      </w:r>
      <w:r w:rsidR="00253FBC">
        <w:t xml:space="preserve">run-off </w:t>
      </w:r>
      <w:r w:rsidR="00142D51">
        <w:t>expand and contract in response to rainfall. A practical approach may be to define areas that are active (</w:t>
      </w:r>
      <w:r w:rsidR="003B0999">
        <w:t>ie,</w:t>
      </w:r>
      <w:r w:rsidR="00142D51">
        <w:t xml:space="preserve"> generate significant amounts of </w:t>
      </w:r>
      <w:r w:rsidR="003B0999">
        <w:t>run-off</w:t>
      </w:r>
      <w:r w:rsidR="00142D51">
        <w:t>) during much of the winter, but are small enough to retire to allow productive land use, without compromising surface water quality (</w:t>
      </w:r>
      <w:r w:rsidR="003B0999">
        <w:t>eg</w:t>
      </w:r>
      <w:r w:rsidR="00142D51">
        <w:t xml:space="preserve">, McDowell and Srinivasan, 2009). The optimum </w:t>
      </w:r>
      <w:r w:rsidR="00702C1F">
        <w:t>critical source area</w:t>
      </w:r>
      <w:r w:rsidR="00142D51">
        <w:t>s for environmental outcomes need to be assessed for different soil types, topographies and climates.</w:t>
      </w:r>
    </w:p>
    <w:p w14:paraId="4A4D0ADC" w14:textId="78D45FBE" w:rsidR="00182C3E" w:rsidRDefault="00182C3E" w:rsidP="00BC7F37">
      <w:pPr>
        <w:pStyle w:val="Heading4"/>
      </w:pPr>
      <w:r>
        <w:t>More methods needed to identify critical source areas</w:t>
      </w:r>
    </w:p>
    <w:p w14:paraId="5233CE8F" w14:textId="7F485BD3" w:rsidR="00142D51" w:rsidRDefault="00142D51" w:rsidP="00BC7F37">
      <w:pPr>
        <w:pStyle w:val="BodyText"/>
      </w:pPr>
      <w:r>
        <w:t xml:space="preserve">Although the walkover survey is a more practical approach for identifying </w:t>
      </w:r>
      <w:r w:rsidR="00702C1F">
        <w:t>critical source area</w:t>
      </w:r>
      <w:r>
        <w:t xml:space="preserve">s, it is often challenging due to the </w:t>
      </w:r>
      <w:r w:rsidR="00182C3E">
        <w:t xml:space="preserve">need </w:t>
      </w:r>
      <w:r>
        <w:t>to collect data across seasons and in different weather conditions. Modelling approaches can help narrow down some of these challenges. For example, technology such as LiDAR can be used to create three-dimensional</w:t>
      </w:r>
      <w:r w:rsidR="00182C3E">
        <w:t>,</w:t>
      </w:r>
      <w:r>
        <w:t xml:space="preserve"> digital</w:t>
      </w:r>
      <w:r w:rsidR="00182C3E">
        <w:t>,</w:t>
      </w:r>
      <w:r>
        <w:t xml:space="preserve"> elevation models of a farm</w:t>
      </w:r>
      <w:r w:rsidR="00873C63">
        <w:t>,</w:t>
      </w:r>
      <w:r>
        <w:t xml:space="preserve"> which can be used to identify surface </w:t>
      </w:r>
      <w:r w:rsidR="003B0999">
        <w:t>run-off</w:t>
      </w:r>
      <w:r>
        <w:t xml:space="preserve"> pathways and waterway networks. However, to the best of </w:t>
      </w:r>
      <w:r w:rsidR="00182C3E">
        <w:t xml:space="preserve">the authors’ </w:t>
      </w:r>
      <w:r>
        <w:t xml:space="preserve">knowledge, no study has evaluated different techniques for identifying </w:t>
      </w:r>
      <w:r w:rsidR="00702C1F">
        <w:t>critical source area</w:t>
      </w:r>
      <w:r>
        <w:t xml:space="preserve">s in the context of IWG. Further research is recommended to evaluate different methods for identifying </w:t>
      </w:r>
      <w:r w:rsidR="00702C1F">
        <w:t>critical source area</w:t>
      </w:r>
      <w:r>
        <w:t>s</w:t>
      </w:r>
      <w:r w:rsidR="00182C3E">
        <w:t xml:space="preserve"> and </w:t>
      </w:r>
      <w:r>
        <w:t>help confirm the optimum criteria.</w:t>
      </w:r>
    </w:p>
    <w:p w14:paraId="11F116F5" w14:textId="2B2D46B2" w:rsidR="00182C3E" w:rsidRDefault="00182C3E" w:rsidP="00BC7F37">
      <w:pPr>
        <w:pStyle w:val="Heading4"/>
      </w:pPr>
      <w:r>
        <w:t xml:space="preserve">Contaminant transport in run-off is spatially and temporally non-uniform </w:t>
      </w:r>
    </w:p>
    <w:p w14:paraId="28882090" w14:textId="1267E54C" w:rsidR="00142D51" w:rsidRDefault="00142D51" w:rsidP="00BC7F37">
      <w:pPr>
        <w:pStyle w:val="BodyText"/>
      </w:pPr>
      <w:r>
        <w:t xml:space="preserve">Contaminant transport in </w:t>
      </w:r>
      <w:r w:rsidR="003B0999">
        <w:t>run-off</w:t>
      </w:r>
      <w:r>
        <w:t xml:space="preserve"> is spatially and temporally non-uniform. Heavy rainfall can produce surface </w:t>
      </w:r>
      <w:r w:rsidR="003B0999">
        <w:t>run-off</w:t>
      </w:r>
      <w:r>
        <w:t xml:space="preserve"> that is funnelled through micro- and ephemeral channels which may limit the capability of buffer strips to remove contaminants (Dosskey </w:t>
      </w:r>
      <w:r w:rsidR="003B0999">
        <w:t>et al,</w:t>
      </w:r>
      <w:r>
        <w:t xml:space="preserve"> 2002). In such situations, performance may be boosted by redistributing the buffer area, </w:t>
      </w:r>
      <w:r w:rsidR="003B0999">
        <w:t>ie,</w:t>
      </w:r>
      <w:r>
        <w:t xml:space="preserve"> creating a larger buffer area where there is greater </w:t>
      </w:r>
      <w:r w:rsidR="003B0999">
        <w:t>run-off</w:t>
      </w:r>
      <w:r>
        <w:t xml:space="preserve"> load and a smaller buffer area where the </w:t>
      </w:r>
      <w:r w:rsidR="003B0999">
        <w:t>run-off</w:t>
      </w:r>
      <w:r>
        <w:t xml:space="preserve"> load is low (Dosskey </w:t>
      </w:r>
      <w:r w:rsidR="003B0999">
        <w:t>et al,</w:t>
      </w:r>
      <w:r>
        <w:t xml:space="preserve"> 2005). However, there is a lack of quantitative methods that enable evaluation of field surface </w:t>
      </w:r>
      <w:r w:rsidR="003B0999">
        <w:t>run-off</w:t>
      </w:r>
      <w:r>
        <w:t xml:space="preserve"> patterns and their impact on buffer effectiveness in the context of intensive winter grazing.</w:t>
      </w:r>
    </w:p>
    <w:p w14:paraId="22A94A7C" w14:textId="53773F10" w:rsidR="00182C3E" w:rsidRDefault="00182C3E" w:rsidP="00BC7F37">
      <w:pPr>
        <w:pStyle w:val="Heading4"/>
      </w:pPr>
      <w:r>
        <w:t xml:space="preserve">Cross-slope cultivation can be less effective on heavy soils in regions subject to intense rain </w:t>
      </w:r>
    </w:p>
    <w:p w14:paraId="0955FB46" w14:textId="005677C2" w:rsidR="00142D51" w:rsidRDefault="00142D51" w:rsidP="00BC7F37">
      <w:pPr>
        <w:pStyle w:val="BodyText"/>
      </w:pPr>
      <w:r>
        <w:t xml:space="preserve">Cross-slope cultivation can be less effective on heavy soils (with high clay content and low infiltration rates) in regions subject to intense rain. </w:t>
      </w:r>
      <w:r w:rsidR="00182C3E">
        <w:t xml:space="preserve">In these cases, </w:t>
      </w:r>
      <w:r w:rsidR="003B0999">
        <w:t>run-off</w:t>
      </w:r>
      <w:r>
        <w:t xml:space="preserve"> can pond in furrows until it breaches the cultivation ridges, forming downslope rill erosion. In such situations, wider buffer</w:t>
      </w:r>
      <w:r w:rsidR="00182C3E">
        <w:t>s</w:t>
      </w:r>
      <w:r>
        <w:t xml:space="preserve"> may be needed around a </w:t>
      </w:r>
      <w:r w:rsidR="00702C1F">
        <w:t>critical source area</w:t>
      </w:r>
      <w:r>
        <w:t>. Further research under different soils and climates is recommended to determine the effectiveness of cross-slope cultivation.</w:t>
      </w:r>
    </w:p>
    <w:p w14:paraId="4295606E" w14:textId="77777777" w:rsidR="00142D51" w:rsidRDefault="00142D51" w:rsidP="00182C3E">
      <w:pPr>
        <w:pStyle w:val="BodyText"/>
      </w:pPr>
    </w:p>
    <w:p w14:paraId="6F97257F" w14:textId="77777777" w:rsidR="009C37F5" w:rsidRDefault="009C37F5">
      <w:pPr>
        <w:spacing w:before="0" w:after="200" w:line="276" w:lineRule="auto"/>
        <w:jc w:val="left"/>
      </w:pPr>
      <w:r>
        <w:br w:type="page"/>
      </w:r>
    </w:p>
    <w:p w14:paraId="4251A09A" w14:textId="33F11FA3" w:rsidR="00142D51" w:rsidRDefault="00142D51" w:rsidP="002D4D53">
      <w:pPr>
        <w:pStyle w:val="Heading1"/>
      </w:pPr>
      <w:bookmarkStart w:id="41" w:name="_Toc129957937"/>
      <w:r>
        <w:lastRenderedPageBreak/>
        <w:t>Appendix 1: Walkover survey guide</w:t>
      </w:r>
      <w:bookmarkEnd w:id="41"/>
    </w:p>
    <w:p w14:paraId="69E8FE1B" w14:textId="08DA2CB6" w:rsidR="009471A4" w:rsidRPr="004428A2" w:rsidRDefault="00142D51" w:rsidP="004428A2">
      <w:pPr>
        <w:pStyle w:val="BodyText"/>
        <w:rPr>
          <w:rFonts w:ascii="Georgia" w:hAnsi="Georgia"/>
          <w:b/>
          <w:bCs/>
          <w:color w:val="1C556C" w:themeColor="accent1"/>
          <w:sz w:val="36"/>
          <w:szCs w:val="36"/>
        </w:rPr>
      </w:pPr>
      <w:r w:rsidRPr="004428A2">
        <w:rPr>
          <w:rFonts w:ascii="Georgia" w:hAnsi="Georgia"/>
          <w:b/>
          <w:bCs/>
          <w:color w:val="1C556C" w:themeColor="accent1"/>
          <w:sz w:val="36"/>
          <w:szCs w:val="36"/>
        </w:rPr>
        <w:t>Purpose</w:t>
      </w:r>
      <w:r w:rsidR="0029473C" w:rsidRPr="004428A2">
        <w:rPr>
          <w:rFonts w:ascii="Georgia" w:hAnsi="Georgia"/>
          <w:b/>
          <w:bCs/>
          <w:color w:val="1C556C" w:themeColor="accent1"/>
          <w:sz w:val="36"/>
          <w:szCs w:val="36"/>
        </w:rPr>
        <w:t xml:space="preserve"> </w:t>
      </w:r>
    </w:p>
    <w:p w14:paraId="0040D958" w14:textId="0F7DED60" w:rsidR="00142D51" w:rsidRPr="0029473C" w:rsidRDefault="00142D51" w:rsidP="0029473C">
      <w:pPr>
        <w:pStyle w:val="BodyText"/>
      </w:pPr>
      <w:r w:rsidRPr="0029473C">
        <w:t xml:space="preserve">To observe and identify landscape features </w:t>
      </w:r>
      <w:r w:rsidR="009471A4">
        <w:t>with</w:t>
      </w:r>
      <w:r w:rsidRPr="0029473C">
        <w:t xml:space="preserve"> the potential to accelerate contaminant delivery to waterways during intensive winter grazing. The </w:t>
      </w:r>
      <w:r w:rsidR="009471A4">
        <w:t>main</w:t>
      </w:r>
      <w:r w:rsidR="009471A4" w:rsidRPr="0029473C">
        <w:t xml:space="preserve"> </w:t>
      </w:r>
      <w:r w:rsidRPr="0029473C">
        <w:t>focus of this survey guide is sediment</w:t>
      </w:r>
      <w:r w:rsidR="007D3389">
        <w:t>,</w:t>
      </w:r>
      <w:r w:rsidRPr="0029473C">
        <w:t xml:space="preserve"> as it is relatively easy to observe.</w:t>
      </w:r>
    </w:p>
    <w:p w14:paraId="6C89AE07" w14:textId="7E43355F" w:rsidR="009471A4" w:rsidRPr="004428A2" w:rsidRDefault="00142D51" w:rsidP="004428A2">
      <w:pPr>
        <w:pStyle w:val="BodyText"/>
        <w:rPr>
          <w:rFonts w:ascii="Georgia" w:hAnsi="Georgia"/>
          <w:b/>
          <w:bCs/>
          <w:color w:val="1C556C" w:themeColor="accent1"/>
          <w:sz w:val="36"/>
          <w:szCs w:val="36"/>
        </w:rPr>
      </w:pPr>
      <w:r w:rsidRPr="004428A2">
        <w:rPr>
          <w:rFonts w:ascii="Georgia" w:hAnsi="Georgia"/>
          <w:b/>
          <w:bCs/>
          <w:color w:val="1C556C" w:themeColor="accent1"/>
          <w:sz w:val="36"/>
          <w:szCs w:val="36"/>
        </w:rPr>
        <w:t>What to bring</w:t>
      </w:r>
    </w:p>
    <w:p w14:paraId="52DEB7EB" w14:textId="14682FA7" w:rsidR="00142D51" w:rsidRDefault="007D3389" w:rsidP="00F90BEE">
      <w:pPr>
        <w:pStyle w:val="BodyText"/>
      </w:pPr>
      <w:r>
        <w:t>A n</w:t>
      </w:r>
      <w:r w:rsidR="00142D51">
        <w:t xml:space="preserve">otepad </w:t>
      </w:r>
      <w:r w:rsidR="00323C49">
        <w:t>and</w:t>
      </w:r>
      <w:r w:rsidR="00142D51">
        <w:t xml:space="preserve"> camera</w:t>
      </w:r>
      <w:r>
        <w:t>.</w:t>
      </w:r>
    </w:p>
    <w:p w14:paraId="42924E0F" w14:textId="6E72BEE9" w:rsidR="009471A4" w:rsidRPr="004428A2" w:rsidRDefault="009471A4" w:rsidP="004428A2">
      <w:pPr>
        <w:pStyle w:val="BodyText"/>
        <w:spacing w:after="240"/>
        <w:rPr>
          <w:rFonts w:ascii="Georgia" w:hAnsi="Georgia"/>
          <w:b/>
          <w:bCs/>
          <w:color w:val="1C556C" w:themeColor="accent1"/>
          <w:sz w:val="36"/>
          <w:szCs w:val="36"/>
        </w:rPr>
      </w:pPr>
      <w:r w:rsidRPr="004428A2">
        <w:rPr>
          <w:rFonts w:ascii="Georgia" w:hAnsi="Georgia"/>
          <w:b/>
          <w:bCs/>
          <w:color w:val="1C556C" w:themeColor="accent1"/>
          <w:sz w:val="36"/>
          <w:szCs w:val="36"/>
        </w:rPr>
        <w:t>Tips</w:t>
      </w:r>
    </w:p>
    <w:p w14:paraId="1B53164B" w14:textId="483445BF" w:rsidR="009471A4" w:rsidRDefault="00142D51" w:rsidP="004428A2">
      <w:pPr>
        <w:pStyle w:val="Bullet"/>
      </w:pPr>
      <w:r>
        <w:t xml:space="preserve">The bank of a stream is a good place to start gathering observations, but any place on the farm </w:t>
      </w:r>
      <w:r w:rsidR="009471A4">
        <w:t xml:space="preserve">can </w:t>
      </w:r>
      <w:r>
        <w:t xml:space="preserve">serve as a starting point. </w:t>
      </w:r>
    </w:p>
    <w:p w14:paraId="27949D55" w14:textId="5B35C4D3" w:rsidR="009471A4" w:rsidRDefault="009471A4" w:rsidP="004428A2">
      <w:pPr>
        <w:pStyle w:val="Bullet"/>
      </w:pPr>
      <w:r>
        <w:t>Make your o</w:t>
      </w:r>
      <w:r w:rsidR="00142D51">
        <w:t>bservations during or directly after a significant rainfall event</w:t>
      </w:r>
      <w:r w:rsidR="007D3389">
        <w:t>,</w:t>
      </w:r>
      <w:r w:rsidR="00142D51">
        <w:t xml:space="preserve"> when soils are saturated. </w:t>
      </w:r>
    </w:p>
    <w:p w14:paraId="61EE8526" w14:textId="7B11B196" w:rsidR="00F75768" w:rsidRDefault="00142D51" w:rsidP="004428A2">
      <w:pPr>
        <w:pStyle w:val="Bullet"/>
      </w:pPr>
      <w:r>
        <w:t xml:space="preserve">Walk around the area intended for </w:t>
      </w:r>
      <w:r w:rsidR="005506E5">
        <w:t>intensive winter grazing</w:t>
      </w:r>
      <w:r>
        <w:t xml:space="preserve"> and record observations like:</w:t>
      </w:r>
      <w:r w:rsidR="009471A4">
        <w:t xml:space="preserve"> </w:t>
      </w:r>
      <w:r w:rsidR="007D3389">
        <w:t>I</w:t>
      </w:r>
      <w:r>
        <w:t xml:space="preserve">s there muddy water running off the paddock and entering the stream? </w:t>
      </w:r>
      <w:r w:rsidR="009471A4">
        <w:t>Include a</w:t>
      </w:r>
      <w:r>
        <w:t xml:space="preserve">reas </w:t>
      </w:r>
      <w:r w:rsidR="009471A4">
        <w:t xml:space="preserve">next </w:t>
      </w:r>
      <w:r>
        <w:t xml:space="preserve">to </w:t>
      </w:r>
      <w:r w:rsidR="009471A4">
        <w:t xml:space="preserve">intensive winter grazing </w:t>
      </w:r>
      <w:r>
        <w:t xml:space="preserve">areas as </w:t>
      </w:r>
      <w:r w:rsidR="009471A4">
        <w:t xml:space="preserve">these </w:t>
      </w:r>
      <w:r>
        <w:t>may contribute to or mitigate contaminant losses. (This should be done for the whole farm, but the focus of this guide is intensive winter grazing areas on farm</w:t>
      </w:r>
      <w:r w:rsidR="007D3389">
        <w:t>s.</w:t>
      </w:r>
      <w:r>
        <w:t>)</w:t>
      </w:r>
    </w:p>
    <w:p w14:paraId="70D6AE84" w14:textId="77777777" w:rsidR="00F75768" w:rsidRDefault="00F75768">
      <w:pPr>
        <w:spacing w:before="0" w:after="200" w:line="276" w:lineRule="auto"/>
        <w:jc w:val="left"/>
      </w:pPr>
      <w:r>
        <w:br w:type="page"/>
      </w:r>
    </w:p>
    <w:tbl>
      <w:tblPr>
        <w:tblStyle w:val="TableGrid"/>
        <w:tblW w:w="5000" w:type="pct"/>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3261"/>
        <w:gridCol w:w="2267"/>
        <w:gridCol w:w="354"/>
        <w:gridCol w:w="1135"/>
        <w:gridCol w:w="1488"/>
      </w:tblGrid>
      <w:tr w:rsidR="009471A4" w:rsidRPr="006B77BB" w14:paraId="363E01B2" w14:textId="77777777" w:rsidTr="00196599">
        <w:tc>
          <w:tcPr>
            <w:tcW w:w="1917" w:type="pct"/>
            <w:tcBorders>
              <w:bottom w:val="nil"/>
              <w:right w:val="nil"/>
            </w:tcBorders>
            <w:shd w:val="clear" w:color="auto" w:fill="1B556B" w:themeFill="text2"/>
          </w:tcPr>
          <w:p w14:paraId="7DCC2086" w14:textId="3456E94B" w:rsidR="009471A4" w:rsidRPr="00196599" w:rsidRDefault="009471A4" w:rsidP="003A153B">
            <w:pPr>
              <w:pStyle w:val="TableText"/>
              <w:tabs>
                <w:tab w:val="left" w:pos="1691"/>
              </w:tabs>
              <w:rPr>
                <w:b/>
                <w:bCs/>
                <w:color w:val="FFFFFF" w:themeColor="background1"/>
                <w:sz w:val="20"/>
              </w:rPr>
            </w:pPr>
            <w:r w:rsidRPr="00196599">
              <w:rPr>
                <w:b/>
                <w:bCs/>
                <w:color w:val="FFFFFF" w:themeColor="background1"/>
                <w:sz w:val="20"/>
              </w:rPr>
              <w:lastRenderedPageBreak/>
              <w:t xml:space="preserve">Farm </w:t>
            </w:r>
            <w:r w:rsidR="007D3389" w:rsidRPr="00196599">
              <w:rPr>
                <w:b/>
                <w:bCs/>
                <w:color w:val="FFFFFF" w:themeColor="background1"/>
                <w:sz w:val="20"/>
              </w:rPr>
              <w:t>w</w:t>
            </w:r>
            <w:r w:rsidRPr="00196599">
              <w:rPr>
                <w:b/>
                <w:bCs/>
                <w:color w:val="FFFFFF" w:themeColor="background1"/>
                <w:sz w:val="20"/>
              </w:rPr>
              <w:t xml:space="preserve">alkover </w:t>
            </w:r>
            <w:r w:rsidR="007D3389" w:rsidRPr="00196599">
              <w:rPr>
                <w:b/>
                <w:bCs/>
                <w:color w:val="FFFFFF" w:themeColor="background1"/>
                <w:sz w:val="20"/>
              </w:rPr>
              <w:t>s</w:t>
            </w:r>
            <w:r w:rsidRPr="00196599">
              <w:rPr>
                <w:b/>
                <w:bCs/>
                <w:color w:val="FFFFFF" w:themeColor="background1"/>
                <w:sz w:val="20"/>
              </w:rPr>
              <w:t>urvey</w:t>
            </w:r>
          </w:p>
        </w:tc>
        <w:tc>
          <w:tcPr>
            <w:tcW w:w="1541" w:type="pct"/>
            <w:gridSpan w:val="2"/>
            <w:tcBorders>
              <w:left w:val="nil"/>
              <w:bottom w:val="single" w:sz="4" w:space="0" w:color="1B556B"/>
              <w:right w:val="nil"/>
            </w:tcBorders>
            <w:shd w:val="clear" w:color="auto" w:fill="1B556B" w:themeFill="text2"/>
          </w:tcPr>
          <w:p w14:paraId="1B08BC14" w14:textId="77777777" w:rsidR="009471A4" w:rsidRPr="00196599" w:rsidRDefault="009471A4" w:rsidP="005A1D36">
            <w:pPr>
              <w:pStyle w:val="TableText"/>
              <w:rPr>
                <w:color w:val="FFFFFF" w:themeColor="background1"/>
              </w:rPr>
            </w:pPr>
          </w:p>
        </w:tc>
        <w:tc>
          <w:tcPr>
            <w:tcW w:w="1542" w:type="pct"/>
            <w:gridSpan w:val="2"/>
            <w:tcBorders>
              <w:left w:val="nil"/>
              <w:bottom w:val="single" w:sz="4" w:space="0" w:color="1B556B"/>
            </w:tcBorders>
            <w:shd w:val="clear" w:color="auto" w:fill="1B556B" w:themeFill="text2"/>
          </w:tcPr>
          <w:p w14:paraId="3924076F" w14:textId="77777777" w:rsidR="009471A4" w:rsidRPr="00196599" w:rsidRDefault="009471A4" w:rsidP="002F6B67">
            <w:pPr>
              <w:pStyle w:val="TableText"/>
              <w:rPr>
                <w:color w:val="FFFFFF" w:themeColor="background1"/>
              </w:rPr>
            </w:pPr>
          </w:p>
        </w:tc>
      </w:tr>
      <w:tr w:rsidR="00007045" w:rsidRPr="006B77BB" w14:paraId="2DB540ED" w14:textId="77777777" w:rsidTr="00F90BEE">
        <w:tc>
          <w:tcPr>
            <w:tcW w:w="1917" w:type="pct"/>
            <w:tcBorders>
              <w:bottom w:val="nil"/>
              <w:right w:val="nil"/>
            </w:tcBorders>
          </w:tcPr>
          <w:p w14:paraId="2031424B" w14:textId="6DE349F7" w:rsidR="00007045" w:rsidRPr="002F6B67" w:rsidRDefault="00007045" w:rsidP="003A153B">
            <w:pPr>
              <w:pStyle w:val="TableText"/>
              <w:tabs>
                <w:tab w:val="left" w:pos="1691"/>
              </w:tabs>
              <w:rPr>
                <w:b/>
                <w:bCs/>
              </w:rPr>
            </w:pPr>
            <w:r w:rsidRPr="002F6B67">
              <w:rPr>
                <w:b/>
                <w:bCs/>
              </w:rPr>
              <w:t xml:space="preserve">Date </w:t>
            </w:r>
            <w:r w:rsidR="00323C49">
              <w:rPr>
                <w:b/>
                <w:bCs/>
              </w:rPr>
              <w:t>and</w:t>
            </w:r>
            <w:r w:rsidRPr="002F6B67">
              <w:rPr>
                <w:b/>
                <w:bCs/>
              </w:rPr>
              <w:t xml:space="preserve"> Time</w:t>
            </w:r>
            <w:r w:rsidR="007D3389">
              <w:rPr>
                <w:b/>
                <w:bCs/>
              </w:rPr>
              <w:t>:</w:t>
            </w:r>
          </w:p>
        </w:tc>
        <w:tc>
          <w:tcPr>
            <w:tcW w:w="1541" w:type="pct"/>
            <w:gridSpan w:val="2"/>
            <w:tcBorders>
              <w:left w:val="nil"/>
              <w:bottom w:val="single" w:sz="4" w:space="0" w:color="1B556B"/>
              <w:right w:val="nil"/>
            </w:tcBorders>
          </w:tcPr>
          <w:p w14:paraId="63CBD8DC" w14:textId="77777777" w:rsidR="00007045" w:rsidRPr="005A1D36" w:rsidRDefault="00007045" w:rsidP="005A1D36">
            <w:pPr>
              <w:pStyle w:val="TableText"/>
            </w:pPr>
          </w:p>
        </w:tc>
        <w:tc>
          <w:tcPr>
            <w:tcW w:w="1542" w:type="pct"/>
            <w:gridSpan w:val="2"/>
            <w:tcBorders>
              <w:left w:val="nil"/>
              <w:bottom w:val="single" w:sz="4" w:space="0" w:color="1B556B"/>
            </w:tcBorders>
            <w:shd w:val="clear" w:color="auto" w:fill="auto"/>
          </w:tcPr>
          <w:p w14:paraId="09AC2FDF" w14:textId="77777777" w:rsidR="00007045" w:rsidRPr="006B77BB" w:rsidRDefault="00007045" w:rsidP="002F6B67">
            <w:pPr>
              <w:pStyle w:val="TableText"/>
            </w:pPr>
          </w:p>
        </w:tc>
      </w:tr>
      <w:tr w:rsidR="00007045" w:rsidRPr="006B77BB" w14:paraId="16D064D0" w14:textId="77777777" w:rsidTr="00F90BEE">
        <w:tc>
          <w:tcPr>
            <w:tcW w:w="1917" w:type="pct"/>
            <w:tcBorders>
              <w:top w:val="nil"/>
              <w:bottom w:val="nil"/>
              <w:right w:val="nil"/>
            </w:tcBorders>
          </w:tcPr>
          <w:p w14:paraId="6F77C832" w14:textId="0AF288CF" w:rsidR="00007045" w:rsidRPr="002F6B67" w:rsidRDefault="00007045" w:rsidP="002F6B67">
            <w:pPr>
              <w:pStyle w:val="TableText"/>
              <w:rPr>
                <w:b/>
                <w:bCs/>
              </w:rPr>
            </w:pPr>
            <w:r w:rsidRPr="002F6B67">
              <w:rPr>
                <w:b/>
                <w:bCs/>
              </w:rPr>
              <w:t>Weather during survey</w:t>
            </w:r>
            <w:r w:rsidR="007D3389">
              <w:rPr>
                <w:b/>
                <w:bCs/>
              </w:rPr>
              <w:t>:</w:t>
            </w:r>
          </w:p>
        </w:tc>
        <w:tc>
          <w:tcPr>
            <w:tcW w:w="1541" w:type="pct"/>
            <w:gridSpan w:val="2"/>
            <w:tcBorders>
              <w:left w:val="nil"/>
              <w:right w:val="nil"/>
            </w:tcBorders>
          </w:tcPr>
          <w:p w14:paraId="1A69B2A0" w14:textId="77777777" w:rsidR="00007045" w:rsidRPr="005A1D36" w:rsidRDefault="00007045" w:rsidP="005A1D36">
            <w:pPr>
              <w:pStyle w:val="TableText"/>
            </w:pPr>
          </w:p>
        </w:tc>
        <w:tc>
          <w:tcPr>
            <w:tcW w:w="1542" w:type="pct"/>
            <w:gridSpan w:val="2"/>
            <w:tcBorders>
              <w:left w:val="nil"/>
            </w:tcBorders>
            <w:shd w:val="clear" w:color="auto" w:fill="auto"/>
          </w:tcPr>
          <w:p w14:paraId="188DE67F" w14:textId="77777777" w:rsidR="00007045" w:rsidRPr="006B77BB" w:rsidRDefault="00007045" w:rsidP="002F6B67">
            <w:pPr>
              <w:pStyle w:val="TableText"/>
            </w:pPr>
          </w:p>
        </w:tc>
      </w:tr>
      <w:tr w:rsidR="00007045" w:rsidRPr="006B77BB" w14:paraId="375E0D46" w14:textId="77777777" w:rsidTr="00F90BEE">
        <w:tc>
          <w:tcPr>
            <w:tcW w:w="3250" w:type="pct"/>
            <w:gridSpan w:val="2"/>
            <w:tcBorders>
              <w:top w:val="nil"/>
              <w:right w:val="nil"/>
            </w:tcBorders>
          </w:tcPr>
          <w:p w14:paraId="1998F8C0" w14:textId="286C0A18" w:rsidR="00007045" w:rsidRPr="002F6B67" w:rsidRDefault="00007045" w:rsidP="002F6B67">
            <w:pPr>
              <w:pStyle w:val="TableText"/>
              <w:rPr>
                <w:b/>
                <w:bCs/>
              </w:rPr>
            </w:pPr>
            <w:r w:rsidRPr="002F6B67">
              <w:rPr>
                <w:b/>
                <w:bCs/>
              </w:rPr>
              <w:t>Has it rained in the past 24 hours?</w:t>
            </w:r>
          </w:p>
        </w:tc>
        <w:tc>
          <w:tcPr>
            <w:tcW w:w="875" w:type="pct"/>
            <w:gridSpan w:val="2"/>
            <w:tcBorders>
              <w:left w:val="nil"/>
              <w:right w:val="nil"/>
            </w:tcBorders>
          </w:tcPr>
          <w:p w14:paraId="5E800D18" w14:textId="5D4AE559" w:rsidR="00007045" w:rsidRPr="005A1D36" w:rsidRDefault="00007045" w:rsidP="005A1D36">
            <w:pPr>
              <w:pStyle w:val="TableText"/>
            </w:pPr>
            <w:r w:rsidRPr="005A1D36">
              <w:rPr>
                <w:rFonts w:ascii="Segoe UI Symbol" w:hAnsi="Segoe UI Symbol" w:cs="Segoe UI Symbol"/>
              </w:rPr>
              <w:t>☐</w:t>
            </w:r>
            <w:r w:rsidRPr="005A1D36">
              <w:t xml:space="preserve"> No</w:t>
            </w:r>
          </w:p>
        </w:tc>
        <w:tc>
          <w:tcPr>
            <w:tcW w:w="875" w:type="pct"/>
            <w:tcBorders>
              <w:left w:val="nil"/>
            </w:tcBorders>
          </w:tcPr>
          <w:p w14:paraId="60B26874" w14:textId="222F8A16" w:rsidR="00007045" w:rsidRPr="006B77BB" w:rsidRDefault="00007045" w:rsidP="002F6B67">
            <w:pPr>
              <w:pStyle w:val="TableText"/>
            </w:pPr>
            <w:r w:rsidRPr="005A1D36">
              <w:rPr>
                <w:rFonts w:ascii="Segoe UI Symbol" w:hAnsi="Segoe UI Symbol" w:cs="Segoe UI Symbol"/>
              </w:rPr>
              <w:t>☐</w:t>
            </w:r>
            <w:r w:rsidRPr="005A1D36">
              <w:t xml:space="preserve"> Yes</w:t>
            </w:r>
          </w:p>
        </w:tc>
      </w:tr>
      <w:tr w:rsidR="00737A05" w:rsidRPr="006B77BB" w14:paraId="7282DBD5" w14:textId="77777777" w:rsidTr="00F23632">
        <w:tc>
          <w:tcPr>
            <w:tcW w:w="5000" w:type="pct"/>
            <w:gridSpan w:val="5"/>
            <w:tcBorders>
              <w:bottom w:val="single" w:sz="4" w:space="0" w:color="1B556B"/>
            </w:tcBorders>
          </w:tcPr>
          <w:p w14:paraId="009BC28A" w14:textId="39B0CEF6" w:rsidR="00737A05" w:rsidRPr="006B77BB" w:rsidRDefault="00737A05" w:rsidP="002F6B67">
            <w:pPr>
              <w:pStyle w:val="TableText"/>
            </w:pPr>
            <w:r w:rsidRPr="00737A05">
              <w:rPr>
                <w:b/>
                <w:bCs/>
              </w:rPr>
              <w:t>NOTES</w:t>
            </w:r>
            <w:r>
              <w:br/>
            </w:r>
            <w:r w:rsidRPr="00737A05">
              <w:rPr>
                <w:i/>
                <w:iCs/>
              </w:rPr>
              <w:t>If the answer is yes, make a note of where and take a photo for later</w:t>
            </w:r>
            <w:r w:rsidR="007D3389">
              <w:rPr>
                <w:i/>
                <w:iCs/>
              </w:rPr>
              <w:t>.</w:t>
            </w:r>
          </w:p>
        </w:tc>
      </w:tr>
      <w:tr w:rsidR="00C87CE0" w:rsidRPr="006B77BB" w14:paraId="06ADCA7B" w14:textId="77777777" w:rsidTr="00347879">
        <w:tc>
          <w:tcPr>
            <w:tcW w:w="5000" w:type="pct"/>
            <w:gridSpan w:val="5"/>
            <w:tcBorders>
              <w:bottom w:val="nil"/>
            </w:tcBorders>
          </w:tcPr>
          <w:p w14:paraId="28A96C55" w14:textId="58CCF0C0" w:rsidR="00C87CE0" w:rsidRPr="006B77BB" w:rsidRDefault="00C87CE0" w:rsidP="00293468">
            <w:pPr>
              <w:pStyle w:val="TableText"/>
              <w:ind w:left="326" w:hanging="326"/>
            </w:pPr>
            <w:r w:rsidRPr="00293468">
              <w:rPr>
                <w:b/>
                <w:bCs/>
              </w:rPr>
              <w:t>1.</w:t>
            </w:r>
            <w:r w:rsidRPr="00293468">
              <w:rPr>
                <w:b/>
                <w:bCs/>
              </w:rPr>
              <w:tab/>
              <w:t>I</w:t>
            </w:r>
            <w:r w:rsidR="005506E5">
              <w:rPr>
                <w:b/>
                <w:bCs/>
              </w:rPr>
              <w:t>ntensive winter grazing</w:t>
            </w:r>
            <w:r w:rsidRPr="00293468">
              <w:rPr>
                <w:b/>
                <w:bCs/>
              </w:rPr>
              <w:t xml:space="preserve"> </w:t>
            </w:r>
            <w:r w:rsidR="00702C1F">
              <w:rPr>
                <w:b/>
                <w:bCs/>
              </w:rPr>
              <w:t>critical source area</w:t>
            </w:r>
            <w:r w:rsidRPr="00293468">
              <w:rPr>
                <w:b/>
                <w:bCs/>
              </w:rPr>
              <w:t>s</w:t>
            </w:r>
            <w:r w:rsidR="00293468">
              <w:rPr>
                <w:b/>
                <w:bCs/>
              </w:rPr>
              <w:br/>
            </w:r>
            <w:r>
              <w:t>Signs to look for: Often stay wet for prolonged periods after heavy rain (depression or swale)</w:t>
            </w:r>
            <w:r w:rsidR="007D3389">
              <w:t xml:space="preserve"> and</w:t>
            </w:r>
            <w:r>
              <w:t xml:space="preserve"> steeply eroded banks (gully). (See </w:t>
            </w:r>
            <w:hyperlink w:anchor="_5.2_Intensive_winter" w:history="1">
              <w:r w:rsidRPr="007A5E62">
                <w:rPr>
                  <w:rStyle w:val="Hyperlink"/>
                  <w:rFonts w:cstheme="minorBidi"/>
                  <w:szCs w:val="22"/>
                </w:rPr>
                <w:t>section 5.2</w:t>
              </w:r>
            </w:hyperlink>
            <w:r>
              <w:t xml:space="preserve"> for definitions</w:t>
            </w:r>
            <w:r w:rsidR="00B50EB6">
              <w:t>.</w:t>
            </w:r>
            <w:r>
              <w:t>)</w:t>
            </w:r>
          </w:p>
        </w:tc>
      </w:tr>
      <w:tr w:rsidR="00007045" w:rsidRPr="006B77BB" w14:paraId="4D919C39" w14:textId="77777777" w:rsidTr="00F90BEE">
        <w:tc>
          <w:tcPr>
            <w:tcW w:w="3250" w:type="pct"/>
            <w:gridSpan w:val="2"/>
            <w:tcBorders>
              <w:top w:val="nil"/>
              <w:bottom w:val="nil"/>
              <w:right w:val="nil"/>
            </w:tcBorders>
          </w:tcPr>
          <w:p w14:paraId="082669A5" w14:textId="2B49F265" w:rsidR="00007045" w:rsidRPr="00BE0A53" w:rsidRDefault="00007045" w:rsidP="005A1D36">
            <w:pPr>
              <w:pStyle w:val="TableText"/>
              <w:numPr>
                <w:ilvl w:val="0"/>
                <w:numId w:val="45"/>
              </w:numPr>
              <w:ind w:hanging="394"/>
            </w:pPr>
            <w:r>
              <w:t>Gully</w:t>
            </w:r>
            <w:r w:rsidR="0037660D">
              <w:t>/gullies</w:t>
            </w:r>
          </w:p>
        </w:tc>
        <w:tc>
          <w:tcPr>
            <w:tcW w:w="875" w:type="pct"/>
            <w:gridSpan w:val="2"/>
            <w:tcBorders>
              <w:top w:val="nil"/>
              <w:left w:val="nil"/>
              <w:bottom w:val="nil"/>
              <w:right w:val="nil"/>
            </w:tcBorders>
          </w:tcPr>
          <w:p w14:paraId="44AF8B39" w14:textId="1E12D12B" w:rsidR="00007045" w:rsidRPr="005A1D36" w:rsidRDefault="00007045" w:rsidP="005A1D36">
            <w:pPr>
              <w:pStyle w:val="TableText"/>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5D34CC61" w14:textId="4EAF333B" w:rsidR="00007045" w:rsidRPr="006B77BB" w:rsidRDefault="00007045" w:rsidP="005A1D36">
            <w:pPr>
              <w:pStyle w:val="TableText"/>
            </w:pPr>
            <w:r w:rsidRPr="005A1D36">
              <w:rPr>
                <w:rFonts w:ascii="Segoe UI Symbol" w:hAnsi="Segoe UI Symbol" w:cs="Segoe UI Symbol"/>
              </w:rPr>
              <w:t>☐</w:t>
            </w:r>
            <w:r w:rsidRPr="005A1D36">
              <w:t xml:space="preserve"> Yes</w:t>
            </w:r>
          </w:p>
        </w:tc>
      </w:tr>
      <w:tr w:rsidR="00007045" w:rsidRPr="006B77BB" w14:paraId="5E23A352" w14:textId="77777777" w:rsidTr="00F90BEE">
        <w:tc>
          <w:tcPr>
            <w:tcW w:w="3250" w:type="pct"/>
            <w:gridSpan w:val="2"/>
            <w:tcBorders>
              <w:top w:val="nil"/>
              <w:bottom w:val="nil"/>
              <w:right w:val="nil"/>
            </w:tcBorders>
          </w:tcPr>
          <w:p w14:paraId="7D5FD4FE" w14:textId="02D3DA5F" w:rsidR="00007045" w:rsidRPr="00BE0A53" w:rsidRDefault="00007045" w:rsidP="005A1D36">
            <w:pPr>
              <w:pStyle w:val="TableText"/>
              <w:ind w:left="720" w:hanging="394"/>
            </w:pPr>
            <w:r>
              <w:t>b.</w:t>
            </w:r>
            <w:r>
              <w:tab/>
              <w:t>Swale(s)</w:t>
            </w:r>
          </w:p>
        </w:tc>
        <w:tc>
          <w:tcPr>
            <w:tcW w:w="875" w:type="pct"/>
            <w:gridSpan w:val="2"/>
            <w:tcBorders>
              <w:top w:val="nil"/>
              <w:left w:val="nil"/>
              <w:bottom w:val="nil"/>
              <w:right w:val="nil"/>
            </w:tcBorders>
          </w:tcPr>
          <w:p w14:paraId="607B172C" w14:textId="42CE36DE" w:rsidR="00007045" w:rsidRPr="005A1D36" w:rsidRDefault="00007045" w:rsidP="005A1D36">
            <w:pPr>
              <w:pStyle w:val="TableText"/>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1F85769A" w14:textId="2C88DD82" w:rsidR="00007045" w:rsidRPr="006B77BB" w:rsidRDefault="00007045" w:rsidP="005A1D36">
            <w:pPr>
              <w:pStyle w:val="TableText"/>
            </w:pPr>
            <w:r w:rsidRPr="005A1D36">
              <w:rPr>
                <w:rFonts w:ascii="Segoe UI Symbol" w:hAnsi="Segoe UI Symbol" w:cs="Segoe UI Symbol"/>
              </w:rPr>
              <w:t>☐</w:t>
            </w:r>
            <w:r w:rsidRPr="005A1D36">
              <w:t xml:space="preserve"> Yes</w:t>
            </w:r>
          </w:p>
        </w:tc>
      </w:tr>
      <w:tr w:rsidR="00007045" w:rsidRPr="006B77BB" w14:paraId="1C57DD1A" w14:textId="77777777" w:rsidTr="00F90BEE">
        <w:tc>
          <w:tcPr>
            <w:tcW w:w="3250" w:type="pct"/>
            <w:gridSpan w:val="2"/>
            <w:tcBorders>
              <w:top w:val="nil"/>
              <w:bottom w:val="single" w:sz="4" w:space="0" w:color="1B556B"/>
              <w:right w:val="nil"/>
            </w:tcBorders>
          </w:tcPr>
          <w:p w14:paraId="2210189C" w14:textId="311BABF7" w:rsidR="00007045" w:rsidRPr="00BE0A53" w:rsidRDefault="00007045" w:rsidP="005A1D36">
            <w:pPr>
              <w:pStyle w:val="TableText"/>
              <w:ind w:left="720" w:hanging="394"/>
            </w:pPr>
            <w:r>
              <w:t>c.</w:t>
            </w:r>
            <w:r>
              <w:tab/>
              <w:t>Depression(s)</w:t>
            </w:r>
          </w:p>
        </w:tc>
        <w:tc>
          <w:tcPr>
            <w:tcW w:w="875" w:type="pct"/>
            <w:gridSpan w:val="2"/>
            <w:tcBorders>
              <w:top w:val="nil"/>
              <w:left w:val="nil"/>
              <w:bottom w:val="single" w:sz="4" w:space="0" w:color="1B556B"/>
              <w:right w:val="nil"/>
            </w:tcBorders>
          </w:tcPr>
          <w:p w14:paraId="5E8CEB77" w14:textId="62FED0AA" w:rsidR="00007045" w:rsidRPr="005A1D36" w:rsidRDefault="00007045" w:rsidP="005A1D36">
            <w:pPr>
              <w:pStyle w:val="TableText"/>
            </w:pPr>
            <w:r w:rsidRPr="005A1D36">
              <w:rPr>
                <w:rFonts w:ascii="Segoe UI Symbol" w:hAnsi="Segoe UI Symbol" w:cs="Segoe UI Symbol"/>
              </w:rPr>
              <w:t>☐</w:t>
            </w:r>
            <w:r w:rsidRPr="005A1D36">
              <w:t xml:space="preserve"> No</w:t>
            </w:r>
          </w:p>
        </w:tc>
        <w:tc>
          <w:tcPr>
            <w:tcW w:w="875" w:type="pct"/>
            <w:tcBorders>
              <w:top w:val="nil"/>
              <w:left w:val="nil"/>
              <w:bottom w:val="single" w:sz="4" w:space="0" w:color="1B556B"/>
            </w:tcBorders>
          </w:tcPr>
          <w:p w14:paraId="226BCB02" w14:textId="78240602" w:rsidR="00007045" w:rsidRPr="006B77BB" w:rsidRDefault="00007045" w:rsidP="005A1D36">
            <w:pPr>
              <w:pStyle w:val="TableText"/>
            </w:pPr>
            <w:r w:rsidRPr="005A1D36">
              <w:rPr>
                <w:rFonts w:ascii="Segoe UI Symbol" w:hAnsi="Segoe UI Symbol" w:cs="Segoe UI Symbol"/>
              </w:rPr>
              <w:t>☐</w:t>
            </w:r>
            <w:r w:rsidRPr="005A1D36">
              <w:t xml:space="preserve"> Yes</w:t>
            </w:r>
          </w:p>
        </w:tc>
      </w:tr>
      <w:tr w:rsidR="005A1D36" w:rsidRPr="006B77BB" w14:paraId="5E9A5571" w14:textId="77777777" w:rsidTr="00F23632">
        <w:tc>
          <w:tcPr>
            <w:tcW w:w="5000" w:type="pct"/>
            <w:gridSpan w:val="5"/>
            <w:tcBorders>
              <w:bottom w:val="nil"/>
            </w:tcBorders>
          </w:tcPr>
          <w:p w14:paraId="5606D15A" w14:textId="56631DA8" w:rsidR="005A1D36" w:rsidRPr="006B77BB" w:rsidRDefault="005A1D36" w:rsidP="006C38D6">
            <w:pPr>
              <w:pStyle w:val="TableText"/>
              <w:keepNext/>
              <w:ind w:left="326" w:hanging="326"/>
            </w:pPr>
            <w:r>
              <w:rPr>
                <w:b/>
                <w:bCs/>
              </w:rPr>
              <w:t>2</w:t>
            </w:r>
            <w:r w:rsidRPr="00293468">
              <w:rPr>
                <w:b/>
                <w:bCs/>
              </w:rPr>
              <w:t>.</w:t>
            </w:r>
            <w:r w:rsidRPr="00293468">
              <w:rPr>
                <w:b/>
                <w:bCs/>
              </w:rPr>
              <w:tab/>
            </w:r>
            <w:r w:rsidRPr="005A1D36">
              <w:rPr>
                <w:b/>
                <w:bCs/>
              </w:rPr>
              <w:t>Transport pathways/connectivity</w:t>
            </w:r>
            <w:r>
              <w:rPr>
                <w:b/>
                <w:bCs/>
              </w:rPr>
              <w:br/>
            </w:r>
            <w:r w:rsidRPr="005A1D36">
              <w:t xml:space="preserve">Signs to look for: Evidence of flow or </w:t>
            </w:r>
            <w:r w:rsidR="003B0999">
              <w:t>run-off</w:t>
            </w:r>
            <w:r w:rsidRPr="005A1D36">
              <w:t xml:space="preserve"> </w:t>
            </w:r>
            <w:r w:rsidR="009471A4">
              <w:t xml:space="preserve">— </w:t>
            </w:r>
            <w:r w:rsidRPr="005A1D36">
              <w:t xml:space="preserve">trace back to source and correct the problem. (See </w:t>
            </w:r>
            <w:hyperlink w:anchor="_5.1_Critical_sources" w:history="1">
              <w:r w:rsidRPr="007A5E62">
                <w:rPr>
                  <w:rStyle w:val="Hyperlink"/>
                  <w:rFonts w:cstheme="minorBidi"/>
                  <w:szCs w:val="22"/>
                </w:rPr>
                <w:t>section</w:t>
              </w:r>
              <w:r w:rsidR="007A5E62" w:rsidRPr="007A5E62">
                <w:rPr>
                  <w:rStyle w:val="Hyperlink"/>
                </w:rPr>
                <w:t> </w:t>
              </w:r>
              <w:r w:rsidRPr="007A5E62">
                <w:rPr>
                  <w:rStyle w:val="Hyperlink"/>
                </w:rPr>
                <w:t>5.1</w:t>
              </w:r>
            </w:hyperlink>
            <w:r w:rsidRPr="005A1D36">
              <w:t xml:space="preserve"> for definitions</w:t>
            </w:r>
            <w:r w:rsidR="00B50EB6">
              <w:t>.</w:t>
            </w:r>
            <w:r w:rsidRPr="005A1D36">
              <w:t>)</w:t>
            </w:r>
          </w:p>
        </w:tc>
      </w:tr>
      <w:tr w:rsidR="00007045" w:rsidRPr="006B77BB" w14:paraId="332C3071" w14:textId="77777777" w:rsidTr="00F90BEE">
        <w:tc>
          <w:tcPr>
            <w:tcW w:w="3250" w:type="pct"/>
            <w:gridSpan w:val="2"/>
            <w:tcBorders>
              <w:top w:val="nil"/>
              <w:bottom w:val="nil"/>
              <w:right w:val="nil"/>
            </w:tcBorders>
          </w:tcPr>
          <w:p w14:paraId="52450F1C" w14:textId="2D41129D" w:rsidR="00007045" w:rsidRPr="00BE0A53" w:rsidRDefault="00007045" w:rsidP="006C38D6">
            <w:pPr>
              <w:pStyle w:val="TableText"/>
              <w:keepNext/>
              <w:numPr>
                <w:ilvl w:val="0"/>
                <w:numId w:val="46"/>
              </w:numPr>
            </w:pPr>
            <w:r w:rsidRPr="002744A4">
              <w:t>Waterways: rivers, lakes, wetlands, or surface drains</w:t>
            </w:r>
          </w:p>
        </w:tc>
        <w:tc>
          <w:tcPr>
            <w:tcW w:w="875" w:type="pct"/>
            <w:gridSpan w:val="2"/>
            <w:tcBorders>
              <w:top w:val="nil"/>
              <w:left w:val="nil"/>
              <w:bottom w:val="nil"/>
              <w:right w:val="nil"/>
            </w:tcBorders>
          </w:tcPr>
          <w:p w14:paraId="3E6198A4" w14:textId="77777777" w:rsidR="00007045" w:rsidRPr="005A1D36" w:rsidRDefault="00007045" w:rsidP="006C38D6">
            <w:pPr>
              <w:pStyle w:val="TableText"/>
              <w:keepNext/>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72E76C21" w14:textId="70BEE517" w:rsidR="00007045" w:rsidRPr="006B77BB" w:rsidRDefault="00007045" w:rsidP="006C38D6">
            <w:pPr>
              <w:pStyle w:val="TableText"/>
              <w:keepNext/>
            </w:pPr>
            <w:r w:rsidRPr="005A1D36">
              <w:rPr>
                <w:rFonts w:ascii="Segoe UI Symbol" w:hAnsi="Segoe UI Symbol" w:cs="Segoe UI Symbol"/>
              </w:rPr>
              <w:t>☐</w:t>
            </w:r>
            <w:r w:rsidRPr="005A1D36">
              <w:t xml:space="preserve"> Yes</w:t>
            </w:r>
          </w:p>
        </w:tc>
      </w:tr>
      <w:tr w:rsidR="00007045" w:rsidRPr="006B77BB" w14:paraId="081C42CE" w14:textId="77777777" w:rsidTr="00F90BEE">
        <w:tc>
          <w:tcPr>
            <w:tcW w:w="3250" w:type="pct"/>
            <w:gridSpan w:val="2"/>
            <w:tcBorders>
              <w:top w:val="nil"/>
              <w:bottom w:val="nil"/>
              <w:right w:val="nil"/>
            </w:tcBorders>
          </w:tcPr>
          <w:p w14:paraId="414B1BAB" w14:textId="620C74CE" w:rsidR="00007045" w:rsidRPr="00BE0A53" w:rsidRDefault="00007045" w:rsidP="006C38D6">
            <w:pPr>
              <w:pStyle w:val="TableText"/>
              <w:keepNext/>
              <w:ind w:left="720" w:hanging="360"/>
            </w:pPr>
            <w:r>
              <w:t>b.</w:t>
            </w:r>
            <w:r>
              <w:tab/>
            </w:r>
            <w:r w:rsidRPr="002744A4">
              <w:t>Ephemeral waterways</w:t>
            </w:r>
          </w:p>
        </w:tc>
        <w:tc>
          <w:tcPr>
            <w:tcW w:w="875" w:type="pct"/>
            <w:gridSpan w:val="2"/>
            <w:tcBorders>
              <w:top w:val="nil"/>
              <w:left w:val="nil"/>
              <w:bottom w:val="nil"/>
              <w:right w:val="nil"/>
            </w:tcBorders>
          </w:tcPr>
          <w:p w14:paraId="797146EF" w14:textId="77777777" w:rsidR="00007045" w:rsidRPr="005A1D36" w:rsidRDefault="00007045" w:rsidP="006C38D6">
            <w:pPr>
              <w:pStyle w:val="TableText"/>
              <w:keepNext/>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6EC1490C" w14:textId="4BE0B6FA" w:rsidR="00007045" w:rsidRPr="006B77BB" w:rsidRDefault="00007045" w:rsidP="006C38D6">
            <w:pPr>
              <w:pStyle w:val="TableText"/>
              <w:keepNext/>
            </w:pPr>
            <w:r w:rsidRPr="005A1D36">
              <w:rPr>
                <w:rFonts w:ascii="Segoe UI Symbol" w:hAnsi="Segoe UI Symbol" w:cs="Segoe UI Symbol"/>
              </w:rPr>
              <w:t>☐</w:t>
            </w:r>
            <w:r w:rsidRPr="005A1D36">
              <w:t xml:space="preserve"> Yes</w:t>
            </w:r>
          </w:p>
        </w:tc>
      </w:tr>
      <w:tr w:rsidR="00007045" w:rsidRPr="006B77BB" w14:paraId="01E9697E" w14:textId="77777777" w:rsidTr="00F90BEE">
        <w:tc>
          <w:tcPr>
            <w:tcW w:w="3250" w:type="pct"/>
            <w:gridSpan w:val="2"/>
            <w:tcBorders>
              <w:top w:val="nil"/>
              <w:bottom w:val="single" w:sz="4" w:space="0" w:color="1B556B"/>
              <w:right w:val="nil"/>
            </w:tcBorders>
          </w:tcPr>
          <w:p w14:paraId="3F3B8C9D" w14:textId="0D52473E" w:rsidR="00007045" w:rsidRPr="00BE0A53" w:rsidRDefault="00007045" w:rsidP="006C38D6">
            <w:pPr>
              <w:pStyle w:val="TableText"/>
              <w:keepNext/>
              <w:ind w:left="720" w:hanging="360"/>
            </w:pPr>
            <w:r>
              <w:t>c.</w:t>
            </w:r>
            <w:r>
              <w:tab/>
            </w:r>
            <w:r w:rsidRPr="002744A4">
              <w:t>Springs and seeps</w:t>
            </w:r>
          </w:p>
        </w:tc>
        <w:tc>
          <w:tcPr>
            <w:tcW w:w="875" w:type="pct"/>
            <w:gridSpan w:val="2"/>
            <w:tcBorders>
              <w:top w:val="nil"/>
              <w:left w:val="nil"/>
              <w:bottom w:val="single" w:sz="4" w:space="0" w:color="1B556B"/>
              <w:right w:val="nil"/>
            </w:tcBorders>
          </w:tcPr>
          <w:p w14:paraId="6A8E2A37" w14:textId="77777777" w:rsidR="00007045" w:rsidRPr="005A1D36" w:rsidRDefault="00007045" w:rsidP="006C38D6">
            <w:pPr>
              <w:pStyle w:val="TableText"/>
              <w:keepNext/>
            </w:pPr>
            <w:r w:rsidRPr="005A1D36">
              <w:rPr>
                <w:rFonts w:ascii="Segoe UI Symbol" w:hAnsi="Segoe UI Symbol" w:cs="Segoe UI Symbol"/>
              </w:rPr>
              <w:t>☐</w:t>
            </w:r>
            <w:r w:rsidRPr="005A1D36">
              <w:t xml:space="preserve"> No</w:t>
            </w:r>
          </w:p>
        </w:tc>
        <w:tc>
          <w:tcPr>
            <w:tcW w:w="875" w:type="pct"/>
            <w:tcBorders>
              <w:top w:val="nil"/>
              <w:left w:val="nil"/>
              <w:bottom w:val="single" w:sz="4" w:space="0" w:color="1B556B"/>
            </w:tcBorders>
          </w:tcPr>
          <w:p w14:paraId="0B16B9FA" w14:textId="450110CC" w:rsidR="00007045" w:rsidRPr="006B77BB" w:rsidRDefault="00007045" w:rsidP="006C38D6">
            <w:pPr>
              <w:pStyle w:val="TableText"/>
              <w:keepNext/>
            </w:pPr>
            <w:r w:rsidRPr="005A1D36">
              <w:rPr>
                <w:rFonts w:ascii="Segoe UI Symbol" w:hAnsi="Segoe UI Symbol" w:cs="Segoe UI Symbol"/>
              </w:rPr>
              <w:t>☐</w:t>
            </w:r>
            <w:r w:rsidRPr="005A1D36">
              <w:t xml:space="preserve"> Yes</w:t>
            </w:r>
          </w:p>
        </w:tc>
      </w:tr>
      <w:tr w:rsidR="002744A4" w:rsidRPr="006B77BB" w14:paraId="58E1BF76" w14:textId="77777777" w:rsidTr="00F23632">
        <w:tc>
          <w:tcPr>
            <w:tcW w:w="5000" w:type="pct"/>
            <w:gridSpan w:val="5"/>
            <w:tcBorders>
              <w:bottom w:val="nil"/>
            </w:tcBorders>
          </w:tcPr>
          <w:p w14:paraId="059FA74C" w14:textId="578C4A72" w:rsidR="002744A4" w:rsidRPr="006B77BB" w:rsidRDefault="002744A4">
            <w:pPr>
              <w:pStyle w:val="TableText"/>
              <w:ind w:left="326" w:hanging="326"/>
            </w:pPr>
            <w:r>
              <w:rPr>
                <w:b/>
                <w:bCs/>
              </w:rPr>
              <w:t>3</w:t>
            </w:r>
            <w:r w:rsidRPr="00293468">
              <w:rPr>
                <w:b/>
                <w:bCs/>
              </w:rPr>
              <w:t>.</w:t>
            </w:r>
            <w:r w:rsidRPr="00293468">
              <w:rPr>
                <w:b/>
                <w:bCs/>
              </w:rPr>
              <w:tab/>
            </w:r>
            <w:r w:rsidRPr="002744A4">
              <w:rPr>
                <w:b/>
                <w:bCs/>
              </w:rPr>
              <w:t>Sediment mobilisation</w:t>
            </w:r>
            <w:r w:rsidR="00B50EB6">
              <w:rPr>
                <w:b/>
                <w:bCs/>
              </w:rPr>
              <w:t xml:space="preserve"> </w:t>
            </w:r>
            <w:r w:rsidR="00B50EB6">
              <w:t xml:space="preserve">— </w:t>
            </w:r>
            <w:r w:rsidR="00B50EB6">
              <w:rPr>
                <w:b/>
                <w:bCs/>
              </w:rPr>
              <w:t xml:space="preserve">accelerating </w:t>
            </w:r>
            <w:r w:rsidRPr="002744A4">
              <w:rPr>
                <w:b/>
                <w:bCs/>
              </w:rPr>
              <w:t xml:space="preserve">features </w:t>
            </w:r>
            <w:r>
              <w:rPr>
                <w:b/>
                <w:bCs/>
              </w:rPr>
              <w:br/>
            </w:r>
            <w:r w:rsidRPr="002744A4">
              <w:t xml:space="preserve">Signs to look for: Areas of frequent ponding or standing water, areas that are heavily trafficked either by livestock or machinery and bare soil. (See </w:t>
            </w:r>
            <w:hyperlink w:anchor="_6.1.2_Walkover_surveys" w:history="1">
              <w:r w:rsidRPr="007A5E62">
                <w:rPr>
                  <w:rStyle w:val="Hyperlink"/>
                  <w:rFonts w:cstheme="minorBidi"/>
                  <w:szCs w:val="22"/>
                </w:rPr>
                <w:t>section 6.1.2</w:t>
              </w:r>
            </w:hyperlink>
            <w:r w:rsidRPr="002744A4">
              <w:t>).</w:t>
            </w:r>
          </w:p>
        </w:tc>
      </w:tr>
      <w:tr w:rsidR="00007045" w:rsidRPr="006B77BB" w14:paraId="0BE08598" w14:textId="77777777" w:rsidTr="00F90BEE">
        <w:tc>
          <w:tcPr>
            <w:tcW w:w="3250" w:type="pct"/>
            <w:gridSpan w:val="2"/>
            <w:tcBorders>
              <w:top w:val="nil"/>
              <w:bottom w:val="nil"/>
              <w:right w:val="nil"/>
            </w:tcBorders>
          </w:tcPr>
          <w:p w14:paraId="677AFC30" w14:textId="7ADB3016" w:rsidR="00007045" w:rsidRPr="00BE0A53" w:rsidRDefault="00007045" w:rsidP="002744A4">
            <w:pPr>
              <w:pStyle w:val="TableText"/>
              <w:numPr>
                <w:ilvl w:val="0"/>
                <w:numId w:val="47"/>
              </w:numPr>
            </w:pPr>
            <w:r>
              <w:t>Bare soil</w:t>
            </w:r>
          </w:p>
        </w:tc>
        <w:tc>
          <w:tcPr>
            <w:tcW w:w="875" w:type="pct"/>
            <w:gridSpan w:val="2"/>
            <w:tcBorders>
              <w:top w:val="nil"/>
              <w:left w:val="nil"/>
              <w:bottom w:val="nil"/>
              <w:right w:val="nil"/>
            </w:tcBorders>
          </w:tcPr>
          <w:p w14:paraId="7429B3F9" w14:textId="77777777" w:rsidR="00007045" w:rsidRPr="005A1D36" w:rsidRDefault="00007045">
            <w:pPr>
              <w:pStyle w:val="TableText"/>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7B7D2AD1" w14:textId="305C766B" w:rsidR="00007045" w:rsidRPr="006B77BB" w:rsidRDefault="00007045">
            <w:pPr>
              <w:pStyle w:val="TableText"/>
            </w:pPr>
            <w:r w:rsidRPr="005A1D36">
              <w:rPr>
                <w:rFonts w:ascii="Segoe UI Symbol" w:hAnsi="Segoe UI Symbol" w:cs="Segoe UI Symbol"/>
              </w:rPr>
              <w:t>☐</w:t>
            </w:r>
            <w:r w:rsidRPr="005A1D36">
              <w:t xml:space="preserve"> Yes</w:t>
            </w:r>
          </w:p>
        </w:tc>
      </w:tr>
      <w:tr w:rsidR="00007045" w:rsidRPr="006B77BB" w14:paraId="019D7714" w14:textId="77777777" w:rsidTr="00F90BEE">
        <w:tc>
          <w:tcPr>
            <w:tcW w:w="3250" w:type="pct"/>
            <w:gridSpan w:val="2"/>
            <w:tcBorders>
              <w:top w:val="nil"/>
              <w:bottom w:val="nil"/>
              <w:right w:val="nil"/>
            </w:tcBorders>
          </w:tcPr>
          <w:p w14:paraId="3F71E0D3" w14:textId="730D914D" w:rsidR="00007045" w:rsidRPr="00BE0A53" w:rsidRDefault="00007045">
            <w:pPr>
              <w:pStyle w:val="TableText"/>
              <w:ind w:left="720" w:hanging="360"/>
            </w:pPr>
            <w:r>
              <w:t>b.</w:t>
            </w:r>
            <w:r>
              <w:tab/>
              <w:t>Pugged soil (see pugging guidance)</w:t>
            </w:r>
          </w:p>
        </w:tc>
        <w:tc>
          <w:tcPr>
            <w:tcW w:w="875" w:type="pct"/>
            <w:gridSpan w:val="2"/>
            <w:tcBorders>
              <w:top w:val="nil"/>
              <w:left w:val="nil"/>
              <w:bottom w:val="nil"/>
              <w:right w:val="nil"/>
            </w:tcBorders>
          </w:tcPr>
          <w:p w14:paraId="0ECAD8DF" w14:textId="77777777" w:rsidR="00007045" w:rsidRPr="005A1D36" w:rsidRDefault="00007045">
            <w:pPr>
              <w:pStyle w:val="TableText"/>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584F9F41" w14:textId="5831801A" w:rsidR="00007045" w:rsidRPr="006B77BB" w:rsidRDefault="00007045">
            <w:pPr>
              <w:pStyle w:val="TableText"/>
            </w:pPr>
            <w:r w:rsidRPr="005A1D36">
              <w:rPr>
                <w:rFonts w:ascii="Segoe UI Symbol" w:hAnsi="Segoe UI Symbol" w:cs="Segoe UI Symbol"/>
              </w:rPr>
              <w:t>☐</w:t>
            </w:r>
            <w:r w:rsidRPr="005A1D36">
              <w:t xml:space="preserve"> Yes</w:t>
            </w:r>
          </w:p>
        </w:tc>
      </w:tr>
      <w:tr w:rsidR="00007045" w:rsidRPr="006B77BB" w14:paraId="011E36EA" w14:textId="77777777" w:rsidTr="00F90BEE">
        <w:tc>
          <w:tcPr>
            <w:tcW w:w="3250" w:type="pct"/>
            <w:gridSpan w:val="2"/>
            <w:tcBorders>
              <w:top w:val="nil"/>
              <w:bottom w:val="nil"/>
              <w:right w:val="nil"/>
            </w:tcBorders>
          </w:tcPr>
          <w:p w14:paraId="10EDF46A" w14:textId="073D9A95" w:rsidR="00007045" w:rsidRPr="00BE0A53" w:rsidRDefault="00007045">
            <w:pPr>
              <w:pStyle w:val="TableText"/>
              <w:ind w:left="720" w:hanging="360"/>
            </w:pPr>
            <w:r>
              <w:t>c.</w:t>
            </w:r>
            <w:r>
              <w:tab/>
            </w:r>
            <w:r w:rsidRPr="00282806">
              <w:t>In</w:t>
            </w:r>
            <w:r w:rsidR="00B50EB6">
              <w:t>-</w:t>
            </w:r>
            <w:r w:rsidRPr="00282806">
              <w:t>paddock congregation sites (</w:t>
            </w:r>
            <w:r w:rsidR="00B50EB6">
              <w:t xml:space="preserve">eg, </w:t>
            </w:r>
            <w:r w:rsidRPr="00282806">
              <w:t>gateways, water troughs)</w:t>
            </w:r>
          </w:p>
        </w:tc>
        <w:tc>
          <w:tcPr>
            <w:tcW w:w="875" w:type="pct"/>
            <w:gridSpan w:val="2"/>
            <w:tcBorders>
              <w:top w:val="nil"/>
              <w:left w:val="nil"/>
              <w:bottom w:val="nil"/>
              <w:right w:val="nil"/>
            </w:tcBorders>
          </w:tcPr>
          <w:p w14:paraId="13C63831" w14:textId="77777777" w:rsidR="00007045" w:rsidRPr="005A1D36" w:rsidRDefault="00007045">
            <w:pPr>
              <w:pStyle w:val="TableText"/>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0F6A6E82" w14:textId="3EF33FE9" w:rsidR="00007045" w:rsidRPr="006B77BB" w:rsidRDefault="00007045">
            <w:pPr>
              <w:pStyle w:val="TableText"/>
            </w:pPr>
            <w:r w:rsidRPr="005A1D36">
              <w:rPr>
                <w:rFonts w:ascii="Segoe UI Symbol" w:hAnsi="Segoe UI Symbol" w:cs="Segoe UI Symbol"/>
              </w:rPr>
              <w:t>☐</w:t>
            </w:r>
            <w:r w:rsidRPr="005A1D36">
              <w:t xml:space="preserve"> Yes</w:t>
            </w:r>
          </w:p>
        </w:tc>
      </w:tr>
      <w:tr w:rsidR="00007045" w:rsidRPr="006B77BB" w14:paraId="75BC81C9" w14:textId="77777777" w:rsidTr="00F90BEE">
        <w:tc>
          <w:tcPr>
            <w:tcW w:w="3250" w:type="pct"/>
            <w:gridSpan w:val="2"/>
            <w:tcBorders>
              <w:top w:val="nil"/>
              <w:bottom w:val="nil"/>
              <w:right w:val="nil"/>
            </w:tcBorders>
          </w:tcPr>
          <w:p w14:paraId="4935A362" w14:textId="12B1D295" w:rsidR="00007045" w:rsidRDefault="00007045" w:rsidP="00282806">
            <w:pPr>
              <w:pStyle w:val="TableText"/>
              <w:ind w:left="720" w:hanging="360"/>
            </w:pPr>
            <w:r>
              <w:t>d.</w:t>
            </w:r>
            <w:r>
              <w:tab/>
            </w:r>
            <w:r w:rsidRPr="00282806">
              <w:t>Concreted areas</w:t>
            </w:r>
          </w:p>
        </w:tc>
        <w:tc>
          <w:tcPr>
            <w:tcW w:w="875" w:type="pct"/>
            <w:gridSpan w:val="2"/>
            <w:tcBorders>
              <w:top w:val="nil"/>
              <w:left w:val="nil"/>
              <w:bottom w:val="nil"/>
              <w:right w:val="nil"/>
            </w:tcBorders>
          </w:tcPr>
          <w:p w14:paraId="29C9CAC8" w14:textId="104CB3ED" w:rsidR="00007045" w:rsidRPr="005A1D36" w:rsidRDefault="00007045" w:rsidP="00282806">
            <w:pPr>
              <w:pStyle w:val="TableText"/>
              <w:rPr>
                <w:rFonts w:ascii="Segoe UI Symbol" w:hAnsi="Segoe UI Symbol" w:cs="Segoe UI Symbol"/>
              </w:rPr>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53942782" w14:textId="6A41ED2A" w:rsidR="00007045" w:rsidRPr="006B77BB" w:rsidRDefault="00007045" w:rsidP="00282806">
            <w:pPr>
              <w:pStyle w:val="TableText"/>
            </w:pPr>
            <w:r w:rsidRPr="005A1D36">
              <w:rPr>
                <w:rFonts w:ascii="Segoe UI Symbol" w:hAnsi="Segoe UI Symbol" w:cs="Segoe UI Symbol"/>
              </w:rPr>
              <w:t>☐</w:t>
            </w:r>
            <w:r w:rsidRPr="005A1D36">
              <w:t xml:space="preserve"> Yes</w:t>
            </w:r>
          </w:p>
        </w:tc>
      </w:tr>
      <w:tr w:rsidR="00007045" w:rsidRPr="006B77BB" w14:paraId="717D00E8" w14:textId="77777777" w:rsidTr="00F90BEE">
        <w:tc>
          <w:tcPr>
            <w:tcW w:w="3250" w:type="pct"/>
            <w:gridSpan w:val="2"/>
            <w:tcBorders>
              <w:top w:val="nil"/>
              <w:bottom w:val="nil"/>
              <w:right w:val="nil"/>
            </w:tcBorders>
          </w:tcPr>
          <w:p w14:paraId="2BF553CC" w14:textId="54E9266C" w:rsidR="00007045" w:rsidRDefault="00007045" w:rsidP="00282806">
            <w:pPr>
              <w:pStyle w:val="TableText"/>
              <w:ind w:left="720" w:hanging="360"/>
            </w:pPr>
            <w:r>
              <w:t>e.</w:t>
            </w:r>
            <w:r>
              <w:tab/>
            </w:r>
            <w:r w:rsidRPr="00282806">
              <w:t>Farm machinery tracks</w:t>
            </w:r>
          </w:p>
        </w:tc>
        <w:tc>
          <w:tcPr>
            <w:tcW w:w="875" w:type="pct"/>
            <w:gridSpan w:val="2"/>
            <w:tcBorders>
              <w:top w:val="nil"/>
              <w:left w:val="nil"/>
              <w:bottom w:val="nil"/>
              <w:right w:val="nil"/>
            </w:tcBorders>
          </w:tcPr>
          <w:p w14:paraId="7D9C74D3" w14:textId="00BA015A" w:rsidR="00007045" w:rsidRPr="005A1D36" w:rsidRDefault="00007045" w:rsidP="00282806">
            <w:pPr>
              <w:pStyle w:val="TableText"/>
              <w:rPr>
                <w:rFonts w:ascii="Segoe UI Symbol" w:hAnsi="Segoe UI Symbol" w:cs="Segoe UI Symbol"/>
              </w:rPr>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45FC0C9F" w14:textId="1779A060" w:rsidR="00007045" w:rsidRPr="006B77BB" w:rsidRDefault="00007045" w:rsidP="00282806">
            <w:pPr>
              <w:pStyle w:val="TableText"/>
            </w:pPr>
            <w:r w:rsidRPr="005A1D36">
              <w:rPr>
                <w:rFonts w:ascii="Segoe UI Symbol" w:hAnsi="Segoe UI Symbol" w:cs="Segoe UI Symbol"/>
              </w:rPr>
              <w:t>☐</w:t>
            </w:r>
            <w:r w:rsidRPr="005A1D36">
              <w:t xml:space="preserve"> Yes</w:t>
            </w:r>
          </w:p>
        </w:tc>
      </w:tr>
      <w:tr w:rsidR="00007045" w:rsidRPr="006B77BB" w14:paraId="2450AD62" w14:textId="77777777" w:rsidTr="00F90BEE">
        <w:tc>
          <w:tcPr>
            <w:tcW w:w="3250" w:type="pct"/>
            <w:gridSpan w:val="2"/>
            <w:tcBorders>
              <w:top w:val="nil"/>
              <w:bottom w:val="nil"/>
              <w:right w:val="nil"/>
            </w:tcBorders>
          </w:tcPr>
          <w:p w14:paraId="1A1EFF94" w14:textId="5F564906" w:rsidR="00007045" w:rsidRDefault="00007045" w:rsidP="00282806">
            <w:pPr>
              <w:pStyle w:val="TableText"/>
              <w:ind w:left="720" w:hanging="360"/>
            </w:pPr>
            <w:r>
              <w:t>f.</w:t>
            </w:r>
            <w:r>
              <w:tab/>
              <w:t>Races or lanes</w:t>
            </w:r>
          </w:p>
        </w:tc>
        <w:tc>
          <w:tcPr>
            <w:tcW w:w="875" w:type="pct"/>
            <w:gridSpan w:val="2"/>
            <w:tcBorders>
              <w:top w:val="nil"/>
              <w:left w:val="nil"/>
              <w:bottom w:val="nil"/>
              <w:right w:val="nil"/>
            </w:tcBorders>
          </w:tcPr>
          <w:p w14:paraId="323F88E3" w14:textId="065E2817" w:rsidR="00007045" w:rsidRPr="005A1D36" w:rsidRDefault="00007045" w:rsidP="00282806">
            <w:pPr>
              <w:pStyle w:val="TableText"/>
              <w:rPr>
                <w:rFonts w:ascii="Segoe UI Symbol" w:hAnsi="Segoe UI Symbol" w:cs="Segoe UI Symbol"/>
              </w:rPr>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43A4CCC6" w14:textId="796BB900" w:rsidR="00007045" w:rsidRPr="006B77BB" w:rsidRDefault="00007045" w:rsidP="00282806">
            <w:pPr>
              <w:pStyle w:val="TableText"/>
            </w:pPr>
            <w:r w:rsidRPr="005A1D36">
              <w:rPr>
                <w:rFonts w:ascii="Segoe UI Symbol" w:hAnsi="Segoe UI Symbol" w:cs="Segoe UI Symbol"/>
              </w:rPr>
              <w:t>☐</w:t>
            </w:r>
            <w:r w:rsidRPr="005A1D36">
              <w:t xml:space="preserve"> Yes</w:t>
            </w:r>
          </w:p>
        </w:tc>
      </w:tr>
      <w:tr w:rsidR="00007045" w:rsidRPr="006B77BB" w14:paraId="258DE3C5" w14:textId="77777777" w:rsidTr="00F90BEE">
        <w:tc>
          <w:tcPr>
            <w:tcW w:w="3250" w:type="pct"/>
            <w:gridSpan w:val="2"/>
            <w:tcBorders>
              <w:top w:val="nil"/>
              <w:bottom w:val="single" w:sz="4" w:space="0" w:color="1B556B"/>
              <w:right w:val="nil"/>
            </w:tcBorders>
          </w:tcPr>
          <w:p w14:paraId="019EE6E3" w14:textId="67B7FFD3" w:rsidR="00007045" w:rsidRDefault="00007045" w:rsidP="00282806">
            <w:pPr>
              <w:pStyle w:val="TableText"/>
              <w:ind w:left="720" w:hanging="360"/>
            </w:pPr>
            <w:r>
              <w:t>g.</w:t>
            </w:r>
            <w:r>
              <w:tab/>
              <w:t>Stream crossings</w:t>
            </w:r>
          </w:p>
        </w:tc>
        <w:tc>
          <w:tcPr>
            <w:tcW w:w="875" w:type="pct"/>
            <w:gridSpan w:val="2"/>
            <w:tcBorders>
              <w:top w:val="nil"/>
              <w:left w:val="nil"/>
              <w:bottom w:val="single" w:sz="4" w:space="0" w:color="1B556B"/>
              <w:right w:val="nil"/>
            </w:tcBorders>
          </w:tcPr>
          <w:p w14:paraId="480C3C6D" w14:textId="460C6FBA" w:rsidR="00007045" w:rsidRPr="005A1D36" w:rsidRDefault="00007045" w:rsidP="00282806">
            <w:pPr>
              <w:pStyle w:val="TableText"/>
              <w:rPr>
                <w:rFonts w:ascii="Segoe UI Symbol" w:hAnsi="Segoe UI Symbol" w:cs="Segoe UI Symbol"/>
              </w:rPr>
            </w:pPr>
            <w:r w:rsidRPr="005A1D36">
              <w:rPr>
                <w:rFonts w:ascii="Segoe UI Symbol" w:hAnsi="Segoe UI Symbol" w:cs="Segoe UI Symbol"/>
              </w:rPr>
              <w:t>☐</w:t>
            </w:r>
            <w:r w:rsidRPr="005A1D36">
              <w:t xml:space="preserve"> No</w:t>
            </w:r>
          </w:p>
        </w:tc>
        <w:tc>
          <w:tcPr>
            <w:tcW w:w="875" w:type="pct"/>
            <w:tcBorders>
              <w:top w:val="nil"/>
              <w:left w:val="nil"/>
              <w:bottom w:val="single" w:sz="4" w:space="0" w:color="1B556B"/>
            </w:tcBorders>
          </w:tcPr>
          <w:p w14:paraId="25FAE773" w14:textId="067D6009" w:rsidR="00007045" w:rsidRPr="006B77BB" w:rsidRDefault="00007045" w:rsidP="00282806">
            <w:pPr>
              <w:pStyle w:val="TableText"/>
            </w:pPr>
            <w:r w:rsidRPr="005A1D36">
              <w:rPr>
                <w:rFonts w:ascii="Segoe UI Symbol" w:hAnsi="Segoe UI Symbol" w:cs="Segoe UI Symbol"/>
              </w:rPr>
              <w:t>☐</w:t>
            </w:r>
            <w:r w:rsidRPr="005A1D36">
              <w:t xml:space="preserve"> Yes</w:t>
            </w:r>
          </w:p>
        </w:tc>
      </w:tr>
      <w:tr w:rsidR="003A153B" w:rsidRPr="006B77BB" w14:paraId="07CF6503" w14:textId="77777777" w:rsidTr="00F23632">
        <w:tc>
          <w:tcPr>
            <w:tcW w:w="5000" w:type="pct"/>
            <w:gridSpan w:val="5"/>
            <w:tcBorders>
              <w:bottom w:val="nil"/>
            </w:tcBorders>
          </w:tcPr>
          <w:p w14:paraId="15F58A82" w14:textId="784F296E" w:rsidR="003A153B" w:rsidRPr="006B77BB" w:rsidRDefault="003A153B">
            <w:pPr>
              <w:pStyle w:val="TableText"/>
              <w:ind w:left="326" w:hanging="326"/>
            </w:pPr>
            <w:r>
              <w:rPr>
                <w:b/>
                <w:bCs/>
              </w:rPr>
              <w:t>4</w:t>
            </w:r>
            <w:r w:rsidRPr="00293468">
              <w:rPr>
                <w:b/>
                <w:bCs/>
              </w:rPr>
              <w:t>.</w:t>
            </w:r>
            <w:r w:rsidRPr="00293468">
              <w:rPr>
                <w:b/>
                <w:bCs/>
              </w:rPr>
              <w:tab/>
            </w:r>
            <w:r w:rsidR="00B50EB6">
              <w:rPr>
                <w:b/>
                <w:bCs/>
              </w:rPr>
              <w:t xml:space="preserve">Sediment mobilisation </w:t>
            </w:r>
            <w:r w:rsidR="00B50EB6">
              <w:t xml:space="preserve">— </w:t>
            </w:r>
            <w:r w:rsidR="00B50EB6">
              <w:rPr>
                <w:b/>
                <w:bCs/>
              </w:rPr>
              <w:t>d</w:t>
            </w:r>
            <w:r w:rsidRPr="003A153B">
              <w:rPr>
                <w:b/>
                <w:bCs/>
              </w:rPr>
              <w:t>ecelerating features</w:t>
            </w:r>
            <w:r>
              <w:rPr>
                <w:b/>
                <w:bCs/>
              </w:rPr>
              <w:br/>
            </w:r>
            <w:r w:rsidRPr="003A153B">
              <w:t xml:space="preserve">Signs to look for: Vegetated areas that slow water flow, filter or trap sediment and protect waterways from contamination (see </w:t>
            </w:r>
            <w:hyperlink w:anchor="_6.1.2_Walkover_surveys" w:history="1">
              <w:r w:rsidR="009471A4" w:rsidRPr="007A5E62">
                <w:rPr>
                  <w:rStyle w:val="Hyperlink"/>
                  <w:rFonts w:cstheme="minorBidi"/>
                  <w:szCs w:val="22"/>
                </w:rPr>
                <w:t>s</w:t>
              </w:r>
              <w:r w:rsidRPr="007A5E62">
                <w:rPr>
                  <w:rStyle w:val="Hyperlink"/>
                </w:rPr>
                <w:t>ection 6.2.1</w:t>
              </w:r>
            </w:hyperlink>
            <w:r w:rsidRPr="003A153B">
              <w:t>).</w:t>
            </w:r>
          </w:p>
        </w:tc>
      </w:tr>
      <w:tr w:rsidR="00007045" w:rsidRPr="006B77BB" w14:paraId="0A298F2A" w14:textId="77777777" w:rsidTr="00F90BEE">
        <w:tc>
          <w:tcPr>
            <w:tcW w:w="3250" w:type="pct"/>
            <w:gridSpan w:val="2"/>
            <w:tcBorders>
              <w:top w:val="nil"/>
              <w:bottom w:val="nil"/>
              <w:right w:val="nil"/>
            </w:tcBorders>
          </w:tcPr>
          <w:p w14:paraId="3A62D804" w14:textId="136F1254" w:rsidR="00007045" w:rsidRPr="00BE0A53" w:rsidRDefault="00007045" w:rsidP="003A153B">
            <w:pPr>
              <w:pStyle w:val="TableText"/>
              <w:numPr>
                <w:ilvl w:val="0"/>
                <w:numId w:val="48"/>
              </w:numPr>
            </w:pPr>
            <w:r w:rsidRPr="003A153B">
              <w:t>Buffer strips (could be unmanaged land</w:t>
            </w:r>
            <w:r w:rsidR="005818F7">
              <w:t>)</w:t>
            </w:r>
          </w:p>
        </w:tc>
        <w:tc>
          <w:tcPr>
            <w:tcW w:w="875" w:type="pct"/>
            <w:gridSpan w:val="2"/>
            <w:tcBorders>
              <w:top w:val="nil"/>
              <w:left w:val="nil"/>
              <w:bottom w:val="nil"/>
              <w:right w:val="nil"/>
            </w:tcBorders>
          </w:tcPr>
          <w:p w14:paraId="7D05E691" w14:textId="77777777" w:rsidR="00007045" w:rsidRPr="005A1D36" w:rsidRDefault="00007045">
            <w:pPr>
              <w:pStyle w:val="TableText"/>
            </w:pPr>
            <w:r w:rsidRPr="005A1D36">
              <w:rPr>
                <w:rFonts w:ascii="Segoe UI Symbol" w:hAnsi="Segoe UI Symbol" w:cs="Segoe UI Symbol"/>
              </w:rPr>
              <w:t>☐</w:t>
            </w:r>
            <w:r w:rsidRPr="005A1D36">
              <w:t xml:space="preserve"> No</w:t>
            </w:r>
          </w:p>
        </w:tc>
        <w:tc>
          <w:tcPr>
            <w:tcW w:w="875" w:type="pct"/>
            <w:tcBorders>
              <w:top w:val="nil"/>
              <w:left w:val="nil"/>
              <w:bottom w:val="nil"/>
            </w:tcBorders>
          </w:tcPr>
          <w:p w14:paraId="3ED19AB9" w14:textId="26A2B4E1" w:rsidR="00007045" w:rsidRPr="006B77BB" w:rsidRDefault="00007045">
            <w:pPr>
              <w:pStyle w:val="TableText"/>
            </w:pPr>
            <w:r w:rsidRPr="005A1D36">
              <w:rPr>
                <w:rFonts w:ascii="Segoe UI Symbol" w:hAnsi="Segoe UI Symbol" w:cs="Segoe UI Symbol"/>
              </w:rPr>
              <w:t>☐</w:t>
            </w:r>
            <w:r w:rsidRPr="005A1D36">
              <w:t xml:space="preserve"> Yes</w:t>
            </w:r>
          </w:p>
        </w:tc>
      </w:tr>
      <w:tr w:rsidR="00007045" w:rsidRPr="006B77BB" w14:paraId="6B9639A2" w14:textId="77777777" w:rsidTr="00F90BEE">
        <w:tc>
          <w:tcPr>
            <w:tcW w:w="3250" w:type="pct"/>
            <w:gridSpan w:val="2"/>
            <w:tcBorders>
              <w:top w:val="nil"/>
              <w:right w:val="nil"/>
            </w:tcBorders>
          </w:tcPr>
          <w:p w14:paraId="7765FD92" w14:textId="614E4A34" w:rsidR="00007045" w:rsidRPr="00BE0A53" w:rsidRDefault="00007045">
            <w:pPr>
              <w:pStyle w:val="TableText"/>
              <w:ind w:left="720" w:hanging="360"/>
            </w:pPr>
            <w:r>
              <w:t>b.</w:t>
            </w:r>
            <w:r>
              <w:tab/>
            </w:r>
            <w:r w:rsidRPr="003A153B">
              <w:t>Forestry or bush blocks</w:t>
            </w:r>
          </w:p>
        </w:tc>
        <w:tc>
          <w:tcPr>
            <w:tcW w:w="875" w:type="pct"/>
            <w:gridSpan w:val="2"/>
            <w:tcBorders>
              <w:top w:val="nil"/>
              <w:left w:val="nil"/>
              <w:right w:val="nil"/>
            </w:tcBorders>
          </w:tcPr>
          <w:p w14:paraId="1EBDB68A" w14:textId="77777777" w:rsidR="00007045" w:rsidRPr="005A1D36" w:rsidRDefault="00007045">
            <w:pPr>
              <w:pStyle w:val="TableText"/>
            </w:pPr>
            <w:r w:rsidRPr="005A1D36">
              <w:rPr>
                <w:rFonts w:ascii="Segoe UI Symbol" w:hAnsi="Segoe UI Symbol" w:cs="Segoe UI Symbol"/>
              </w:rPr>
              <w:t>☐</w:t>
            </w:r>
            <w:r w:rsidRPr="005A1D36">
              <w:t xml:space="preserve"> No</w:t>
            </w:r>
          </w:p>
        </w:tc>
        <w:tc>
          <w:tcPr>
            <w:tcW w:w="875" w:type="pct"/>
            <w:tcBorders>
              <w:top w:val="nil"/>
              <w:left w:val="nil"/>
            </w:tcBorders>
          </w:tcPr>
          <w:p w14:paraId="6713544F" w14:textId="7575119F" w:rsidR="00007045" w:rsidRPr="006B77BB" w:rsidRDefault="00007045">
            <w:pPr>
              <w:pStyle w:val="TableText"/>
            </w:pPr>
            <w:r w:rsidRPr="005A1D36">
              <w:rPr>
                <w:rFonts w:ascii="Segoe UI Symbol" w:hAnsi="Segoe UI Symbol" w:cs="Segoe UI Symbol"/>
              </w:rPr>
              <w:t>☐</w:t>
            </w:r>
            <w:r w:rsidRPr="005A1D36">
              <w:t xml:space="preserve"> Yes</w:t>
            </w:r>
          </w:p>
        </w:tc>
      </w:tr>
    </w:tbl>
    <w:p w14:paraId="2E2FF5D2" w14:textId="77777777" w:rsidR="00166018" w:rsidRDefault="00166018" w:rsidP="00166018">
      <w:pPr>
        <w:pStyle w:val="BodyText"/>
      </w:pPr>
    </w:p>
    <w:p w14:paraId="49DB8717" w14:textId="77777777" w:rsidR="004626FA" w:rsidRDefault="004626FA">
      <w:pPr>
        <w:spacing w:before="0" w:after="200" w:line="276" w:lineRule="auto"/>
        <w:jc w:val="left"/>
      </w:pPr>
      <w:r>
        <w:br w:type="page"/>
      </w:r>
    </w:p>
    <w:p w14:paraId="15705286" w14:textId="18936FDB" w:rsidR="00142D51" w:rsidRDefault="00142D51" w:rsidP="004626FA">
      <w:pPr>
        <w:pStyle w:val="Heading1"/>
      </w:pPr>
      <w:bookmarkStart w:id="42" w:name="_Toc129957938"/>
      <w:r>
        <w:lastRenderedPageBreak/>
        <w:t xml:space="preserve">Appendix 2: Other </w:t>
      </w:r>
      <w:r w:rsidR="00702C1F">
        <w:t>critical source area</w:t>
      </w:r>
      <w:r>
        <w:t>s</w:t>
      </w:r>
      <w:bookmarkEnd w:id="42"/>
      <w:r>
        <w:t xml:space="preserve"> </w:t>
      </w:r>
    </w:p>
    <w:p w14:paraId="111A9621" w14:textId="4C77058F" w:rsidR="00142D51" w:rsidRDefault="00142D51" w:rsidP="00142D51">
      <w:pPr>
        <w:pStyle w:val="BodyText"/>
      </w:pPr>
      <w:r>
        <w:t xml:space="preserve">The following </w:t>
      </w:r>
      <w:r w:rsidR="00702C1F">
        <w:t>critical source area</w:t>
      </w:r>
      <w:r>
        <w:t xml:space="preserve">s are outside the IWG regulations as they are not affected by management measures relevant to winter grazing. However, it is important to note these are also potential sources of contaminants to freshwater. </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BC7A64" w14:paraId="7B5C7878" w14:textId="77777777" w:rsidTr="00BC7F37">
        <w:tc>
          <w:tcPr>
            <w:tcW w:w="0" w:type="auto"/>
            <w:tcBorders>
              <w:top w:val="nil"/>
              <w:left w:val="nil"/>
              <w:bottom w:val="nil"/>
              <w:right w:val="nil"/>
            </w:tcBorders>
            <w:shd w:val="clear" w:color="auto" w:fill="D2DDE2"/>
          </w:tcPr>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14"/>
              <w:gridCol w:w="4475"/>
            </w:tblGrid>
            <w:tr w:rsidR="00CD210F" w:rsidRPr="006B77BB" w14:paraId="56734C03" w14:textId="77777777" w:rsidTr="00265A71">
              <w:tc>
                <w:tcPr>
                  <w:tcW w:w="2301" w:type="pct"/>
                  <w:shd w:val="clear" w:color="auto" w:fill="auto"/>
                </w:tcPr>
                <w:p w14:paraId="1E70DF68" w14:textId="77777777" w:rsidR="00B13B57" w:rsidRDefault="00B13B57" w:rsidP="007E5119">
                  <w:pPr>
                    <w:pStyle w:val="Boxheading0"/>
                    <w:keepNext w:val="0"/>
                    <w:ind w:left="200"/>
                  </w:pPr>
                  <w:r>
                    <w:t>In-paddock stock congregation sites</w:t>
                  </w:r>
                </w:p>
                <w:p w14:paraId="571ECCE5" w14:textId="0719AE51" w:rsidR="002E4E66" w:rsidRPr="006B77BB" w:rsidRDefault="00B13B57" w:rsidP="007E5119">
                  <w:pPr>
                    <w:pStyle w:val="Boxtext"/>
                    <w:ind w:left="200"/>
                  </w:pPr>
                  <w:r>
                    <w:t>Feed areas, stock campsites</w:t>
                  </w:r>
                  <w:r w:rsidR="00DA4630">
                    <w:t>,</w:t>
                  </w:r>
                  <w:r>
                    <w:t xml:space="preserve"> water troughs</w:t>
                  </w:r>
                  <w:r w:rsidR="00B50EB6">
                    <w:t xml:space="preserve"> </w:t>
                  </w:r>
                  <w:r>
                    <w:t xml:space="preserve">and gateways. These areas often have a build-up of manure and compacted, exposed soil and are source areas of N, P, sediment, and </w:t>
                  </w:r>
                  <w:r w:rsidRPr="00DA4630">
                    <w:rPr>
                      <w:i/>
                      <w:iCs/>
                    </w:rPr>
                    <w:t>E.</w:t>
                  </w:r>
                  <w:r w:rsidR="00DA4630">
                    <w:rPr>
                      <w:i/>
                      <w:iCs/>
                    </w:rPr>
                    <w:t> </w:t>
                  </w:r>
                  <w:r w:rsidRPr="00DA4630">
                    <w:rPr>
                      <w:i/>
                      <w:iCs/>
                    </w:rPr>
                    <w:t>coli</w:t>
                  </w:r>
                  <w:r>
                    <w:t xml:space="preserve"> (Lucci </w:t>
                  </w:r>
                  <w:r w:rsidR="003B0999">
                    <w:t>et al,</w:t>
                  </w:r>
                  <w:r>
                    <w:t xml:space="preserve"> 2010; Hively </w:t>
                  </w:r>
                  <w:r w:rsidR="003B0999">
                    <w:t>et al,</w:t>
                  </w:r>
                  <w:r>
                    <w:t xml:space="preserve"> 2005).</w:t>
                  </w:r>
                </w:p>
              </w:tc>
              <w:tc>
                <w:tcPr>
                  <w:tcW w:w="2699" w:type="pct"/>
                  <w:shd w:val="clear" w:color="auto" w:fill="auto"/>
                </w:tcPr>
                <w:p w14:paraId="53A75BA3" w14:textId="50ACAE21" w:rsidR="002E4E66" w:rsidRPr="00D73C1B" w:rsidRDefault="00A23F92" w:rsidP="007E5119">
                  <w:pPr>
                    <w:pStyle w:val="Boxtext"/>
                    <w:jc w:val="right"/>
                    <w:rPr>
                      <w:b/>
                      <w:bCs/>
                    </w:rPr>
                  </w:pPr>
                  <w:r w:rsidRPr="00D73C1B">
                    <w:rPr>
                      <w:b/>
                      <w:bCs/>
                      <w:noProof/>
                    </w:rPr>
                    <w:drawing>
                      <wp:inline distT="0" distB="0" distL="0" distR="0" wp14:anchorId="0BA112FD" wp14:editId="7C46ED2E">
                        <wp:extent cx="2344217" cy="1756225"/>
                        <wp:effectExtent l="0" t="0" r="0" b="0"/>
                        <wp:docPr id="26" name="Picture 26" descr="A water trough surrounded by bare and erodible soils showing pugging da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water trough surrounded by bare and erodible soils showing pugging damage.    "/>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366491" cy="1772912"/>
                                </a:xfrm>
                                <a:prstGeom prst="rect">
                                  <a:avLst/>
                                </a:prstGeom>
                                <a:noFill/>
                                <a:ln>
                                  <a:noFill/>
                                </a:ln>
                              </pic:spPr>
                            </pic:pic>
                          </a:graphicData>
                        </a:graphic>
                      </wp:inline>
                    </w:drawing>
                  </w:r>
                </w:p>
              </w:tc>
            </w:tr>
            <w:tr w:rsidR="00CD210F" w:rsidRPr="006B77BB" w14:paraId="7D40DEB3" w14:textId="77777777" w:rsidTr="00265A71">
              <w:tc>
                <w:tcPr>
                  <w:tcW w:w="2301" w:type="pct"/>
                </w:tcPr>
                <w:p w14:paraId="5322153A" w14:textId="77777777" w:rsidR="00A23F92" w:rsidRDefault="00A23F92" w:rsidP="007E5119">
                  <w:pPr>
                    <w:pStyle w:val="Boxheading0"/>
                    <w:keepNext w:val="0"/>
                    <w:ind w:left="200"/>
                  </w:pPr>
                  <w:r>
                    <w:t>Raceways</w:t>
                  </w:r>
                </w:p>
                <w:p w14:paraId="2037FA17" w14:textId="33072BF6" w:rsidR="002E4E66" w:rsidRPr="006B77BB" w:rsidRDefault="00A23F92" w:rsidP="007E5119">
                  <w:pPr>
                    <w:pStyle w:val="Boxtext"/>
                    <w:ind w:left="214"/>
                  </w:pPr>
                  <w:r>
                    <w:t>Can directly transport or deposit (at crossing points) contaminants (bacteria, sediment and nutrients (mostly N and P) into surface waterways</w:t>
                  </w:r>
                  <w:r w:rsidR="00AC568A">
                    <w:t>)</w:t>
                  </w:r>
                  <w:r>
                    <w:t xml:space="preserve"> (Lucci </w:t>
                  </w:r>
                  <w:r w:rsidR="003B0999">
                    <w:t>et al,</w:t>
                  </w:r>
                  <w:r>
                    <w:t xml:space="preserve"> 2010; Hively </w:t>
                  </w:r>
                  <w:r w:rsidR="003B0999">
                    <w:t>et al,</w:t>
                  </w:r>
                  <w:r>
                    <w:t xml:space="preserve"> 2005; Monaghan and Smith, 2012).</w:t>
                  </w:r>
                </w:p>
              </w:tc>
              <w:tc>
                <w:tcPr>
                  <w:tcW w:w="2699" w:type="pct"/>
                </w:tcPr>
                <w:p w14:paraId="4BBF6E03" w14:textId="77777777" w:rsidR="002E4E66" w:rsidRDefault="00D73C1B" w:rsidP="007E5119">
                  <w:pPr>
                    <w:pStyle w:val="Boxtext"/>
                    <w:spacing w:after="0"/>
                    <w:ind w:left="0"/>
                    <w:jc w:val="right"/>
                    <w:rPr>
                      <w:b/>
                      <w:bCs/>
                    </w:rPr>
                  </w:pPr>
                  <w:r w:rsidRPr="00D73C1B">
                    <w:rPr>
                      <w:b/>
                      <w:bCs/>
                      <w:noProof/>
                    </w:rPr>
                    <w:drawing>
                      <wp:inline distT="0" distB="0" distL="0" distR="0" wp14:anchorId="129192AA" wp14:editId="7A477D9F">
                        <wp:extent cx="2345011" cy="1553750"/>
                        <wp:effectExtent l="0" t="0" r="0" b="8890"/>
                        <wp:docPr id="27" name="Picture 27" descr="A raceway with ponding and bare soi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raceway with ponding and bare soils.    "/>
                                <pic:cNvPicPr/>
                              </pic:nvPicPr>
                              <pic:blipFill>
                                <a:blip r:embed="rId45">
                                  <a:extLst>
                                    <a:ext uri="{28A0092B-C50C-407E-A947-70E740481C1C}">
                                      <a14:useLocalDpi xmlns:a14="http://schemas.microsoft.com/office/drawing/2010/main" val="0"/>
                                    </a:ext>
                                  </a:extLst>
                                </a:blip>
                                <a:stretch>
                                  <a:fillRect/>
                                </a:stretch>
                              </pic:blipFill>
                              <pic:spPr>
                                <a:xfrm>
                                  <a:off x="0" y="0"/>
                                  <a:ext cx="2366042" cy="1567685"/>
                                </a:xfrm>
                                <a:prstGeom prst="rect">
                                  <a:avLst/>
                                </a:prstGeom>
                              </pic:spPr>
                            </pic:pic>
                          </a:graphicData>
                        </a:graphic>
                      </wp:inline>
                    </w:drawing>
                  </w:r>
                </w:p>
                <w:p w14:paraId="1E820685" w14:textId="75F7AF46" w:rsidR="00D73C1B" w:rsidRPr="00655902" w:rsidRDefault="007A0254" w:rsidP="007E5119">
                  <w:pPr>
                    <w:pStyle w:val="Boxtext"/>
                    <w:spacing w:before="0"/>
                  </w:pPr>
                  <w:r>
                    <w:t>Waikato Regional Council</w:t>
                  </w:r>
                  <w:r w:rsidR="007C6ED2">
                    <w:t>,</w:t>
                  </w:r>
                  <w:r w:rsidR="00655902" w:rsidRPr="00655902">
                    <w:t xml:space="preserve"> 2019</w:t>
                  </w:r>
                </w:p>
              </w:tc>
            </w:tr>
            <w:tr w:rsidR="00D73C1B" w:rsidRPr="006B77BB" w14:paraId="6A9DD966" w14:textId="77777777" w:rsidTr="00265A71">
              <w:tc>
                <w:tcPr>
                  <w:tcW w:w="2301" w:type="pct"/>
                </w:tcPr>
                <w:p w14:paraId="6118269C" w14:textId="77777777" w:rsidR="00655902" w:rsidRDefault="00655902" w:rsidP="007E5119">
                  <w:pPr>
                    <w:pStyle w:val="Boxheading0"/>
                    <w:keepNext w:val="0"/>
                    <w:ind w:left="200"/>
                  </w:pPr>
                  <w:r>
                    <w:t>Stream and river crossings</w:t>
                  </w:r>
                </w:p>
                <w:p w14:paraId="5975CED0" w14:textId="61F6C378" w:rsidR="00D73C1B" w:rsidRDefault="00655902" w:rsidP="007E5119">
                  <w:pPr>
                    <w:pStyle w:val="Boxtext"/>
                    <w:ind w:left="214"/>
                  </w:pPr>
                  <w:r>
                    <w:t xml:space="preserve">Due to their immediate proximity to surface water, the risk of contamination from these </w:t>
                  </w:r>
                  <w:r w:rsidR="00702C1F">
                    <w:t>critical source area</w:t>
                  </w:r>
                  <w:r>
                    <w:t xml:space="preserve">s is high (Davis-Colley </w:t>
                  </w:r>
                  <w:r w:rsidR="003B0999">
                    <w:t>et al,</w:t>
                  </w:r>
                  <w:r>
                    <w:t xml:space="preserve"> 2004).</w:t>
                  </w:r>
                </w:p>
              </w:tc>
              <w:tc>
                <w:tcPr>
                  <w:tcW w:w="2699" w:type="pct"/>
                </w:tcPr>
                <w:p w14:paraId="5AABDFD4" w14:textId="77777777" w:rsidR="00D73C1B" w:rsidRDefault="00B9501F" w:rsidP="007E5119">
                  <w:pPr>
                    <w:pStyle w:val="Boxtext"/>
                    <w:spacing w:after="0"/>
                    <w:ind w:left="0"/>
                    <w:jc w:val="right"/>
                    <w:rPr>
                      <w:b/>
                      <w:bCs/>
                      <w:noProof/>
                    </w:rPr>
                  </w:pPr>
                  <w:r>
                    <w:rPr>
                      <w:noProof/>
                    </w:rPr>
                    <w:drawing>
                      <wp:inline distT="0" distB="0" distL="0" distR="0" wp14:anchorId="068A814B" wp14:editId="6AD591F0">
                        <wp:extent cx="2345011" cy="1536637"/>
                        <wp:effectExtent l="0" t="0" r="0" b="6985"/>
                        <wp:docPr id="1783198118" name="Picture 1783198118" descr="Cow in a stream at a crossing poi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198118" name="Picture 1783198118" descr="Cow in a stream at a crossing point. "/>
                                <pic:cNvPicPr/>
                              </pic:nvPicPr>
                              <pic:blipFill>
                                <a:blip r:embed="rId46">
                                  <a:extLst>
                                    <a:ext uri="{28A0092B-C50C-407E-A947-70E740481C1C}">
                                      <a14:useLocalDpi xmlns:a14="http://schemas.microsoft.com/office/drawing/2010/main" val="0"/>
                                    </a:ext>
                                  </a:extLst>
                                </a:blip>
                                <a:stretch>
                                  <a:fillRect/>
                                </a:stretch>
                              </pic:blipFill>
                              <pic:spPr>
                                <a:xfrm>
                                  <a:off x="0" y="0"/>
                                  <a:ext cx="2355218" cy="1543325"/>
                                </a:xfrm>
                                <a:prstGeom prst="rect">
                                  <a:avLst/>
                                </a:prstGeom>
                              </pic:spPr>
                            </pic:pic>
                          </a:graphicData>
                        </a:graphic>
                      </wp:inline>
                    </w:drawing>
                  </w:r>
                </w:p>
                <w:p w14:paraId="178BD602" w14:textId="1248621A" w:rsidR="00B9501F" w:rsidRPr="002D5BA5" w:rsidRDefault="007A0254" w:rsidP="007E5119">
                  <w:pPr>
                    <w:pStyle w:val="Boxtext"/>
                    <w:spacing w:before="0"/>
                  </w:pPr>
                  <w:r>
                    <w:t>Waikato Regional Council</w:t>
                  </w:r>
                  <w:r w:rsidR="007C6ED2">
                    <w:t>,</w:t>
                  </w:r>
                  <w:r w:rsidR="002D5BA5" w:rsidRPr="00655902">
                    <w:t xml:space="preserve"> 2019</w:t>
                  </w:r>
                </w:p>
              </w:tc>
            </w:tr>
            <w:tr w:rsidR="00496915" w:rsidRPr="006B77BB" w14:paraId="61245A63" w14:textId="77777777" w:rsidTr="00265A71">
              <w:tc>
                <w:tcPr>
                  <w:tcW w:w="2301" w:type="pct"/>
                </w:tcPr>
                <w:p w14:paraId="70186962" w14:textId="77777777" w:rsidR="00496915" w:rsidRDefault="00496915" w:rsidP="007E5119">
                  <w:pPr>
                    <w:pStyle w:val="Boxheading0"/>
                    <w:keepNext w:val="0"/>
                  </w:pPr>
                  <w:r w:rsidRPr="00496915">
                    <w:t>Silage pits or feed bunkers</w:t>
                  </w:r>
                </w:p>
                <w:p w14:paraId="2807D44A" w14:textId="2114B3EF" w:rsidR="00496915" w:rsidRDefault="00496915" w:rsidP="007E5119">
                  <w:pPr>
                    <w:pStyle w:val="Boxtext"/>
                  </w:pPr>
                  <w:r w:rsidRPr="00496915">
                    <w:t xml:space="preserve">Leachate from the storage of silage is a known source of nutrients and can contaminate ground and surface waters (Gebrehanna </w:t>
                  </w:r>
                  <w:r w:rsidR="003B0999">
                    <w:t>et al,</w:t>
                  </w:r>
                  <w:r w:rsidRPr="00496915">
                    <w:t xml:space="preserve"> 2014). Good design of pits and bunkers to capture and contain </w:t>
                  </w:r>
                  <w:r w:rsidR="003B0999">
                    <w:t>run-off</w:t>
                  </w:r>
                  <w:r w:rsidRPr="00496915">
                    <w:t xml:space="preserve"> will reduce the risk of these contaminants reaching waterways. </w:t>
                  </w:r>
                  <w:r w:rsidRPr="00496915">
                    <w:tab/>
                  </w:r>
                </w:p>
              </w:tc>
              <w:tc>
                <w:tcPr>
                  <w:tcW w:w="2699" w:type="pct"/>
                </w:tcPr>
                <w:p w14:paraId="1885C240" w14:textId="77777777" w:rsidR="00496915" w:rsidRDefault="00CD210F" w:rsidP="007E5119">
                  <w:pPr>
                    <w:pStyle w:val="Boxtext"/>
                    <w:spacing w:after="0"/>
                    <w:ind w:left="0"/>
                    <w:jc w:val="right"/>
                    <w:rPr>
                      <w:noProof/>
                    </w:rPr>
                  </w:pPr>
                  <w:r>
                    <w:rPr>
                      <w:noProof/>
                    </w:rPr>
                    <w:drawing>
                      <wp:inline distT="0" distB="0" distL="0" distR="0" wp14:anchorId="65D2CD34" wp14:editId="7AD292B9">
                        <wp:extent cx="2344642" cy="1520013"/>
                        <wp:effectExtent l="0" t="0" r="0" b="4445"/>
                        <wp:docPr id="933021618" name="Picture 933021618" descr="A silage pit topped with ty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021618" name="Picture 933021618" descr="A silage pit topped with tyres.  "/>
                                <pic:cNvPicPr/>
                              </pic:nvPicPr>
                              <pic:blipFill>
                                <a:blip r:embed="rId47">
                                  <a:extLst>
                                    <a:ext uri="{28A0092B-C50C-407E-A947-70E740481C1C}">
                                      <a14:useLocalDpi xmlns:a14="http://schemas.microsoft.com/office/drawing/2010/main" val="0"/>
                                    </a:ext>
                                  </a:extLst>
                                </a:blip>
                                <a:stretch>
                                  <a:fillRect/>
                                </a:stretch>
                              </pic:blipFill>
                              <pic:spPr>
                                <a:xfrm>
                                  <a:off x="0" y="0"/>
                                  <a:ext cx="2356585" cy="1527755"/>
                                </a:xfrm>
                                <a:prstGeom prst="rect">
                                  <a:avLst/>
                                </a:prstGeom>
                              </pic:spPr>
                            </pic:pic>
                          </a:graphicData>
                        </a:graphic>
                      </wp:inline>
                    </w:drawing>
                  </w:r>
                </w:p>
                <w:p w14:paraId="4F67EE0D" w14:textId="4EB467E4" w:rsidR="00CD210F" w:rsidRDefault="007A0254" w:rsidP="007E5119">
                  <w:pPr>
                    <w:pStyle w:val="Boxtext"/>
                    <w:spacing w:before="0"/>
                    <w:rPr>
                      <w:noProof/>
                    </w:rPr>
                  </w:pPr>
                  <w:r>
                    <w:t>Waikato Regional Council</w:t>
                  </w:r>
                  <w:r w:rsidR="007C6ED2">
                    <w:t>,</w:t>
                  </w:r>
                  <w:r w:rsidR="00CD210F" w:rsidRPr="00655902">
                    <w:t xml:space="preserve"> 2019</w:t>
                  </w:r>
                </w:p>
              </w:tc>
            </w:tr>
            <w:tr w:rsidR="00496915" w:rsidRPr="006B77BB" w14:paraId="129D01D9" w14:textId="77777777" w:rsidTr="00265A71">
              <w:tc>
                <w:tcPr>
                  <w:tcW w:w="2301" w:type="pct"/>
                </w:tcPr>
                <w:p w14:paraId="39E70AC1" w14:textId="77777777" w:rsidR="00496915" w:rsidRDefault="00496915" w:rsidP="007E5119">
                  <w:pPr>
                    <w:pStyle w:val="Boxheading0"/>
                    <w:keepNext w:val="0"/>
                  </w:pPr>
                  <w:r w:rsidRPr="00496915">
                    <w:lastRenderedPageBreak/>
                    <w:t>Yards and animal holding areas</w:t>
                  </w:r>
                </w:p>
                <w:p w14:paraId="334299E6" w14:textId="019D4DC6" w:rsidR="00496915" w:rsidRPr="00496915" w:rsidRDefault="00496915" w:rsidP="007E5119">
                  <w:pPr>
                    <w:pStyle w:val="Boxtext"/>
                  </w:pPr>
                  <w:r w:rsidRPr="00496915">
                    <w:t xml:space="preserve">Due to the high concentration of livestock and deposition of faeces and urine, surface </w:t>
                  </w:r>
                  <w:r w:rsidR="003B0999">
                    <w:t>run-off</w:t>
                  </w:r>
                  <w:r w:rsidRPr="00496915">
                    <w:t xml:space="preserve"> from these areas is enriched in nutrients (Hively </w:t>
                  </w:r>
                  <w:r w:rsidR="003B0999">
                    <w:t>et al,</w:t>
                  </w:r>
                  <w:r w:rsidRPr="00496915">
                    <w:t xml:space="preserve"> 2005).</w:t>
                  </w:r>
                </w:p>
              </w:tc>
              <w:tc>
                <w:tcPr>
                  <w:tcW w:w="2699" w:type="pct"/>
                </w:tcPr>
                <w:p w14:paraId="3DB9B0F1" w14:textId="77777777" w:rsidR="00496915" w:rsidRDefault="00943FBD" w:rsidP="007E5119">
                  <w:pPr>
                    <w:pStyle w:val="Boxtext"/>
                    <w:spacing w:after="0"/>
                    <w:ind w:left="0"/>
                    <w:jc w:val="right"/>
                    <w:rPr>
                      <w:noProof/>
                    </w:rPr>
                  </w:pPr>
                  <w:r>
                    <w:rPr>
                      <w:noProof/>
                    </w:rPr>
                    <w:drawing>
                      <wp:inline distT="0" distB="0" distL="0" distR="0" wp14:anchorId="05A9A923" wp14:editId="7D7001CF">
                        <wp:extent cx="2343918" cy="1501092"/>
                        <wp:effectExtent l="0" t="0" r="0" b="4445"/>
                        <wp:docPr id="2030215362" name="Picture 2030215362" descr="An uncovered stockyard containing sh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215362" name="Picture 2030215362" descr="An uncovered stockyard containing sheep."/>
                                <pic:cNvPicPr/>
                              </pic:nvPicPr>
                              <pic:blipFill>
                                <a:blip r:embed="rId48">
                                  <a:extLst>
                                    <a:ext uri="{28A0092B-C50C-407E-A947-70E740481C1C}">
                                      <a14:useLocalDpi xmlns:a14="http://schemas.microsoft.com/office/drawing/2010/main" val="0"/>
                                    </a:ext>
                                  </a:extLst>
                                </a:blip>
                                <a:stretch>
                                  <a:fillRect/>
                                </a:stretch>
                              </pic:blipFill>
                              <pic:spPr>
                                <a:xfrm>
                                  <a:off x="0" y="0"/>
                                  <a:ext cx="2363814" cy="1513834"/>
                                </a:xfrm>
                                <a:prstGeom prst="rect">
                                  <a:avLst/>
                                </a:prstGeom>
                              </pic:spPr>
                            </pic:pic>
                          </a:graphicData>
                        </a:graphic>
                      </wp:inline>
                    </w:drawing>
                  </w:r>
                </w:p>
                <w:p w14:paraId="1D16E6B2" w14:textId="1611ED4A" w:rsidR="00943FBD" w:rsidRPr="007E5119" w:rsidRDefault="007A0254" w:rsidP="007E5119">
                  <w:pPr>
                    <w:pStyle w:val="Boxtext"/>
                    <w:spacing w:before="0"/>
                  </w:pPr>
                  <w:r>
                    <w:t>Waikato Regional Council</w:t>
                  </w:r>
                  <w:r w:rsidR="007C6ED2">
                    <w:t>,</w:t>
                  </w:r>
                  <w:r w:rsidR="007E5119" w:rsidRPr="00655902">
                    <w:t xml:space="preserve"> 2019</w:t>
                  </w:r>
                </w:p>
              </w:tc>
            </w:tr>
          </w:tbl>
          <w:p w14:paraId="641B035A" w14:textId="4D4217B6" w:rsidR="00BC7A64" w:rsidRPr="00345928" w:rsidRDefault="00BC7A64" w:rsidP="007E5119">
            <w:pPr>
              <w:pStyle w:val="Boxtext"/>
              <w:ind w:left="0"/>
            </w:pPr>
          </w:p>
        </w:tc>
      </w:tr>
    </w:tbl>
    <w:p w14:paraId="1ADB9309" w14:textId="77777777" w:rsidR="00BC7A64" w:rsidRDefault="00BC7A64" w:rsidP="00142D51">
      <w:pPr>
        <w:pStyle w:val="BodyText"/>
      </w:pPr>
    </w:p>
    <w:p w14:paraId="1042DB2B" w14:textId="77777777" w:rsidR="007E5119" w:rsidRDefault="007E5119">
      <w:pPr>
        <w:spacing w:before="0" w:after="200" w:line="276" w:lineRule="auto"/>
        <w:jc w:val="left"/>
      </w:pPr>
      <w:r>
        <w:br w:type="page"/>
      </w:r>
    </w:p>
    <w:p w14:paraId="2B97879F" w14:textId="66609FE9" w:rsidR="00142D51" w:rsidRDefault="00142D51" w:rsidP="007E5119">
      <w:pPr>
        <w:pStyle w:val="Heading1"/>
      </w:pPr>
      <w:bookmarkStart w:id="43" w:name="_Toc129957939"/>
      <w:r>
        <w:lastRenderedPageBreak/>
        <w:t xml:space="preserve">Appendix 3: </w:t>
      </w:r>
      <w:r w:rsidR="00A50A8A">
        <w:t>Quick refere</w:t>
      </w:r>
      <w:r w:rsidR="00036C9E">
        <w:t>nce guide</w:t>
      </w:r>
      <w:r w:rsidR="00117276">
        <w:t xml:space="preserve"> to </w:t>
      </w:r>
      <w:r w:rsidR="009D5522">
        <w:t>c</w:t>
      </w:r>
      <w:r>
        <w:t>ritical source area guidance</w:t>
      </w:r>
      <w:bookmarkEnd w:id="43"/>
      <w:r w:rsidR="003B0999">
        <w:t xml:space="preserve"> </w:t>
      </w:r>
    </w:p>
    <w:p w14:paraId="520C826A" w14:textId="51534423" w:rsidR="00FC6808" w:rsidRDefault="00142D51" w:rsidP="00142D51">
      <w:pPr>
        <w:pStyle w:val="BodyText"/>
      </w:pPr>
      <w:r>
        <w:t xml:space="preserve">This </w:t>
      </w:r>
      <w:r w:rsidR="009D5522">
        <w:t xml:space="preserve">is a plain language summary of the </w:t>
      </w:r>
      <w:r w:rsidR="00702C1F">
        <w:t>c</w:t>
      </w:r>
      <w:r>
        <w:t xml:space="preserve">ritical </w:t>
      </w:r>
      <w:r w:rsidR="00702C1F">
        <w:t>s</w:t>
      </w:r>
      <w:r>
        <w:t xml:space="preserve">ource </w:t>
      </w:r>
      <w:r w:rsidR="00702C1F">
        <w:t>a</w:t>
      </w:r>
      <w:r>
        <w:t xml:space="preserve">rea (CSA) </w:t>
      </w:r>
      <w:r w:rsidR="009D5522">
        <w:t xml:space="preserve">guidance </w:t>
      </w:r>
      <w:r w:rsidR="00FC6808">
        <w:t xml:space="preserve">to help farmers identify </w:t>
      </w:r>
      <w:r w:rsidR="009D5522">
        <w:t>and</w:t>
      </w:r>
      <w:r w:rsidR="00E9391C">
        <w:t xml:space="preserve"> </w:t>
      </w:r>
      <w:r w:rsidR="00FC6808">
        <w:t xml:space="preserve">manage critical source areas. </w:t>
      </w:r>
    </w:p>
    <w:p w14:paraId="167E8A2F" w14:textId="1593E0F3" w:rsidR="00571028" w:rsidRDefault="00E759F1" w:rsidP="00142D51">
      <w:pPr>
        <w:pStyle w:val="BodyText"/>
      </w:pPr>
      <w:r>
        <w:t xml:space="preserve">Also refer </w:t>
      </w:r>
      <w:r w:rsidR="00571028">
        <w:t>to the intensive winter grazing module on</w:t>
      </w:r>
      <w:r w:rsidR="00407B56">
        <w:t xml:space="preserve"> </w:t>
      </w:r>
      <w:r>
        <w:t xml:space="preserve">the </w:t>
      </w:r>
      <w:hyperlink r:id="rId49" w:history="1">
        <w:r w:rsidRPr="00E375E7">
          <w:rPr>
            <w:rStyle w:val="Hyperlink"/>
          </w:rPr>
          <w:t>Ministry for Primary Industries’ website</w:t>
        </w:r>
      </w:hyperlink>
      <w:r>
        <w:t>.</w:t>
      </w:r>
    </w:p>
    <w:p w14:paraId="2D528045" w14:textId="77777777" w:rsidR="00142D51" w:rsidRDefault="00142D51" w:rsidP="00CC2348">
      <w:pPr>
        <w:pStyle w:val="Heading4"/>
        <w:spacing w:before="240"/>
      </w:pPr>
      <w:r>
        <w:t>What is intensive winter grazing?</w:t>
      </w:r>
    </w:p>
    <w:p w14:paraId="510F9901" w14:textId="3B26E9BB" w:rsidR="00142D51" w:rsidRDefault="00142D51" w:rsidP="00142D51">
      <w:pPr>
        <w:pStyle w:val="BodyText"/>
      </w:pPr>
      <w:r>
        <w:t>Intensive winter grazing (IWG) refers to the grazing of livestock on an annual forage crop (a crop that is grazed where it is grown, excluding pasture, or a crop that is grown for arable land use or horticultural land use) from 1 May to 30 September.</w:t>
      </w:r>
    </w:p>
    <w:p w14:paraId="5E6D8F35" w14:textId="18BA52B4" w:rsidR="00142D51" w:rsidRDefault="00142D51" w:rsidP="00CC2348">
      <w:pPr>
        <w:pStyle w:val="Heading4"/>
        <w:spacing w:before="240"/>
      </w:pPr>
      <w:r>
        <w:t xml:space="preserve">What are </w:t>
      </w:r>
      <w:r w:rsidR="003B0999">
        <w:t>critical source areas</w:t>
      </w:r>
      <w:r>
        <w:t>?</w:t>
      </w:r>
    </w:p>
    <w:p w14:paraId="2C1BC7E9" w14:textId="103C180C" w:rsidR="00142D51" w:rsidRDefault="00142D51" w:rsidP="00142D51">
      <w:pPr>
        <w:pStyle w:val="BodyText"/>
      </w:pPr>
      <w:r>
        <w:t xml:space="preserve">The defining feature of a </w:t>
      </w:r>
      <w:r w:rsidR="00702C1F">
        <w:t>critical source area</w:t>
      </w:r>
      <w:r>
        <w:t xml:space="preserve"> is the combination of a contaminant source (</w:t>
      </w:r>
      <w:r w:rsidR="003B0999">
        <w:t>eg</w:t>
      </w:r>
      <w:r>
        <w:t>, nutrients, sediment or faecal microorganisms) and a transport pathway (</w:t>
      </w:r>
      <w:r w:rsidR="003B0999">
        <w:t>eg</w:t>
      </w:r>
      <w:r>
        <w:t xml:space="preserve">, overland flow, ephemeral drainage or stream). Most surface </w:t>
      </w:r>
      <w:r w:rsidR="003B0999">
        <w:t>run-off</w:t>
      </w:r>
      <w:r>
        <w:t xml:space="preserve"> is likely to originate within wet areas (</w:t>
      </w:r>
      <w:r w:rsidR="003B0999">
        <w:t>eg</w:t>
      </w:r>
      <w:r>
        <w:t xml:space="preserve">, swales and gullies) where the soil is vulnerable to damage. </w:t>
      </w:r>
    </w:p>
    <w:p w14:paraId="40D0FF73" w14:textId="065AA35B" w:rsidR="00142D51" w:rsidRDefault="00142D51" w:rsidP="007E5119">
      <w:pPr>
        <w:pStyle w:val="Quote"/>
      </w:pPr>
      <w:r>
        <w:t xml:space="preserve">According to the IWG regulations, a CSA is defined as a landscape feature that accumulates surface </w:t>
      </w:r>
      <w:r w:rsidR="003B0999">
        <w:t>run-off</w:t>
      </w:r>
      <w:r>
        <w:t xml:space="preserve"> from adjacent land; and delivers, or has the potential to deliver, 1 or more contaminants to 1 or more rivers, lakes, wetlands, or drains, or their beds. </w:t>
      </w:r>
    </w:p>
    <w:p w14:paraId="2CE4B565" w14:textId="0960CAA3" w:rsidR="00142D51" w:rsidRDefault="009D5522" w:rsidP="00142D51">
      <w:pPr>
        <w:pStyle w:val="BodyText"/>
      </w:pPr>
      <w:r>
        <w:t xml:space="preserve">Intensive winter grazing </w:t>
      </w:r>
      <w:r w:rsidR="00142D51">
        <w:t xml:space="preserve">generates contaminants </w:t>
      </w:r>
      <w:r>
        <w:t>by livestock depositing</w:t>
      </w:r>
      <w:r w:rsidR="00142D51">
        <w:t xml:space="preserve"> dung and urine in a concentrated area and </w:t>
      </w:r>
      <w:r>
        <w:t xml:space="preserve">also </w:t>
      </w:r>
      <w:r w:rsidR="00142D51">
        <w:t>via animal treading, which often causes pugging damage and the dislodging of soil particles.</w:t>
      </w:r>
    </w:p>
    <w:p w14:paraId="5D0FBCA1" w14:textId="77777777" w:rsidR="00142D51" w:rsidRDefault="00142D51" w:rsidP="00CC2348">
      <w:pPr>
        <w:pStyle w:val="Heading4"/>
        <w:spacing w:before="240"/>
      </w:pPr>
      <w:r>
        <w:t>What are the conditions for permitted activities?</w:t>
      </w:r>
    </w:p>
    <w:p w14:paraId="3FC45DA1" w14:textId="010EE2CA" w:rsidR="00142D51" w:rsidRDefault="00142D51" w:rsidP="00142D51">
      <w:pPr>
        <w:pStyle w:val="BodyText"/>
      </w:pPr>
      <w:r>
        <w:t xml:space="preserve">Conditions for permitted </w:t>
      </w:r>
      <w:r w:rsidR="009D5522">
        <w:t xml:space="preserve">intensive winter grazing </w:t>
      </w:r>
      <w:r>
        <w:t>activities must meet all the following conditions for slope, area and livestock exclusion:</w:t>
      </w:r>
    </w:p>
    <w:p w14:paraId="6B48CDF7" w14:textId="49DE56B3" w:rsidR="00142D51" w:rsidRDefault="00142D51" w:rsidP="007E5119">
      <w:pPr>
        <w:pStyle w:val="Bullet"/>
      </w:pPr>
      <w:r w:rsidRPr="00294C39">
        <w:rPr>
          <w:b/>
          <w:bCs/>
        </w:rPr>
        <w:t>The area</w:t>
      </w:r>
      <w:r>
        <w:t xml:space="preserve"> of the farm that is used for intensive winter grazing must be no greater than 50 </w:t>
      </w:r>
      <w:r w:rsidR="009D5522">
        <w:t xml:space="preserve">hectares </w:t>
      </w:r>
      <w:r>
        <w:t>or 10</w:t>
      </w:r>
      <w:r w:rsidR="00323C49">
        <w:t xml:space="preserve"> per cent</w:t>
      </w:r>
      <w:r>
        <w:t xml:space="preserve"> of the area of the farm, whichever is greater. </w:t>
      </w:r>
    </w:p>
    <w:p w14:paraId="63126CD2" w14:textId="71B0E5BB" w:rsidR="00142D51" w:rsidRDefault="00142D51" w:rsidP="007E5119">
      <w:pPr>
        <w:pStyle w:val="Bullet"/>
      </w:pPr>
      <w:r w:rsidRPr="00294C39">
        <w:rPr>
          <w:b/>
          <w:bCs/>
        </w:rPr>
        <w:t>The slope</w:t>
      </w:r>
      <w:r>
        <w:t xml:space="preserve"> of any land under an annual forage crop that is used for intensive winter grazing must be 10 degrees or less, determined by measuring the slope over any 20</w:t>
      </w:r>
      <w:r w:rsidR="00545437">
        <w:t>-</w:t>
      </w:r>
      <w:r>
        <w:t>m</w:t>
      </w:r>
      <w:r w:rsidR="00545437">
        <w:t>etre</w:t>
      </w:r>
      <w:r>
        <w:t xml:space="preserve"> distance of the land.</w:t>
      </w:r>
    </w:p>
    <w:p w14:paraId="54E5AA4D" w14:textId="585100FE" w:rsidR="00142D51" w:rsidRDefault="00142D51" w:rsidP="007E5119">
      <w:pPr>
        <w:pStyle w:val="Bullet"/>
      </w:pPr>
      <w:r w:rsidRPr="00294C39">
        <w:rPr>
          <w:b/>
          <w:bCs/>
        </w:rPr>
        <w:t>Livestock</w:t>
      </w:r>
      <w:r>
        <w:t xml:space="preserve"> must be kept at least 5 </w:t>
      </w:r>
      <w:r w:rsidR="00545437">
        <w:t>metres</w:t>
      </w:r>
      <w:r>
        <w:t xml:space="preserve"> away from the bed of any river, lake, wetland or surface drain (regardless of whether there is any water in </w:t>
      </w:r>
      <w:r w:rsidR="009D5522">
        <w:t xml:space="preserve">the waterway </w:t>
      </w:r>
      <w:r>
        <w:t>at the time).</w:t>
      </w:r>
    </w:p>
    <w:p w14:paraId="09C3290A" w14:textId="46047B69" w:rsidR="00142D51" w:rsidRDefault="00142D51" w:rsidP="007E5119">
      <w:pPr>
        <w:pStyle w:val="Bullet"/>
      </w:pPr>
      <w:r>
        <w:t xml:space="preserve">From </w:t>
      </w:r>
      <w:r w:rsidRPr="00294C39">
        <w:rPr>
          <w:b/>
          <w:bCs/>
        </w:rPr>
        <w:t>1 May to 30 September</w:t>
      </w:r>
      <w:r>
        <w:t xml:space="preserve"> of any year, in relation to any critical source area that is within, or adjacent to, any area of land that is used for intensive winter grazing on a farm:</w:t>
      </w:r>
    </w:p>
    <w:p w14:paraId="1F0A08AD" w14:textId="1284E7F0" w:rsidR="00142D51" w:rsidRDefault="00142D51" w:rsidP="00CC2348">
      <w:pPr>
        <w:pStyle w:val="Sub-list"/>
      </w:pPr>
      <w:r>
        <w:t>the critical source area must not be grazed</w:t>
      </w:r>
    </w:p>
    <w:p w14:paraId="5EFB967C" w14:textId="369FE744" w:rsidR="00142D51" w:rsidRDefault="00142D51" w:rsidP="00CC2348">
      <w:pPr>
        <w:pStyle w:val="Sub-list"/>
      </w:pPr>
      <w:r>
        <w:lastRenderedPageBreak/>
        <w:t>vegetation must be maintained as groundcover over the whole critical source area</w:t>
      </w:r>
    </w:p>
    <w:p w14:paraId="74C8F161" w14:textId="1F7F78B2" w:rsidR="00142D51" w:rsidRDefault="00142D51" w:rsidP="00CC2348">
      <w:pPr>
        <w:pStyle w:val="Sub-list"/>
      </w:pPr>
      <w:r>
        <w:t>maintaining that vegetation must not include any cultivation or harvesting of annual forage crops.</w:t>
      </w:r>
    </w:p>
    <w:p w14:paraId="5BE10A60" w14:textId="1E54235B" w:rsidR="00142D51" w:rsidRDefault="00142D51" w:rsidP="00607C18">
      <w:pPr>
        <w:pStyle w:val="Heading4"/>
        <w:spacing w:after="240"/>
      </w:pPr>
      <w:r>
        <w:t xml:space="preserve">Examples of </w:t>
      </w:r>
      <w:r w:rsidR="00702C1F">
        <w:t>critical source area</w:t>
      </w:r>
      <w:r>
        <w:t xml:space="preserve">s specific to </w:t>
      </w:r>
      <w:r w:rsidR="009D5522">
        <w:t>i</w:t>
      </w:r>
      <w:r>
        <w:t xml:space="preserve">ntensive </w:t>
      </w:r>
      <w:r w:rsidR="009D5522">
        <w:t>w</w:t>
      </w:r>
      <w:r>
        <w:t xml:space="preserve">inter </w:t>
      </w:r>
      <w:r w:rsidR="009D5522">
        <w:t>g</w:t>
      </w:r>
      <w:r>
        <w:t>razing</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607C18" w14:paraId="28271FEA" w14:textId="77777777">
        <w:tc>
          <w:tcPr>
            <w:tcW w:w="0" w:type="auto"/>
            <w:shd w:val="clear" w:color="auto" w:fill="D2DDE2"/>
          </w:tcPr>
          <w:p w14:paraId="6FB37972" w14:textId="4C273EE5" w:rsidR="00607C18" w:rsidRPr="00345928" w:rsidRDefault="00607C18">
            <w:pPr>
              <w:pStyle w:val="Boxheading0"/>
            </w:pPr>
            <w:r>
              <w:t>Swale</w:t>
            </w:r>
          </w:p>
          <w:p w14:paraId="4AF965A1" w14:textId="77777777" w:rsidR="00607C18" w:rsidRDefault="00607C18" w:rsidP="00CC2348">
            <w:pPr>
              <w:pStyle w:val="Boxbullet"/>
              <w:spacing w:before="120"/>
            </w:pPr>
            <w:r>
              <w:t xml:space="preserve">Swales are found in lightly sloping to rolling paddocks and concentrate water flows from the surrounding area into a shallow channel. </w:t>
            </w:r>
          </w:p>
          <w:p w14:paraId="5CBC9EE3" w14:textId="1CDD0F69" w:rsidR="00607C18" w:rsidRDefault="00607C18" w:rsidP="00607C18">
            <w:pPr>
              <w:pStyle w:val="Boxbullet"/>
            </w:pPr>
            <w:r>
              <w:t xml:space="preserve">Swales only conduct water during or after rainfall events and may act as </w:t>
            </w:r>
            <w:r w:rsidR="009D5522">
              <w:t xml:space="preserve">temporary </w:t>
            </w:r>
            <w:r>
              <w:t xml:space="preserve">flow paths connecting contaminants with waterbodies. </w:t>
            </w:r>
          </w:p>
          <w:p w14:paraId="4B285CA8" w14:textId="67A4EF35" w:rsidR="00607C18" w:rsidRDefault="00607C18" w:rsidP="00607C18">
            <w:pPr>
              <w:pStyle w:val="Boxbullet"/>
            </w:pPr>
            <w:r>
              <w:t xml:space="preserve">Soils in this part of the paddock are often very wet, possibly marshy and are thus at substantial risk of generating </w:t>
            </w:r>
            <w:r w:rsidR="003B0999">
              <w:t>run-off</w:t>
            </w:r>
            <w:r>
              <w:t xml:space="preserve"> during rain events.</w:t>
            </w:r>
          </w:p>
          <w:p w14:paraId="5C9D01F0" w14:textId="3D79A9B5" w:rsidR="00607C18" w:rsidRDefault="00607C18" w:rsidP="00607C18">
            <w:pPr>
              <w:pStyle w:val="Boxtext"/>
              <w:ind w:left="1059" w:hanging="775"/>
              <w:rPr>
                <w:b/>
                <w:bCs/>
              </w:rPr>
            </w:pPr>
            <w:r w:rsidRPr="00607C18">
              <w:rPr>
                <w:b/>
                <w:bCs/>
              </w:rPr>
              <w:t>Photo:</w:t>
            </w:r>
            <w:r w:rsidRPr="00607C18">
              <w:rPr>
                <w:b/>
                <w:bCs/>
              </w:rPr>
              <w:tab/>
              <w:t xml:space="preserve">Sheep grazing a winter forage crop, with an unprotected, grazed swale. The swale is evidenced by the </w:t>
            </w:r>
            <w:r w:rsidR="009D5522">
              <w:rPr>
                <w:b/>
                <w:bCs/>
              </w:rPr>
              <w:t>temporary</w:t>
            </w:r>
            <w:r w:rsidR="009D5522" w:rsidRPr="00607C18">
              <w:rPr>
                <w:b/>
                <w:bCs/>
              </w:rPr>
              <w:t xml:space="preserve"> </w:t>
            </w:r>
            <w:r w:rsidRPr="00607C18">
              <w:rPr>
                <w:b/>
                <w:bCs/>
              </w:rPr>
              <w:t>waterway snaking its way through the bare, grazed soil in the middle of the photo. (Note this photo was taken before IWG regulations came into effect).</w:t>
            </w:r>
          </w:p>
          <w:p w14:paraId="7160C309" w14:textId="748CB5EE" w:rsidR="00607C18" w:rsidRPr="00607C18" w:rsidRDefault="00F864E1" w:rsidP="00607C18">
            <w:pPr>
              <w:pStyle w:val="Boxtext"/>
            </w:pPr>
            <w:r>
              <w:rPr>
                <w:noProof/>
              </w:rPr>
              <w:drawing>
                <wp:inline distT="0" distB="0" distL="0" distR="0" wp14:anchorId="552C5FE6" wp14:editId="5F29D254">
                  <wp:extent cx="4880344" cy="2314186"/>
                  <wp:effectExtent l="0" t="0" r="0" b="0"/>
                  <wp:docPr id="28" name="Picture 28" descr="Sheep grazing a winter forage crop, with an unprotected, grazed sw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heep grazing a winter forage crop, with an unprotected, grazed swale. "/>
                          <pic:cNvPicPr/>
                        </pic:nvPicPr>
                        <pic:blipFill rotWithShape="1">
                          <a:blip r:embed="rId50" cstate="print">
                            <a:extLst>
                              <a:ext uri="{28A0092B-C50C-407E-A947-70E740481C1C}">
                                <a14:useLocalDpi xmlns:a14="http://schemas.microsoft.com/office/drawing/2010/main"/>
                              </a:ext>
                            </a:extLst>
                          </a:blip>
                          <a:srcRect/>
                          <a:stretch/>
                        </pic:blipFill>
                        <pic:spPr bwMode="auto">
                          <a:xfrm>
                            <a:off x="0" y="0"/>
                            <a:ext cx="4906140" cy="2326418"/>
                          </a:xfrm>
                          <a:prstGeom prst="rect">
                            <a:avLst/>
                          </a:prstGeom>
                          <a:ln>
                            <a:noFill/>
                          </a:ln>
                          <a:extLst>
                            <a:ext uri="{53640926-AAD7-44D8-BBD7-CCE9431645EC}">
                              <a14:shadowObscured xmlns:a14="http://schemas.microsoft.com/office/drawing/2010/main"/>
                            </a:ext>
                          </a:extLst>
                        </pic:spPr>
                      </pic:pic>
                    </a:graphicData>
                  </a:graphic>
                </wp:inline>
              </w:drawing>
            </w:r>
          </w:p>
        </w:tc>
      </w:tr>
    </w:tbl>
    <w:p w14:paraId="56AA2909" w14:textId="65A20656" w:rsidR="009D5522" w:rsidRDefault="009D5522" w:rsidP="00607C18">
      <w:pPr>
        <w:pStyle w:val="BodyText"/>
      </w:pPr>
      <w:r>
        <w:t xml:space="preserve"> </w:t>
      </w: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F864E1" w14:paraId="21804FE1" w14:textId="77777777">
        <w:tc>
          <w:tcPr>
            <w:tcW w:w="0" w:type="auto"/>
            <w:shd w:val="clear" w:color="auto" w:fill="D2DDE2"/>
          </w:tcPr>
          <w:p w14:paraId="09193BD2" w14:textId="39C87204" w:rsidR="00F864E1" w:rsidRPr="00345928" w:rsidRDefault="00F864E1">
            <w:pPr>
              <w:pStyle w:val="Boxheading0"/>
            </w:pPr>
            <w:r>
              <w:lastRenderedPageBreak/>
              <w:t>Gully</w:t>
            </w:r>
          </w:p>
          <w:p w14:paraId="0A0DC1BF" w14:textId="02E7101B" w:rsidR="00F864E1" w:rsidRDefault="00F864E1" w:rsidP="00CC2348">
            <w:pPr>
              <w:pStyle w:val="Boxbullet"/>
              <w:spacing w:before="120"/>
            </w:pPr>
            <w:r>
              <w:t xml:space="preserve">In contrast to a shallow swale, a gully is </w:t>
            </w:r>
            <w:r w:rsidR="009D5522">
              <w:t xml:space="preserve">a </w:t>
            </w:r>
            <w:r>
              <w:t xml:space="preserve">deep trench, or channel, where the soil has been carried away, exposing bare ground. </w:t>
            </w:r>
          </w:p>
          <w:p w14:paraId="4CCE6D17" w14:textId="711D8005" w:rsidR="00F864E1" w:rsidRDefault="00F864E1" w:rsidP="00F864E1">
            <w:pPr>
              <w:pStyle w:val="Boxbullet"/>
            </w:pPr>
            <w:r>
              <w:t xml:space="preserve">On sloping land, shallow gullies sometimes form where surface </w:t>
            </w:r>
            <w:r w:rsidR="003B0999">
              <w:t>run-off</w:t>
            </w:r>
            <w:r>
              <w:t xml:space="preserve"> from vegetated ground flows onto patches of bare soil. The </w:t>
            </w:r>
            <w:r w:rsidR="003B0999">
              <w:t>run-off</w:t>
            </w:r>
            <w:r>
              <w:t xml:space="preserve"> picks up soil particles, initially rilling the bare surface (Hicks, 1995). </w:t>
            </w:r>
            <w:r w:rsidR="009D5522">
              <w:t>The rills deepen w</w:t>
            </w:r>
            <w:r>
              <w:t>ith each subsequent rainfall event, eventually forming gullies which cut back and undermine surrounding earth. Very deep gullies can form on hill country if the underlying base is weathered rock</w:t>
            </w:r>
            <w:r w:rsidR="00C516A2">
              <w:t>,</w:t>
            </w:r>
            <w:r>
              <w:t xml:space="preserve"> rich in clay.</w:t>
            </w:r>
          </w:p>
          <w:p w14:paraId="263BE7BE" w14:textId="2EA2F1E7" w:rsidR="00F864E1" w:rsidRDefault="00F864E1" w:rsidP="00F864E1">
            <w:pPr>
              <w:pStyle w:val="Boxbullet"/>
            </w:pPr>
            <w:r>
              <w:t>Small, shallow gullies are of main concern for grazed winter cropping, as deeper gullies are unlikely to be sown in a winter forage crop, and do not meet the permitted slope conditions of less than 10</w:t>
            </w:r>
            <w:r w:rsidR="00545437">
              <w:t xml:space="preserve"> degrees</w:t>
            </w:r>
            <w:r>
              <w:t xml:space="preserve">. However, if deeper gullies are </w:t>
            </w:r>
            <w:r w:rsidR="009D5522">
              <w:t xml:space="preserve">next </w:t>
            </w:r>
            <w:r>
              <w:t xml:space="preserve">to winter grazing areas, appropriate management should be in place to protect these areas from livestock grazing (see </w:t>
            </w:r>
            <w:hyperlink w:anchor="_6.2_Managing_critical" w:history="1">
              <w:r w:rsidRPr="00C81E68">
                <w:rPr>
                  <w:rStyle w:val="Hyperlink"/>
                </w:rPr>
                <w:t>section 6.2</w:t>
              </w:r>
            </w:hyperlink>
            <w:r>
              <w:t>).</w:t>
            </w:r>
          </w:p>
          <w:p w14:paraId="7A3A002C" w14:textId="14809ED7" w:rsidR="00F864E1" w:rsidRDefault="00F864E1">
            <w:pPr>
              <w:pStyle w:val="Boxtext"/>
              <w:ind w:left="1059" w:hanging="775"/>
              <w:rPr>
                <w:b/>
                <w:bCs/>
              </w:rPr>
            </w:pPr>
            <w:r w:rsidRPr="00607C18">
              <w:rPr>
                <w:b/>
                <w:bCs/>
              </w:rPr>
              <w:t>Photo:</w:t>
            </w:r>
            <w:r w:rsidRPr="00607C18">
              <w:rPr>
                <w:b/>
                <w:bCs/>
              </w:rPr>
              <w:tab/>
            </w:r>
            <w:r w:rsidRPr="00F864E1">
              <w:rPr>
                <w:b/>
                <w:bCs/>
              </w:rPr>
              <w:t>Post</w:t>
            </w:r>
            <w:r w:rsidR="00C516A2">
              <w:rPr>
                <w:b/>
                <w:bCs/>
              </w:rPr>
              <w:t>-</w:t>
            </w:r>
            <w:r w:rsidRPr="00F864E1">
              <w:rPr>
                <w:b/>
                <w:bCs/>
              </w:rPr>
              <w:t>winter grazing of an unprotected gully. (Note this photo was taken before IWG regulations came into effect).</w:t>
            </w:r>
          </w:p>
          <w:p w14:paraId="1E258C33" w14:textId="5E498018" w:rsidR="00F864E1" w:rsidRPr="00607C18" w:rsidRDefault="00DC04C0">
            <w:pPr>
              <w:pStyle w:val="Boxtext"/>
            </w:pPr>
            <w:r>
              <w:rPr>
                <w:noProof/>
              </w:rPr>
              <w:drawing>
                <wp:inline distT="0" distB="0" distL="0" distR="0" wp14:anchorId="44C41447" wp14:editId="21CF1B76">
                  <wp:extent cx="4869711" cy="2323732"/>
                  <wp:effectExtent l="0" t="0" r="7620" b="635"/>
                  <wp:docPr id="8" name="Picture 8" descr="An unprotected gully is grazed by catt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n unprotected gully is grazed by cattle. "/>
                          <pic:cNvPicPr/>
                        </pic:nvPicPr>
                        <pic:blipFill rotWithShape="1">
                          <a:blip r:embed="rId51">
                            <a:extLst>
                              <a:ext uri="{28A0092B-C50C-407E-A947-70E740481C1C}">
                                <a14:useLocalDpi xmlns:a14="http://schemas.microsoft.com/office/drawing/2010/main" val="0"/>
                              </a:ext>
                            </a:extLst>
                          </a:blip>
                          <a:srcRect/>
                          <a:stretch/>
                        </pic:blipFill>
                        <pic:spPr bwMode="auto">
                          <a:xfrm>
                            <a:off x="0" y="0"/>
                            <a:ext cx="4869711" cy="2323732"/>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852BED" w14:textId="77777777" w:rsidR="00F864E1" w:rsidRDefault="00F864E1" w:rsidP="00F864E1">
      <w:pPr>
        <w:pStyle w:val="BodyText"/>
      </w:pPr>
    </w:p>
    <w:tbl>
      <w:tblPr>
        <w:tblStyle w:val="TableGrid"/>
        <w:tblW w:w="8505" w:type="dxa"/>
        <w:tblInd w:w="108"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1C6AFD" w14:paraId="2C12583B" w14:textId="77777777">
        <w:tc>
          <w:tcPr>
            <w:tcW w:w="0" w:type="auto"/>
            <w:shd w:val="clear" w:color="auto" w:fill="D2DDE2"/>
          </w:tcPr>
          <w:p w14:paraId="332AAD1A" w14:textId="5C99682F" w:rsidR="00DC04C0" w:rsidRPr="00345928" w:rsidRDefault="00DC04C0">
            <w:pPr>
              <w:pStyle w:val="Boxheading0"/>
            </w:pPr>
            <w:r>
              <w:lastRenderedPageBreak/>
              <w:t>Depression</w:t>
            </w:r>
          </w:p>
          <w:p w14:paraId="0A9CCD7C" w14:textId="064D45B1" w:rsidR="00DC04C0" w:rsidRDefault="00DC04C0" w:rsidP="00635E56">
            <w:pPr>
              <w:pStyle w:val="Boxbullet"/>
              <w:spacing w:before="120"/>
            </w:pPr>
            <w:r>
              <w:t xml:space="preserve">A depression is a low, possibly marshy area in the landscape that becomes saturated periodically. </w:t>
            </w:r>
          </w:p>
          <w:p w14:paraId="14E83CD4" w14:textId="2E86F0D6" w:rsidR="00592AAE" w:rsidRDefault="00592AAE" w:rsidP="00DC04C0">
            <w:pPr>
              <w:pStyle w:val="Boxbullet"/>
            </w:pPr>
            <w:r w:rsidRPr="00592AAE">
              <w:t>During and after rainfall, depressions may connect to waterways through temporary flow paths. These can create pollution downstream.</w:t>
            </w:r>
          </w:p>
          <w:p w14:paraId="26421C3E" w14:textId="7B828601" w:rsidR="00DC04C0" w:rsidRDefault="00DC04C0" w:rsidP="00DC04C0">
            <w:pPr>
              <w:pStyle w:val="Boxbullet"/>
            </w:pPr>
            <w:r>
              <w:t xml:space="preserve">Depressions vary in both size and depth and are most easily identified by the presence of temporary standing water (or ponding) during wetter months. </w:t>
            </w:r>
          </w:p>
          <w:p w14:paraId="6F4F624C" w14:textId="5D70440F" w:rsidR="00DC04C0" w:rsidRDefault="00DC04C0">
            <w:pPr>
              <w:pStyle w:val="Boxtext"/>
              <w:ind w:left="1059" w:hanging="775"/>
              <w:rPr>
                <w:b/>
                <w:bCs/>
              </w:rPr>
            </w:pPr>
            <w:r w:rsidRPr="00607C18">
              <w:rPr>
                <w:b/>
                <w:bCs/>
              </w:rPr>
              <w:t>Photo:</w:t>
            </w:r>
            <w:r w:rsidRPr="00607C18">
              <w:rPr>
                <w:b/>
                <w:bCs/>
              </w:rPr>
              <w:tab/>
            </w:r>
            <w:r w:rsidRPr="00DC04C0">
              <w:rPr>
                <w:b/>
                <w:bCs/>
              </w:rPr>
              <w:t>A grazed depression with bare soil and erodible sediment in the centre of the photo. (Note this photo was taken before IWG regulations came into effect.)</w:t>
            </w:r>
          </w:p>
          <w:p w14:paraId="537AE0E3" w14:textId="63134BA0" w:rsidR="00DC04C0" w:rsidRPr="00607C18" w:rsidRDefault="001C6AFD">
            <w:pPr>
              <w:pStyle w:val="Boxtext"/>
            </w:pPr>
            <w:r>
              <w:rPr>
                <w:noProof/>
              </w:rPr>
              <w:drawing>
                <wp:inline distT="0" distB="0" distL="0" distR="0" wp14:anchorId="76491BA7" wp14:editId="7B329E9F">
                  <wp:extent cx="4880344" cy="2771447"/>
                  <wp:effectExtent l="0" t="0" r="0" b="0"/>
                  <wp:docPr id="14" name="Picture 14" descr="A grazed depression with bare soil and erodible sediment in the centre of the pho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azed depression with bare soil and erodible sediment in the centre of the photo.  "/>
                          <pic:cNvPicPr>
                            <a:picLocks noChangeAspect="1" noChangeArrowheads="1"/>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4913608" cy="279033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6CF9B43" w14:textId="77777777" w:rsidR="00DC04C0" w:rsidRDefault="00DC04C0" w:rsidP="00DC04C0">
      <w:pPr>
        <w:pStyle w:val="BodyText"/>
      </w:pPr>
    </w:p>
    <w:p w14:paraId="727613DD" w14:textId="77777777" w:rsidR="00375C59" w:rsidRPr="006B77BB" w:rsidRDefault="00375C59">
      <w:pPr>
        <w:spacing w:before="0" w:after="200" w:line="276" w:lineRule="auto"/>
        <w:jc w:val="left"/>
      </w:pPr>
      <w:r w:rsidRPr="006B77BB">
        <w:br w:type="page"/>
      </w:r>
    </w:p>
    <w:p w14:paraId="3CF3D243" w14:textId="2E7C7B48" w:rsidR="00B51610" w:rsidRPr="006B77BB" w:rsidRDefault="00B51610" w:rsidP="00585FD0">
      <w:pPr>
        <w:pStyle w:val="Heading1"/>
      </w:pPr>
      <w:bookmarkStart w:id="44" w:name="_Toc129957940"/>
      <w:r w:rsidRPr="00170368">
        <w:lastRenderedPageBreak/>
        <w:t>References</w:t>
      </w:r>
      <w:bookmarkEnd w:id="44"/>
    </w:p>
    <w:p w14:paraId="6400C5F3" w14:textId="1C433095" w:rsidR="009C37F5" w:rsidRDefault="009C37F5" w:rsidP="009C37F5">
      <w:pPr>
        <w:pStyle w:val="References"/>
      </w:pPr>
      <w:r>
        <w:t xml:space="preserve">Betteridge K, Andrewes WGK, Sedcole JR. 1986. </w:t>
      </w:r>
      <w:r w:rsidRPr="009C5827">
        <w:t>Intake and excretion of nitrogen, potassium and phosphorus by grazing steers</w:t>
      </w:r>
      <w:r w:rsidRPr="00D8716B">
        <w:t xml:space="preserve">. </w:t>
      </w:r>
      <w:r w:rsidRPr="009C5827">
        <w:rPr>
          <w:i/>
          <w:iCs/>
        </w:rPr>
        <w:t>The Journal of Agricultural Science</w:t>
      </w:r>
      <w:r>
        <w:t xml:space="preserve"> 106: 393</w:t>
      </w:r>
      <w:r w:rsidR="00D456F6">
        <w:t>–</w:t>
      </w:r>
      <w:r>
        <w:t>404.</w:t>
      </w:r>
    </w:p>
    <w:p w14:paraId="0CB6F5A4" w14:textId="26AF5589" w:rsidR="009C37F5" w:rsidRDefault="009C37F5" w:rsidP="009C37F5">
      <w:pPr>
        <w:pStyle w:val="References"/>
      </w:pPr>
      <w:r>
        <w:t xml:space="preserve">Beven K, Kirkby MJ. 1979. </w:t>
      </w:r>
      <w:r w:rsidRPr="003725D7">
        <w:t>A physically based, variable contributing area model of basin hydrology</w:t>
      </w:r>
      <w:r>
        <w:t xml:space="preserve">. </w:t>
      </w:r>
      <w:r w:rsidRPr="003725D7">
        <w:rPr>
          <w:i/>
          <w:iCs/>
        </w:rPr>
        <w:t>Hydrological Science Bulletin</w:t>
      </w:r>
      <w:r>
        <w:t xml:space="preserve"> 24: 43</w:t>
      </w:r>
      <w:r w:rsidR="00D456F6">
        <w:t>–</w:t>
      </w:r>
      <w:r>
        <w:t>69.</w:t>
      </w:r>
    </w:p>
    <w:p w14:paraId="61FA3971" w14:textId="6A600B3D" w:rsidR="009C37F5" w:rsidRDefault="009C37F5" w:rsidP="009C37F5">
      <w:pPr>
        <w:pStyle w:val="References"/>
      </w:pPr>
      <w:r>
        <w:t xml:space="preserve">Buczko U, Kuchenbuch RO. 2007. </w:t>
      </w:r>
      <w:r w:rsidRPr="003725D7">
        <w:t>Phosphorus indices as risk-assessment tools in the USA and Europe—a review</w:t>
      </w:r>
      <w:r w:rsidRPr="00D8716B">
        <w:t>.</w:t>
      </w:r>
      <w:r>
        <w:t xml:space="preserve"> </w:t>
      </w:r>
      <w:r w:rsidRPr="003725D7">
        <w:rPr>
          <w:i/>
          <w:iCs/>
        </w:rPr>
        <w:t>Journal of Plant Nutrition and Soil Science</w:t>
      </w:r>
      <w:r>
        <w:t xml:space="preserve"> 170(4): 445</w:t>
      </w:r>
      <w:r w:rsidR="00D456F6">
        <w:t>–</w:t>
      </w:r>
      <w:r>
        <w:t>460.</w:t>
      </w:r>
    </w:p>
    <w:p w14:paraId="577A8BFA" w14:textId="39E05BC4" w:rsidR="009C37F5" w:rsidRDefault="009C37F5" w:rsidP="009C37F5">
      <w:pPr>
        <w:pStyle w:val="References"/>
      </w:pPr>
      <w:r>
        <w:t xml:space="preserve">Carpenter SR, Caraco NF, Correll DL, Howarth RW, Sharpley AN, Smith VH. 1998. </w:t>
      </w:r>
      <w:r w:rsidRPr="003725D7">
        <w:t>Nonpoint pollution of surface waters with phosphorus and nitrogen</w:t>
      </w:r>
      <w:r w:rsidRPr="00D8716B">
        <w:t>.</w:t>
      </w:r>
      <w:r>
        <w:t xml:space="preserve"> </w:t>
      </w:r>
      <w:r w:rsidRPr="003725D7">
        <w:rPr>
          <w:i/>
          <w:iCs/>
        </w:rPr>
        <w:t>Ecological Applications</w:t>
      </w:r>
      <w:r>
        <w:t xml:space="preserve"> 8(3): 559</w:t>
      </w:r>
      <w:r w:rsidR="00D456F6">
        <w:t>–</w:t>
      </w:r>
      <w:r>
        <w:t>568.</w:t>
      </w:r>
    </w:p>
    <w:p w14:paraId="1358CD31" w14:textId="5C862082" w:rsidR="009C37F5" w:rsidRDefault="009C37F5" w:rsidP="009C37F5">
      <w:pPr>
        <w:pStyle w:val="References"/>
      </w:pPr>
      <w:r w:rsidRPr="00E04C11">
        <w:t>Clarkson</w:t>
      </w:r>
      <w:r w:rsidRPr="00F42D51">
        <w:t xml:space="preserve"> BR. 2014. </w:t>
      </w:r>
      <w:r w:rsidRPr="004A6B1B">
        <w:rPr>
          <w:i/>
          <w:iCs/>
        </w:rPr>
        <w:t>A vegetation tool for wetland delineation in New Zealand</w:t>
      </w:r>
      <w:r w:rsidRPr="00F42D51">
        <w:rPr>
          <w:i/>
          <w:iCs/>
        </w:rPr>
        <w:t xml:space="preserve">. </w:t>
      </w:r>
      <w:r w:rsidR="00D23DA6" w:rsidRPr="0000052A">
        <w:t>Manaaki Whenua –</w:t>
      </w:r>
      <w:r w:rsidR="00D23DA6" w:rsidRPr="00F42D51">
        <w:rPr>
          <w:i/>
          <w:iCs/>
        </w:rPr>
        <w:t xml:space="preserve"> </w:t>
      </w:r>
      <w:r w:rsidRPr="00F42D51">
        <w:t>Landcare Research</w:t>
      </w:r>
      <w:r w:rsidR="006E67F1">
        <w:t xml:space="preserve"> for Meridian Energy Ltd</w:t>
      </w:r>
      <w:r w:rsidR="00F42D51" w:rsidRPr="00E04C11">
        <w:t>.</w:t>
      </w:r>
      <w:r w:rsidR="006E67F1">
        <w:t xml:space="preserve"> </w:t>
      </w:r>
      <w:r w:rsidR="00E04C11">
        <w:t xml:space="preserve">Lincoln: </w:t>
      </w:r>
      <w:r w:rsidR="00E04C11" w:rsidRPr="0000052A">
        <w:t>Manaaki Whenua –</w:t>
      </w:r>
      <w:r w:rsidR="00E04C11" w:rsidRPr="00F42D51">
        <w:rPr>
          <w:i/>
          <w:iCs/>
        </w:rPr>
        <w:t xml:space="preserve"> </w:t>
      </w:r>
      <w:r w:rsidR="00E04C11" w:rsidRPr="00F42D51">
        <w:t>Landcare Research</w:t>
      </w:r>
      <w:r w:rsidR="00E04C11">
        <w:t>.</w:t>
      </w:r>
    </w:p>
    <w:p w14:paraId="50C47C55" w14:textId="1FD36FCD" w:rsidR="009C37F5" w:rsidRDefault="009C37F5" w:rsidP="009C37F5">
      <w:pPr>
        <w:pStyle w:val="References"/>
      </w:pPr>
      <w:r>
        <w:t xml:space="preserve">Collins R C, Donnison A, Ross C, McLeod M. 2004. </w:t>
      </w:r>
      <w:r w:rsidRPr="00FA0105">
        <w:t>Attenuation of effluent-derived faecal microbes in grass buffer strips</w:t>
      </w:r>
      <w:r w:rsidRPr="00774AA1">
        <w:t xml:space="preserve">. </w:t>
      </w:r>
      <w:r w:rsidRPr="00FA0105">
        <w:rPr>
          <w:i/>
          <w:iCs/>
        </w:rPr>
        <w:t>New Zealand Journal of Agricultural Research</w:t>
      </w:r>
      <w:r>
        <w:t xml:space="preserve"> 47</w:t>
      </w:r>
      <w:r w:rsidR="00D456F6">
        <w:t xml:space="preserve">: </w:t>
      </w:r>
      <w:r>
        <w:t>565–574.</w:t>
      </w:r>
    </w:p>
    <w:p w14:paraId="1CE2B72D" w14:textId="556562D4" w:rsidR="009C37F5" w:rsidRDefault="009C37F5" w:rsidP="009C37F5">
      <w:pPr>
        <w:pStyle w:val="References"/>
      </w:pPr>
      <w:r>
        <w:t xml:space="preserve">Cooper AB, Smith CM, Smith MJ. 1995. </w:t>
      </w:r>
      <w:r w:rsidRPr="00FA0105">
        <w:t>Effects of riparian set-aside on soil characteristics in an agricultural landscape: Implications for nutrient transport and retention</w:t>
      </w:r>
      <w:r w:rsidRPr="00774AA1">
        <w:t>.</w:t>
      </w:r>
      <w:r>
        <w:t xml:space="preserve"> </w:t>
      </w:r>
      <w:r w:rsidRPr="00FA0105">
        <w:rPr>
          <w:i/>
          <w:iCs/>
        </w:rPr>
        <w:t>Agricultural, Ecosystems and Environments</w:t>
      </w:r>
      <w:r>
        <w:t xml:space="preserve"> 55: 61–67.</w:t>
      </w:r>
    </w:p>
    <w:p w14:paraId="4099FB36" w14:textId="16B687E0" w:rsidR="009C37F5" w:rsidRDefault="009C37F5" w:rsidP="009C37F5">
      <w:pPr>
        <w:pStyle w:val="References"/>
      </w:pPr>
      <w:r>
        <w:t xml:space="preserve">Curran-Cournane F, McDowell RW, Condron LM. 2010. </w:t>
      </w:r>
      <w:r w:rsidRPr="00FA0105">
        <w:t xml:space="preserve">Do aggregation, treading and dung deposition affect phosphorus and suspended sediment losses in surface </w:t>
      </w:r>
      <w:r w:rsidR="003B0999" w:rsidRPr="00FA0105">
        <w:t>run-off</w:t>
      </w:r>
      <w:r w:rsidRPr="00FA0105">
        <w:t>?</w:t>
      </w:r>
      <w:r>
        <w:t xml:space="preserve"> </w:t>
      </w:r>
      <w:r w:rsidRPr="00FA0105">
        <w:rPr>
          <w:i/>
          <w:iCs/>
        </w:rPr>
        <w:t>Australian Journal of Soil Research</w:t>
      </w:r>
      <w:r>
        <w:t xml:space="preserve"> 48</w:t>
      </w:r>
      <w:r w:rsidR="00774AA1">
        <w:t>(8)</w:t>
      </w:r>
      <w:r>
        <w:t>, 705–712. doi:10.1071/SR10043</w:t>
      </w:r>
    </w:p>
    <w:p w14:paraId="6E47137E" w14:textId="6B7ECF32" w:rsidR="009C37F5" w:rsidRDefault="009C37F5" w:rsidP="009C37F5">
      <w:pPr>
        <w:pStyle w:val="References"/>
      </w:pPr>
      <w:r>
        <w:t xml:space="preserve">Curran-Cournane F, McDowell RW, Littlejohn R, Condron LM. 2011. </w:t>
      </w:r>
      <w:r w:rsidRPr="00FA0105">
        <w:t xml:space="preserve">Effects of cattle, sheep and deer grazing on soil physical quality and losses of phosphorus and suspended sediment losses in surface </w:t>
      </w:r>
      <w:r w:rsidR="003B0999" w:rsidRPr="00FA0105">
        <w:t>run-off</w:t>
      </w:r>
      <w:r w:rsidRPr="0051665F">
        <w:t xml:space="preserve">. </w:t>
      </w:r>
      <w:r w:rsidRPr="00FA0105">
        <w:rPr>
          <w:i/>
          <w:iCs/>
        </w:rPr>
        <w:t>Agriculture, Ecosystems &amp; Environment</w:t>
      </w:r>
      <w:r>
        <w:t xml:space="preserve"> 140:</w:t>
      </w:r>
      <w:r w:rsidR="00D456F6">
        <w:t xml:space="preserve"> </w:t>
      </w:r>
      <w:r>
        <w:t>264–272.</w:t>
      </w:r>
    </w:p>
    <w:p w14:paraId="37C3B08D" w14:textId="1E5D0C93" w:rsidR="009C37F5" w:rsidRDefault="009C37F5" w:rsidP="009C37F5">
      <w:pPr>
        <w:pStyle w:val="References"/>
      </w:pPr>
      <w:r>
        <w:t xml:space="preserve">Davies-Colley RJ, Nagels JW, Smith RA, Young RG, Phillips CJ. 2004. </w:t>
      </w:r>
      <w:r w:rsidRPr="00FA0105">
        <w:t>Water quality impact of a dairy cow herd crossing a stream</w:t>
      </w:r>
      <w:r w:rsidRPr="0051665F">
        <w:t>.</w:t>
      </w:r>
      <w:r>
        <w:t xml:space="preserve"> </w:t>
      </w:r>
      <w:r w:rsidRPr="00FA0105">
        <w:rPr>
          <w:i/>
          <w:iCs/>
        </w:rPr>
        <w:t>New Zealand Journal of Marine and Freshwater Research</w:t>
      </w:r>
      <w:r>
        <w:t xml:space="preserve"> 38: 569</w:t>
      </w:r>
      <w:r w:rsidR="00D456F6">
        <w:t>–</w:t>
      </w:r>
      <w:r>
        <w:t>576.</w:t>
      </w:r>
    </w:p>
    <w:p w14:paraId="6958DABA" w14:textId="3AF483F2" w:rsidR="009C37F5" w:rsidRDefault="009C37F5" w:rsidP="009C37F5">
      <w:pPr>
        <w:pStyle w:val="References"/>
      </w:pPr>
      <w:r>
        <w:t xml:space="preserve">Di HJ, Cameron KC. 2002. </w:t>
      </w:r>
      <w:r w:rsidRPr="00FA0105">
        <w:t>Nitrate leaching in temperate agroecosystems: source, factors and mitigating strategies</w:t>
      </w:r>
      <w:r w:rsidRPr="0051665F">
        <w:t>.</w:t>
      </w:r>
      <w:r>
        <w:t xml:space="preserve"> </w:t>
      </w:r>
      <w:r w:rsidRPr="00FA0105">
        <w:rPr>
          <w:i/>
          <w:iCs/>
        </w:rPr>
        <w:t>Nutrient Cycling in Agroecosystems</w:t>
      </w:r>
      <w:r>
        <w:t xml:space="preserve"> 46: 237–256. </w:t>
      </w:r>
    </w:p>
    <w:p w14:paraId="10CBF2AE" w14:textId="5DF7E2CD" w:rsidR="009C37F5" w:rsidRDefault="009C37F5" w:rsidP="009C37F5">
      <w:pPr>
        <w:pStyle w:val="References"/>
      </w:pPr>
      <w:r>
        <w:t xml:space="preserve">Dillaha TA, Reneau RB, Mostaghimi S, Lee D. 1989. </w:t>
      </w:r>
      <w:r w:rsidRPr="00BF0D41">
        <w:rPr>
          <w:i/>
          <w:iCs/>
        </w:rPr>
        <w:t>Vegetative filter strips for agricultural nonpoint source pollution control</w:t>
      </w:r>
      <w:r>
        <w:t>. Transactions of American Society of Agricultural and Biological Engineers 32(2):</w:t>
      </w:r>
      <w:r w:rsidR="00D23DA6">
        <w:t xml:space="preserve"> </w:t>
      </w:r>
      <w:r>
        <w:t>513-519.</w:t>
      </w:r>
    </w:p>
    <w:p w14:paraId="2C00BA37" w14:textId="6E457FDB" w:rsidR="000C6A57" w:rsidRDefault="000C6A57" w:rsidP="000C6A57">
      <w:pPr>
        <w:pStyle w:val="References"/>
      </w:pPr>
      <w:r>
        <w:t xml:space="preserve">Dosskey MG, Eisnhauer DE, Helmers MJ. 2005. </w:t>
      </w:r>
      <w:r w:rsidRPr="00837340">
        <w:t>Establishing conservation buffers using precision information</w:t>
      </w:r>
      <w:r>
        <w:t xml:space="preserve">. </w:t>
      </w:r>
      <w:r w:rsidRPr="00837340">
        <w:rPr>
          <w:i/>
          <w:iCs/>
        </w:rPr>
        <w:t>Journal of Soil and Water Conservation</w:t>
      </w:r>
      <w:r>
        <w:t xml:space="preserve"> 60(6): 349–354.</w:t>
      </w:r>
    </w:p>
    <w:p w14:paraId="0BC206B7" w14:textId="65457783" w:rsidR="009C37F5" w:rsidRDefault="009C37F5" w:rsidP="009C37F5">
      <w:pPr>
        <w:pStyle w:val="References"/>
      </w:pPr>
      <w:r>
        <w:t xml:space="preserve">Dosskey MG, Helmers MJ, Eisnhauer DE, Franti TG, Hoagland KD. 2002. </w:t>
      </w:r>
      <w:r w:rsidRPr="00837340">
        <w:t>Assessment of concentrated flow through riparian buffers</w:t>
      </w:r>
      <w:r>
        <w:t xml:space="preserve">. </w:t>
      </w:r>
      <w:r w:rsidRPr="00837340">
        <w:rPr>
          <w:i/>
          <w:iCs/>
        </w:rPr>
        <w:t>Journal of Soil and Water Conservation</w:t>
      </w:r>
      <w:r>
        <w:t xml:space="preserve"> 57(6): 336–343.</w:t>
      </w:r>
    </w:p>
    <w:p w14:paraId="11F93631" w14:textId="52295ADF" w:rsidR="000C6A57" w:rsidRDefault="000C6A57" w:rsidP="000C6A57">
      <w:pPr>
        <w:pStyle w:val="References"/>
      </w:pPr>
      <w:r>
        <w:t xml:space="preserve">Drewry JJ, Cameron KC, Buchan GD. 2008. </w:t>
      </w:r>
      <w:r w:rsidRPr="00837340">
        <w:t>Pasture yield and soil physical property response</w:t>
      </w:r>
      <w:r w:rsidR="000A6A83">
        <w:t>s</w:t>
      </w:r>
      <w:r w:rsidRPr="00837340">
        <w:t xml:space="preserve"> to soil compaction from treading and grazing – a review</w:t>
      </w:r>
      <w:r w:rsidRPr="0084010A">
        <w:t>.</w:t>
      </w:r>
      <w:r>
        <w:t xml:space="preserve"> </w:t>
      </w:r>
      <w:r w:rsidRPr="00837340">
        <w:rPr>
          <w:i/>
          <w:iCs/>
        </w:rPr>
        <w:t>Australian Journal of Soil Research</w:t>
      </w:r>
      <w:r>
        <w:t xml:space="preserve"> 46: 237–256.</w:t>
      </w:r>
    </w:p>
    <w:p w14:paraId="5F1E18F4" w14:textId="16AA551C" w:rsidR="009C37F5" w:rsidRDefault="009C37F5" w:rsidP="009C37F5">
      <w:pPr>
        <w:pStyle w:val="References"/>
      </w:pPr>
      <w:r>
        <w:t xml:space="preserve">Drewry JJ, Paton RJ. 2005. </w:t>
      </w:r>
      <w:r w:rsidRPr="00837340">
        <w:t>Soil physical quality under cattle grazing of a winter-fed brassica crop</w:t>
      </w:r>
      <w:r w:rsidRPr="00BF0D41">
        <w:rPr>
          <w:i/>
          <w:iCs/>
        </w:rPr>
        <w:t>.</w:t>
      </w:r>
      <w:r>
        <w:t xml:space="preserve"> </w:t>
      </w:r>
      <w:r w:rsidRPr="00837340">
        <w:rPr>
          <w:i/>
          <w:iCs/>
        </w:rPr>
        <w:t>Australian Journal of Soil Research</w:t>
      </w:r>
      <w:r>
        <w:t xml:space="preserve"> 43:</w:t>
      </w:r>
      <w:r w:rsidR="00D456F6">
        <w:t xml:space="preserve"> </w:t>
      </w:r>
      <w:r>
        <w:t>525–531.</w:t>
      </w:r>
    </w:p>
    <w:p w14:paraId="2204C4E4" w14:textId="1C44333F" w:rsidR="009C37F5" w:rsidRDefault="009C37F5" w:rsidP="009C37F5">
      <w:pPr>
        <w:pStyle w:val="References"/>
      </w:pPr>
      <w:r w:rsidRPr="001D207C">
        <w:t>Fraser</w:t>
      </w:r>
      <w:r w:rsidRPr="00F42D51">
        <w:t xml:space="preserve"> S, Singleton P, Clarkson B. 2018. </w:t>
      </w:r>
      <w:r w:rsidRPr="00F42D51">
        <w:rPr>
          <w:i/>
          <w:iCs/>
        </w:rPr>
        <w:t>Hydric soils – field identification guide</w:t>
      </w:r>
      <w:r w:rsidRPr="00F42D51">
        <w:t xml:space="preserve">. </w:t>
      </w:r>
      <w:r w:rsidR="001D207C">
        <w:t xml:space="preserve">Lincoln: </w:t>
      </w:r>
      <w:r w:rsidR="00D23DA6" w:rsidRPr="00F42D51">
        <w:t xml:space="preserve">Manaaki Whenua </w:t>
      </w:r>
      <w:r w:rsidR="00D23DA6" w:rsidRPr="00F42D51">
        <w:rPr>
          <w:rFonts w:cs="Calibri"/>
        </w:rPr>
        <w:t xml:space="preserve">– </w:t>
      </w:r>
      <w:r w:rsidR="00D23DA6" w:rsidRPr="00F42D51">
        <w:t>Landcare Research</w:t>
      </w:r>
      <w:r w:rsidR="00F42D51" w:rsidRPr="001D207C">
        <w:t>.</w:t>
      </w:r>
    </w:p>
    <w:p w14:paraId="2C02184D" w14:textId="41C67B3D" w:rsidR="009C37F5" w:rsidRDefault="009C37F5" w:rsidP="009C37F5">
      <w:pPr>
        <w:pStyle w:val="References"/>
      </w:pPr>
      <w:r>
        <w:t xml:space="preserve">Freeze AR. 1974. </w:t>
      </w:r>
      <w:r w:rsidRPr="0073739E">
        <w:t>Streamflow generation</w:t>
      </w:r>
      <w:r w:rsidRPr="0073739E">
        <w:rPr>
          <w:i/>
          <w:iCs/>
        </w:rPr>
        <w:t>.</w:t>
      </w:r>
      <w:r>
        <w:t xml:space="preserve"> </w:t>
      </w:r>
      <w:r w:rsidRPr="00D5341C">
        <w:rPr>
          <w:i/>
          <w:iCs/>
        </w:rPr>
        <w:t>Reviews of Geophysics and Space Physics</w:t>
      </w:r>
      <w:r>
        <w:t xml:space="preserve"> 12: 627</w:t>
      </w:r>
      <w:r w:rsidR="00D456F6">
        <w:t>–</w:t>
      </w:r>
      <w:r>
        <w:t>647.</w:t>
      </w:r>
    </w:p>
    <w:p w14:paraId="4D13ECAD" w14:textId="63F71D60" w:rsidR="000C6A57" w:rsidRDefault="000C6A57" w:rsidP="000C6A57">
      <w:pPr>
        <w:pStyle w:val="References"/>
      </w:pPr>
      <w:r>
        <w:t xml:space="preserve">Gburek WJ, Drungil CC, Srinivisan MS, Needelman BA, Woodward DE. 2002. </w:t>
      </w:r>
      <w:r w:rsidRPr="00D13C72">
        <w:t>Variable-source-area controls on phosphorus transport: Bridging the gap between research and design</w:t>
      </w:r>
      <w:r w:rsidRPr="00462B78">
        <w:t>.</w:t>
      </w:r>
      <w:r>
        <w:t xml:space="preserve"> </w:t>
      </w:r>
      <w:r w:rsidRPr="00D13C72">
        <w:rPr>
          <w:i/>
          <w:iCs/>
        </w:rPr>
        <w:t>Journal of Soil and Water Conservation</w:t>
      </w:r>
      <w:r>
        <w:t xml:space="preserve"> 57(6): 534–543.</w:t>
      </w:r>
    </w:p>
    <w:p w14:paraId="676B01A9" w14:textId="4E67AC70" w:rsidR="009C37F5" w:rsidRDefault="009C37F5" w:rsidP="009C37F5">
      <w:pPr>
        <w:pStyle w:val="References"/>
      </w:pPr>
      <w:r>
        <w:lastRenderedPageBreak/>
        <w:t xml:space="preserve">Gburek WJ, Sharpley AN, Heathwaite L, Folmar GJ. 2000. </w:t>
      </w:r>
      <w:r w:rsidRPr="00D13C72">
        <w:t>Phosphorus management at the watershed scale: A modification of the phosphorus index</w:t>
      </w:r>
      <w:r w:rsidRPr="009315F3">
        <w:t>.</w:t>
      </w:r>
      <w:r>
        <w:t xml:space="preserve"> </w:t>
      </w:r>
      <w:r w:rsidRPr="00D13C72">
        <w:rPr>
          <w:i/>
          <w:iCs/>
        </w:rPr>
        <w:t>Journal of Environmental Quality</w:t>
      </w:r>
      <w:r>
        <w:t xml:space="preserve"> 29: 130</w:t>
      </w:r>
      <w:r w:rsidR="00D456F6">
        <w:t>–</w:t>
      </w:r>
      <w:r>
        <w:t>144.</w:t>
      </w:r>
    </w:p>
    <w:p w14:paraId="16A79759" w14:textId="4CCED263" w:rsidR="009C37F5" w:rsidRDefault="009C37F5" w:rsidP="009C37F5">
      <w:pPr>
        <w:pStyle w:val="References"/>
      </w:pPr>
      <w:r>
        <w:t xml:space="preserve">Gebrehanna MM, Gordon RJ, Madani A, VanderZaag AC, Wood JD. 2014. </w:t>
      </w:r>
      <w:r w:rsidRPr="00D13C72">
        <w:t>Silage effluent management: A review</w:t>
      </w:r>
      <w:r w:rsidRPr="009315F3">
        <w:t>.</w:t>
      </w:r>
      <w:r>
        <w:t xml:space="preserve"> </w:t>
      </w:r>
      <w:r w:rsidRPr="00D13C72">
        <w:rPr>
          <w:i/>
          <w:iCs/>
        </w:rPr>
        <w:t>Journal of Environmental Management</w:t>
      </w:r>
      <w:r>
        <w:t xml:space="preserve"> 143:</w:t>
      </w:r>
      <w:r w:rsidR="00D456F6">
        <w:t xml:space="preserve"> </w:t>
      </w:r>
      <w:r>
        <w:t>113</w:t>
      </w:r>
      <w:r w:rsidR="00D456F6">
        <w:t>–</w:t>
      </w:r>
      <w:r>
        <w:t>122.</w:t>
      </w:r>
    </w:p>
    <w:p w14:paraId="3665EFE6" w14:textId="3FE5CB62" w:rsidR="009C37F5" w:rsidRDefault="009C37F5" w:rsidP="009C37F5">
      <w:pPr>
        <w:pStyle w:val="References"/>
      </w:pPr>
      <w:r>
        <w:t xml:space="preserve">Ghimire CP, Appels WM, Grundy L, Ritchie W, Bradley S, Snow V. 2021. </w:t>
      </w:r>
      <w:r w:rsidRPr="00D13C72">
        <w:t>Towards predicting the initiation of overland flow from relatively flat agricultural fields using surface water coverage</w:t>
      </w:r>
      <w:r w:rsidRPr="009315F3">
        <w:t>.</w:t>
      </w:r>
      <w:r>
        <w:t xml:space="preserve"> </w:t>
      </w:r>
      <w:r w:rsidRPr="00D13C72">
        <w:rPr>
          <w:i/>
          <w:iCs/>
        </w:rPr>
        <w:t xml:space="preserve">Journal of Hydrology </w:t>
      </w:r>
      <w:r>
        <w:t>596:</w:t>
      </w:r>
      <w:r w:rsidR="00D456F6">
        <w:t xml:space="preserve"> </w:t>
      </w:r>
      <w:r>
        <w:t xml:space="preserve">126125. </w:t>
      </w:r>
    </w:p>
    <w:p w14:paraId="7FB117BA" w14:textId="6D6DB099" w:rsidR="009C37F5" w:rsidRDefault="009C37F5" w:rsidP="009C37F5">
      <w:pPr>
        <w:pStyle w:val="References"/>
      </w:pPr>
      <w:r>
        <w:t xml:space="preserve">Grabs T, Seibert J, Bishop K, Laudon H. 2009. </w:t>
      </w:r>
      <w:r w:rsidRPr="00D13C72">
        <w:t>Modelling spatial patterns of saturated areas: A comparison of the topographic wetness and a dynamic distributed model.</w:t>
      </w:r>
      <w:r>
        <w:t xml:space="preserve"> </w:t>
      </w:r>
      <w:r w:rsidRPr="00D13C72">
        <w:rPr>
          <w:i/>
          <w:iCs/>
        </w:rPr>
        <w:t>Journal of Hydrology</w:t>
      </w:r>
      <w:r>
        <w:t xml:space="preserve"> 373: 15–23.</w:t>
      </w:r>
    </w:p>
    <w:p w14:paraId="47E83E38" w14:textId="11B756E9" w:rsidR="009C37F5" w:rsidRDefault="009C37F5" w:rsidP="009C37F5">
      <w:pPr>
        <w:pStyle w:val="References"/>
      </w:pPr>
      <w:r w:rsidRPr="00F42D51">
        <w:t xml:space="preserve">Hicks L. 1995. </w:t>
      </w:r>
      <w:r w:rsidRPr="00F42D51">
        <w:rPr>
          <w:i/>
          <w:iCs/>
        </w:rPr>
        <w:t>Control of soil erosion on farmland.</w:t>
      </w:r>
      <w:r w:rsidRPr="00F42D51">
        <w:t xml:space="preserve"> </w:t>
      </w:r>
      <w:r w:rsidR="0050339C">
        <w:t>Wellington: Ministry of Agriculture</w:t>
      </w:r>
      <w:r w:rsidRPr="00F42D51">
        <w:t xml:space="preserve">. </w:t>
      </w:r>
    </w:p>
    <w:p w14:paraId="33A7C9BB" w14:textId="20AB38B0" w:rsidR="009C37F5" w:rsidRDefault="009C37F5" w:rsidP="009C37F5">
      <w:pPr>
        <w:pStyle w:val="References"/>
      </w:pPr>
      <w:r>
        <w:t xml:space="preserve">Hively WD, Bryant BR, Fahey TJ. 2005. </w:t>
      </w:r>
      <w:r w:rsidRPr="00D13C72">
        <w:t>Phosphorus concentrations in overland flow from diverse locations on a New York dairy farm</w:t>
      </w:r>
      <w:r w:rsidRPr="009315F3">
        <w:t xml:space="preserve">. </w:t>
      </w:r>
      <w:r w:rsidRPr="00D13C72">
        <w:rPr>
          <w:i/>
          <w:iCs/>
        </w:rPr>
        <w:t>Journal of Environmental Quality</w:t>
      </w:r>
      <w:r>
        <w:t xml:space="preserve"> 34: 1224</w:t>
      </w:r>
      <w:r w:rsidR="00D456F6">
        <w:t>–</w:t>
      </w:r>
      <w:r>
        <w:t>1233.</w:t>
      </w:r>
    </w:p>
    <w:p w14:paraId="46F2C72D" w14:textId="333235BF" w:rsidR="009C37F5" w:rsidRDefault="009C37F5" w:rsidP="009C37F5">
      <w:pPr>
        <w:pStyle w:val="References"/>
      </w:pPr>
      <w:r>
        <w:t>Houlbrooke DJ, Paton RJ, Morton JD, Littlejohn RP. 2009.</w:t>
      </w:r>
      <w:r w:rsidRPr="00BF0D41">
        <w:rPr>
          <w:i/>
          <w:iCs/>
        </w:rPr>
        <w:t xml:space="preserve"> </w:t>
      </w:r>
      <w:r w:rsidRPr="00D13C72">
        <w:t>Soil quality and plant yield under dryland and irrigated winter forage crops grazed by sheep or cattle</w:t>
      </w:r>
      <w:r w:rsidRPr="009315F3">
        <w:t>.</w:t>
      </w:r>
      <w:r>
        <w:t xml:space="preserve"> </w:t>
      </w:r>
      <w:r w:rsidRPr="00D13C72">
        <w:rPr>
          <w:i/>
          <w:iCs/>
        </w:rPr>
        <w:t>Australian Journal of Soil Research</w:t>
      </w:r>
      <w:r>
        <w:t>. 47:</w:t>
      </w:r>
      <w:r w:rsidR="00D456F6">
        <w:t xml:space="preserve"> </w:t>
      </w:r>
      <w:r>
        <w:t>470–477.</w:t>
      </w:r>
    </w:p>
    <w:p w14:paraId="6ACFE4AF" w14:textId="761CC7CB" w:rsidR="009C37F5" w:rsidRDefault="009C37F5" w:rsidP="009C37F5">
      <w:pPr>
        <w:pStyle w:val="References"/>
      </w:pPr>
      <w:r>
        <w:t xml:space="preserve">Hu W, Beare M, Tregurtha C, Gillespie R, Lehto K, Tregurtha R, Gosden P, Glasson S, Dellow S, George M. 2020. </w:t>
      </w:r>
      <w:r w:rsidRPr="00D13C72">
        <w:t>Effects of tillage, compaction and nitrogen inputs on crop production and nitrogen losses following simulated forage crop grazing</w:t>
      </w:r>
      <w:r>
        <w:t xml:space="preserve">. </w:t>
      </w:r>
      <w:r w:rsidRPr="00D13C72">
        <w:rPr>
          <w:i/>
          <w:iCs/>
        </w:rPr>
        <w:t>Agriculture Ecosystems &amp; Environment</w:t>
      </w:r>
      <w:r>
        <w:t xml:space="preserve"> 289: 106733</w:t>
      </w:r>
    </w:p>
    <w:p w14:paraId="4484F786" w14:textId="266B9AA6" w:rsidR="009C37F5" w:rsidRDefault="009C37F5" w:rsidP="009C37F5">
      <w:pPr>
        <w:pStyle w:val="References"/>
      </w:pPr>
      <w:r>
        <w:t>Hudson NW. 1981.</w:t>
      </w:r>
      <w:r w:rsidRPr="00BF0D41">
        <w:rPr>
          <w:i/>
          <w:iCs/>
        </w:rPr>
        <w:t xml:space="preserve"> Soil Conservation</w:t>
      </w:r>
      <w:r w:rsidR="007557EB">
        <w:t xml:space="preserve">: pp </w:t>
      </w:r>
      <w:r>
        <w:t>161</w:t>
      </w:r>
      <w:r w:rsidR="00D456F6">
        <w:t>–</w:t>
      </w:r>
      <w:r>
        <w:t xml:space="preserve">189. </w:t>
      </w:r>
      <w:r w:rsidR="009315F3">
        <w:t>Ith</w:t>
      </w:r>
      <w:r w:rsidR="00E95890">
        <w:t>a</w:t>
      </w:r>
      <w:r w:rsidR="009315F3">
        <w:t>ca, New York</w:t>
      </w:r>
      <w:r w:rsidR="00E95890">
        <w:t xml:space="preserve">: </w:t>
      </w:r>
      <w:r>
        <w:t>Cornell University Press.</w:t>
      </w:r>
    </w:p>
    <w:p w14:paraId="3C18A386" w14:textId="20D7B4B6" w:rsidR="009C37F5" w:rsidRDefault="009C37F5" w:rsidP="009C37F5">
      <w:pPr>
        <w:pStyle w:val="References"/>
      </w:pPr>
      <w:r>
        <w:t xml:space="preserve">Lucci GM, McDowell RW, Condron LM. 2010. </w:t>
      </w:r>
      <w:r w:rsidRPr="00F775BA">
        <w:t>Potential phosphorus and sediment loads from sources within a dairy farmed catchment</w:t>
      </w:r>
      <w:r>
        <w:t xml:space="preserve">. </w:t>
      </w:r>
      <w:r w:rsidRPr="00F775BA">
        <w:rPr>
          <w:i/>
          <w:iCs/>
        </w:rPr>
        <w:t>Soil Use and Management</w:t>
      </w:r>
      <w:r>
        <w:t xml:space="preserve"> 26:</w:t>
      </w:r>
      <w:r w:rsidR="00D456F6">
        <w:t xml:space="preserve"> </w:t>
      </w:r>
      <w:r>
        <w:t>44–52.</w:t>
      </w:r>
    </w:p>
    <w:p w14:paraId="18462F56" w14:textId="376D4544" w:rsidR="009C37F5" w:rsidRDefault="009C37F5" w:rsidP="009C37F5">
      <w:pPr>
        <w:pStyle w:val="References"/>
      </w:pPr>
      <w:r>
        <w:t xml:space="preserve">Lucci GM, McDowell RW, Condron LM. 2012. </w:t>
      </w:r>
      <w:r w:rsidRPr="00F775BA">
        <w:t>Phosphorus source areas in a dairy catchment in Otago, New Zealand</w:t>
      </w:r>
      <w:r w:rsidRPr="00E95890">
        <w:t xml:space="preserve">. </w:t>
      </w:r>
      <w:r w:rsidRPr="00F775BA">
        <w:rPr>
          <w:i/>
          <w:iCs/>
        </w:rPr>
        <w:t>Soil Research</w:t>
      </w:r>
      <w:r>
        <w:t xml:space="preserve"> 50: 145–156. </w:t>
      </w:r>
    </w:p>
    <w:p w14:paraId="5792C00C" w14:textId="184B54C3" w:rsidR="009C37F5" w:rsidRDefault="009C37F5" w:rsidP="009C37F5">
      <w:pPr>
        <w:pStyle w:val="References"/>
      </w:pPr>
      <w:r>
        <w:t xml:space="preserve">Malcom BJ, Cameron KC, Beare MH, Carrick ST, Payne JJ, Maley SC, Di HJ, Richards KK, Dalley DE, de Ruiter JM. 2022. </w:t>
      </w:r>
      <w:r w:rsidRPr="00F775BA">
        <w:t>Oat catch crop efficacy on nitrogen leaching varies after forage crop grazing</w:t>
      </w:r>
      <w:r>
        <w:t>.</w:t>
      </w:r>
      <w:r w:rsidRPr="00F775BA">
        <w:rPr>
          <w:i/>
          <w:iCs/>
        </w:rPr>
        <w:t xml:space="preserve"> Nutrient Cycling in Agroecosystems </w:t>
      </w:r>
      <w:r>
        <w:t>122: 273–288.</w:t>
      </w:r>
    </w:p>
    <w:p w14:paraId="563AF464" w14:textId="032F342C" w:rsidR="000C6A57" w:rsidRDefault="000C6A57" w:rsidP="000C6A57">
      <w:pPr>
        <w:pStyle w:val="References"/>
      </w:pPr>
      <w:r>
        <w:t xml:space="preserve">McDowell RW. 2006. </w:t>
      </w:r>
      <w:r w:rsidRPr="00F775BA">
        <w:t>Phosphorus and sediment loss in a catchment with winter forage crop grazing by dairy cattle</w:t>
      </w:r>
      <w:r w:rsidRPr="00E95890">
        <w:t>.</w:t>
      </w:r>
      <w:r>
        <w:t xml:space="preserve"> </w:t>
      </w:r>
      <w:r w:rsidRPr="00F775BA">
        <w:rPr>
          <w:i/>
          <w:iCs/>
        </w:rPr>
        <w:t>Journal of Environmental Quality</w:t>
      </w:r>
      <w:r>
        <w:t xml:space="preserve"> 35: 575–583.</w:t>
      </w:r>
    </w:p>
    <w:p w14:paraId="33DE62FA" w14:textId="7D7F1B81" w:rsidR="009C37F5" w:rsidRDefault="009C37F5" w:rsidP="009C37F5">
      <w:pPr>
        <w:pStyle w:val="References"/>
      </w:pPr>
      <w:r>
        <w:t xml:space="preserve">McDowell RW, Drewry JJ, Muirhead RW, Paton RJ. 2003. </w:t>
      </w:r>
      <w:r w:rsidRPr="00F775BA">
        <w:t>Cattle treading and phosphorus and sediment loss in overland flow from grazed cropland</w:t>
      </w:r>
      <w:r w:rsidRPr="00E95890">
        <w:t xml:space="preserve">. </w:t>
      </w:r>
      <w:r w:rsidRPr="00F775BA">
        <w:rPr>
          <w:i/>
          <w:iCs/>
        </w:rPr>
        <w:t>Australian Journal of Soil Research</w:t>
      </w:r>
      <w:r>
        <w:t xml:space="preserve"> 41: 1521</w:t>
      </w:r>
      <w:r w:rsidR="00D456F6">
        <w:t>–</w:t>
      </w:r>
      <w:r>
        <w:t>1532.</w:t>
      </w:r>
    </w:p>
    <w:p w14:paraId="7A1FA89D" w14:textId="1D2D3381" w:rsidR="009C37F5" w:rsidRDefault="009C37F5" w:rsidP="009C37F5">
      <w:pPr>
        <w:pStyle w:val="References"/>
      </w:pPr>
      <w:r>
        <w:t xml:space="preserve">McDowell RW, Houlbrooke DJ. 2009. </w:t>
      </w:r>
      <w:r w:rsidRPr="00F775BA">
        <w:t>Management options to decrease phosphorus and sediment losses from irrigated cropland grazed by cattle and sheep</w:t>
      </w:r>
      <w:r w:rsidRPr="00E95890">
        <w:t>.</w:t>
      </w:r>
      <w:r>
        <w:t xml:space="preserve"> </w:t>
      </w:r>
      <w:r w:rsidRPr="00F775BA">
        <w:rPr>
          <w:i/>
          <w:iCs/>
        </w:rPr>
        <w:t>Soil Use and Management</w:t>
      </w:r>
      <w:r>
        <w:t xml:space="preserve"> 25:</w:t>
      </w:r>
      <w:r w:rsidR="007557EB">
        <w:t xml:space="preserve"> </w:t>
      </w:r>
      <w:r>
        <w:t>224</w:t>
      </w:r>
      <w:r w:rsidR="00D456F6">
        <w:t>–</w:t>
      </w:r>
      <w:r>
        <w:t>233.</w:t>
      </w:r>
    </w:p>
    <w:p w14:paraId="2B949A07" w14:textId="49EE0DBD" w:rsidR="009C37F5" w:rsidRDefault="009C37F5" w:rsidP="009C37F5">
      <w:pPr>
        <w:pStyle w:val="References"/>
      </w:pPr>
      <w:r>
        <w:t xml:space="preserve">McDowell R, Sharpley A. 2002. </w:t>
      </w:r>
      <w:r w:rsidRPr="00F775BA">
        <w:t>Phosphorus transport in overland flow in response to position of manure application</w:t>
      </w:r>
      <w:r w:rsidRPr="00E95890">
        <w:t>.</w:t>
      </w:r>
      <w:r>
        <w:t xml:space="preserve"> </w:t>
      </w:r>
      <w:r w:rsidRPr="00F775BA">
        <w:rPr>
          <w:i/>
          <w:iCs/>
        </w:rPr>
        <w:t>Journal of Environmental Quality</w:t>
      </w:r>
      <w:r>
        <w:t xml:space="preserve"> 31: 217–227.</w:t>
      </w:r>
    </w:p>
    <w:p w14:paraId="5F97B608" w14:textId="19E2FBF8" w:rsidR="000C6A57" w:rsidRDefault="000C6A57" w:rsidP="000C6A57">
      <w:pPr>
        <w:pStyle w:val="References"/>
      </w:pPr>
      <w:r>
        <w:t>McDowell RW, Srinivasan MS. 2009.</w:t>
      </w:r>
      <w:r w:rsidRPr="00BF0D41">
        <w:rPr>
          <w:i/>
          <w:iCs/>
        </w:rPr>
        <w:t xml:space="preserve"> </w:t>
      </w:r>
      <w:r w:rsidRPr="00F775BA">
        <w:t>Identifying critical source areas for water quality</w:t>
      </w:r>
      <w:r w:rsidR="00E95890">
        <w:t>:</w:t>
      </w:r>
      <w:r w:rsidRPr="00311813">
        <w:t xml:space="preserve"> 2. Validating the approach for phosphorus and sediment losses in grazed headwater catchments</w:t>
      </w:r>
      <w:r w:rsidRPr="00E95890">
        <w:t xml:space="preserve">. </w:t>
      </w:r>
      <w:r w:rsidRPr="00311813">
        <w:rPr>
          <w:i/>
          <w:iCs/>
        </w:rPr>
        <w:t>Journal of Hydrology</w:t>
      </w:r>
      <w:r>
        <w:t xml:space="preserve"> 379(1–2): 68–80.</w:t>
      </w:r>
    </w:p>
    <w:p w14:paraId="7EE5D648" w14:textId="7E88C5C7" w:rsidR="009C37F5" w:rsidRDefault="009C37F5" w:rsidP="009C37F5">
      <w:pPr>
        <w:pStyle w:val="References"/>
      </w:pPr>
      <w:r>
        <w:t xml:space="preserve">McDowell RW, Stevens DR. 2008. </w:t>
      </w:r>
      <w:r w:rsidRPr="00311813">
        <w:t>Potential waterway contamination associated with wintering deer on pastures and forage crops</w:t>
      </w:r>
      <w:r w:rsidRPr="00E95890">
        <w:t xml:space="preserve">. </w:t>
      </w:r>
      <w:r w:rsidRPr="00311813">
        <w:rPr>
          <w:i/>
          <w:iCs/>
        </w:rPr>
        <w:t>New Zealand Journal of Agricultural Research</w:t>
      </w:r>
      <w:r>
        <w:t xml:space="preserve"> 51: 287–90.</w:t>
      </w:r>
    </w:p>
    <w:p w14:paraId="74763707" w14:textId="6D678262" w:rsidR="009C37F5" w:rsidRDefault="009C37F5" w:rsidP="009C37F5">
      <w:pPr>
        <w:pStyle w:val="References"/>
      </w:pPr>
      <w:r>
        <w:t xml:space="preserve">Ministry for the Environment. 2002. </w:t>
      </w:r>
      <w:r w:rsidRPr="00311813">
        <w:rPr>
          <w:i/>
          <w:iCs/>
        </w:rPr>
        <w:t xml:space="preserve">Microbiological </w:t>
      </w:r>
      <w:r w:rsidR="007557EB" w:rsidRPr="00311813">
        <w:rPr>
          <w:i/>
          <w:iCs/>
        </w:rPr>
        <w:t xml:space="preserve">water quality guidelines </w:t>
      </w:r>
      <w:r w:rsidRPr="00311813">
        <w:rPr>
          <w:i/>
          <w:iCs/>
        </w:rPr>
        <w:t xml:space="preserve">for </w:t>
      </w:r>
      <w:r w:rsidR="007557EB" w:rsidRPr="00311813">
        <w:rPr>
          <w:i/>
          <w:iCs/>
        </w:rPr>
        <w:t>marine and freshwater recreational areas</w:t>
      </w:r>
      <w:r w:rsidR="007557EB" w:rsidRPr="00311813">
        <w:t>.</w:t>
      </w:r>
      <w:r w:rsidR="007557EB">
        <w:t xml:space="preserve"> </w:t>
      </w:r>
      <w:r>
        <w:t>Wellington</w:t>
      </w:r>
      <w:r w:rsidR="00E95890">
        <w:t>: Ministry for the Environment.</w:t>
      </w:r>
    </w:p>
    <w:p w14:paraId="7629FF93" w14:textId="3773E12F" w:rsidR="009C37F5" w:rsidRDefault="009C37F5" w:rsidP="009C37F5">
      <w:pPr>
        <w:pStyle w:val="References"/>
      </w:pPr>
      <w:r>
        <w:t xml:space="preserve">Ministry for the Environment. 2019. </w:t>
      </w:r>
      <w:r w:rsidRPr="00BF0D41">
        <w:rPr>
          <w:i/>
          <w:iCs/>
        </w:rPr>
        <w:t>National Planning Standards</w:t>
      </w:r>
      <w:r>
        <w:t xml:space="preserve">. Wellington: Ministry for the Environment. </w:t>
      </w:r>
    </w:p>
    <w:p w14:paraId="443EAA4E" w14:textId="08F3098C" w:rsidR="009C37F5" w:rsidRDefault="009C37F5" w:rsidP="009C37F5">
      <w:pPr>
        <w:pStyle w:val="References"/>
      </w:pPr>
      <w:r>
        <w:t xml:space="preserve">Ministry for the Environment. 2020. </w:t>
      </w:r>
      <w:r w:rsidRPr="00600692">
        <w:rPr>
          <w:i/>
          <w:iCs/>
        </w:rPr>
        <w:t>Regulatory Impact Analysis: Action for healthy waterways Part II: Detailed analysis</w:t>
      </w:r>
      <w:r w:rsidRPr="00600692">
        <w:t>.</w:t>
      </w:r>
      <w:r>
        <w:t xml:space="preserve"> </w:t>
      </w:r>
      <w:r w:rsidR="002E7B8B">
        <w:t>Wellington: Ministry for the Environment.</w:t>
      </w:r>
    </w:p>
    <w:p w14:paraId="33184E93" w14:textId="78C33166" w:rsidR="009C37F5" w:rsidRDefault="009C37F5" w:rsidP="009C37F5">
      <w:pPr>
        <w:pStyle w:val="References"/>
      </w:pPr>
      <w:r>
        <w:lastRenderedPageBreak/>
        <w:t xml:space="preserve">Ministry for the Environment. 2022. </w:t>
      </w:r>
      <w:r w:rsidRPr="00600692">
        <w:rPr>
          <w:i/>
          <w:iCs/>
        </w:rPr>
        <w:t>Intensive winter grazing fact</w:t>
      </w:r>
      <w:r w:rsidR="0038268F" w:rsidRPr="00600692">
        <w:rPr>
          <w:i/>
          <w:iCs/>
        </w:rPr>
        <w:t xml:space="preserve"> </w:t>
      </w:r>
      <w:r w:rsidRPr="00600692">
        <w:rPr>
          <w:i/>
          <w:iCs/>
        </w:rPr>
        <w:t>sheet</w:t>
      </w:r>
      <w:r>
        <w:t xml:space="preserve">. </w:t>
      </w:r>
      <w:r w:rsidR="004D7411">
        <w:t>Wellington: Ministry for the Environment.</w:t>
      </w:r>
    </w:p>
    <w:p w14:paraId="468B27E2" w14:textId="4EE4939F" w:rsidR="009C37F5" w:rsidRDefault="009C37F5" w:rsidP="009C37F5">
      <w:pPr>
        <w:pStyle w:val="References"/>
      </w:pPr>
      <w:r>
        <w:t xml:space="preserve">Moloney M, Fenton O, Daly K. 2020. </w:t>
      </w:r>
      <w:r w:rsidRPr="00600692">
        <w:t>Ranking connectivity risk for phosphorus loss along agricultural drainage ditches</w:t>
      </w:r>
      <w:r w:rsidRPr="00305372">
        <w:t xml:space="preserve">. </w:t>
      </w:r>
      <w:r w:rsidRPr="00600692">
        <w:rPr>
          <w:i/>
          <w:iCs/>
        </w:rPr>
        <w:t>Science of The Total Environment</w:t>
      </w:r>
      <w:r>
        <w:t xml:space="preserve"> 703: 134556.</w:t>
      </w:r>
    </w:p>
    <w:p w14:paraId="6385D1B5" w14:textId="563EF1C2" w:rsidR="009C37F5" w:rsidRDefault="009C37F5" w:rsidP="009C37F5">
      <w:pPr>
        <w:pStyle w:val="References"/>
      </w:pPr>
      <w:r>
        <w:t xml:space="preserve">Monaghan RM, Laurenson S, Dalley DE and Orchiston TS. 2017. </w:t>
      </w:r>
      <w:r w:rsidRPr="00600692">
        <w:t>Grazing strategies for reducing contaminant losses to water from forage crop fields grazed by cattle during winter</w:t>
      </w:r>
      <w:r w:rsidRPr="00305372">
        <w:t>.</w:t>
      </w:r>
      <w:r>
        <w:t xml:space="preserve"> </w:t>
      </w:r>
      <w:r w:rsidRPr="00600692">
        <w:rPr>
          <w:i/>
          <w:iCs/>
        </w:rPr>
        <w:t xml:space="preserve">New Zealand Journal of Agricultural Research </w:t>
      </w:r>
      <w:r>
        <w:t>60(3): 333</w:t>
      </w:r>
      <w:r w:rsidR="00D456F6">
        <w:t>–</w:t>
      </w:r>
      <w:r>
        <w:t>348.</w:t>
      </w:r>
    </w:p>
    <w:p w14:paraId="1FCAE6F8" w14:textId="2072D9FB" w:rsidR="009C37F5" w:rsidRDefault="009C37F5" w:rsidP="009C37F5">
      <w:pPr>
        <w:pStyle w:val="References"/>
      </w:pPr>
      <w:r>
        <w:t xml:space="preserve">Monaghan RM, Smith LC. 2012. </w:t>
      </w:r>
      <w:r w:rsidRPr="00600692">
        <w:t>Contaminant losses in overland flow from dairy farm laneways in southern New Zealand</w:t>
      </w:r>
      <w:r w:rsidRPr="00305372">
        <w:t xml:space="preserve">. </w:t>
      </w:r>
      <w:r w:rsidRPr="00600692">
        <w:rPr>
          <w:i/>
          <w:iCs/>
        </w:rPr>
        <w:t>Agriculture, Ecosystems &amp; Environment</w:t>
      </w:r>
      <w:r>
        <w:t xml:space="preserve"> 159: 170</w:t>
      </w:r>
      <w:r w:rsidR="00D456F6">
        <w:t>–</w:t>
      </w:r>
      <w:r>
        <w:t>175.</w:t>
      </w:r>
    </w:p>
    <w:p w14:paraId="460B863E" w14:textId="3E82B2B6" w:rsidR="009C37F5" w:rsidRDefault="009C37F5" w:rsidP="009C37F5">
      <w:pPr>
        <w:pStyle w:val="References"/>
      </w:pPr>
      <w:r>
        <w:t>Monaghan RM, Smith LC, Muirhead RW</w:t>
      </w:r>
      <w:r w:rsidR="00D456F6">
        <w:t>.</w:t>
      </w:r>
      <w:r>
        <w:t xml:space="preserve"> 2016. </w:t>
      </w:r>
      <w:r w:rsidRPr="00600692">
        <w:t>Pathways of contaminant transfers to water from an artificially-drained soil under intensive grazing by dairy cows</w:t>
      </w:r>
      <w:r w:rsidRPr="00305372">
        <w:t>.</w:t>
      </w:r>
      <w:r>
        <w:t xml:space="preserve"> </w:t>
      </w:r>
      <w:r w:rsidRPr="00600692">
        <w:rPr>
          <w:i/>
          <w:iCs/>
        </w:rPr>
        <w:t>Agriculture, Ecosystems &amp; Environment</w:t>
      </w:r>
      <w:r>
        <w:t xml:space="preserve"> 220: 76</w:t>
      </w:r>
      <w:r w:rsidR="00D456F6">
        <w:t>–</w:t>
      </w:r>
      <w:r>
        <w:t>88</w:t>
      </w:r>
      <w:r w:rsidR="00600692">
        <w:t>.</w:t>
      </w:r>
    </w:p>
    <w:p w14:paraId="4329E3AC" w14:textId="47927811" w:rsidR="009C37F5" w:rsidRDefault="009C37F5" w:rsidP="009C37F5">
      <w:pPr>
        <w:pStyle w:val="References"/>
      </w:pPr>
      <w:r>
        <w:t xml:space="preserve">Muirhead RW, Collins RP, Bremer PJ. 2006. </w:t>
      </w:r>
      <w:r w:rsidRPr="003F5AED">
        <w:t>The association of E. coli and soil particles in overland flow</w:t>
      </w:r>
      <w:r w:rsidRPr="00305372">
        <w:t>.</w:t>
      </w:r>
      <w:r>
        <w:t xml:space="preserve"> </w:t>
      </w:r>
      <w:r w:rsidRPr="001E18F5">
        <w:rPr>
          <w:i/>
          <w:iCs/>
        </w:rPr>
        <w:t>Water Science and Technology</w:t>
      </w:r>
      <w:r>
        <w:t xml:space="preserve"> 54(3): 153</w:t>
      </w:r>
      <w:r w:rsidR="00D456F6">
        <w:t>–</w:t>
      </w:r>
      <w:r>
        <w:t xml:space="preserve">159. </w:t>
      </w:r>
    </w:p>
    <w:p w14:paraId="39100D95" w14:textId="5064F6D5" w:rsidR="009C37F5" w:rsidRDefault="009C37F5" w:rsidP="009C37F5">
      <w:pPr>
        <w:pStyle w:val="References"/>
      </w:pPr>
      <w:r>
        <w:t xml:space="preserve">Mulholland B, Fullen MA. 1991. </w:t>
      </w:r>
      <w:r w:rsidRPr="003F5AED">
        <w:t>Cattle trampling and soil compaction on loamy sands</w:t>
      </w:r>
      <w:r>
        <w:t xml:space="preserve">. </w:t>
      </w:r>
      <w:r w:rsidRPr="003F5AED">
        <w:rPr>
          <w:i/>
          <w:iCs/>
        </w:rPr>
        <w:t xml:space="preserve">Soil Use and Management </w:t>
      </w:r>
      <w:r>
        <w:t>7: 189</w:t>
      </w:r>
      <w:r w:rsidR="00D456F6">
        <w:t>–</w:t>
      </w:r>
      <w:r>
        <w:t>193.</w:t>
      </w:r>
    </w:p>
    <w:p w14:paraId="2CF158F0" w14:textId="1C6C00A3" w:rsidR="000C6A57" w:rsidRDefault="000C6A57" w:rsidP="000C6A57">
      <w:pPr>
        <w:pStyle w:val="References"/>
      </w:pPr>
      <w:r>
        <w:t xml:space="preserve">Nguyen L, Sukias J. 2002. </w:t>
      </w:r>
      <w:r w:rsidRPr="003F5AED">
        <w:t>Phosphorus fractions and retention in drainage ditch sediments receiving surface runoff and subsurface drainage from agricultural catchments in the North Island, New Zealand</w:t>
      </w:r>
      <w:r w:rsidRPr="00091439">
        <w:t>.</w:t>
      </w:r>
      <w:r>
        <w:t xml:space="preserve"> </w:t>
      </w:r>
      <w:r w:rsidRPr="003F5AED">
        <w:rPr>
          <w:i/>
          <w:iCs/>
        </w:rPr>
        <w:t>Agriculture, Ecosystem &amp; Environment</w:t>
      </w:r>
      <w:r>
        <w:t xml:space="preserve"> 92(1): 49–69. </w:t>
      </w:r>
    </w:p>
    <w:p w14:paraId="37E5EDA3" w14:textId="798DE86E" w:rsidR="009C37F5" w:rsidRDefault="009C37F5" w:rsidP="009C37F5">
      <w:pPr>
        <w:pStyle w:val="References"/>
      </w:pPr>
      <w:r>
        <w:t xml:space="preserve">Nguyen ML, Sheath GW, Smith CM, Cooper AB. 1998. </w:t>
      </w:r>
      <w:r w:rsidRPr="003F5AED">
        <w:t>Impact of cattle treading on hill land</w:t>
      </w:r>
      <w:r w:rsidR="000C6A57" w:rsidRPr="003F5AED">
        <w:t>:</w:t>
      </w:r>
      <w:r w:rsidRPr="003F5AED">
        <w:t xml:space="preserve"> 2. Soil physical properties and contaminant </w:t>
      </w:r>
      <w:r w:rsidR="003B0999" w:rsidRPr="003F5AED">
        <w:t>runoff</w:t>
      </w:r>
      <w:r w:rsidRPr="00091439">
        <w:t>.</w:t>
      </w:r>
      <w:r>
        <w:t xml:space="preserve"> </w:t>
      </w:r>
      <w:r w:rsidRPr="003F5AED">
        <w:rPr>
          <w:i/>
          <w:iCs/>
        </w:rPr>
        <w:t>New Zealand Journal of Agricultural Research</w:t>
      </w:r>
      <w:r>
        <w:t xml:space="preserve"> 41: 279</w:t>
      </w:r>
      <w:r w:rsidR="00D456F6">
        <w:t>–</w:t>
      </w:r>
      <w:r>
        <w:t>290.</w:t>
      </w:r>
    </w:p>
    <w:p w14:paraId="765ECDDC" w14:textId="2D8E490C" w:rsidR="009C37F5" w:rsidRDefault="009C37F5" w:rsidP="009C37F5">
      <w:pPr>
        <w:pStyle w:val="References"/>
      </w:pPr>
      <w:r>
        <w:t xml:space="preserve">O’Driscoll M, DeWalle D, Humphrey C Jr and Iverson G. 2019. </w:t>
      </w:r>
      <w:r w:rsidRPr="003F5AED">
        <w:t xml:space="preserve">Groundwater </w:t>
      </w:r>
      <w:r w:rsidR="00091439">
        <w:t>s</w:t>
      </w:r>
      <w:r w:rsidRPr="003F5AED">
        <w:t xml:space="preserve">eeps: Portholes to </w:t>
      </w:r>
      <w:r w:rsidR="007557EB" w:rsidRPr="003F5AED">
        <w:t>evaluate groundwater’s influence on stream water quality</w:t>
      </w:r>
      <w:r w:rsidRPr="00091439">
        <w:t xml:space="preserve">. </w:t>
      </w:r>
      <w:r w:rsidRPr="003F5AED">
        <w:rPr>
          <w:i/>
          <w:iCs/>
        </w:rPr>
        <w:t>Journal of Contemporary Water Research &amp; Education</w:t>
      </w:r>
      <w:r>
        <w:t xml:space="preserve"> 166: 57</w:t>
      </w:r>
      <w:r w:rsidR="00D456F6">
        <w:t>–</w:t>
      </w:r>
      <w:r>
        <w:t>78.</w:t>
      </w:r>
    </w:p>
    <w:p w14:paraId="1CF84D30" w14:textId="6BC0FBD2" w:rsidR="000C6A57" w:rsidRDefault="000C6A57" w:rsidP="000C6A57">
      <w:pPr>
        <w:pStyle w:val="References"/>
      </w:pPr>
      <w:r>
        <w:t xml:space="preserve">Parkyn S, Shaw W, Eades P. 2000. </w:t>
      </w:r>
      <w:r w:rsidRPr="00D87503">
        <w:rPr>
          <w:i/>
          <w:iCs/>
        </w:rPr>
        <w:t>Review of information on riparian buffer widths necessary to support sustainable vegetation and meet aquatic functions</w:t>
      </w:r>
      <w:r>
        <w:t xml:space="preserve">. </w:t>
      </w:r>
      <w:r w:rsidR="003D3874">
        <w:t>Aucklan</w:t>
      </w:r>
      <w:r w:rsidR="005D6F90">
        <w:t>d</w:t>
      </w:r>
      <w:r w:rsidR="003D3874">
        <w:t>: Auckland Regional Council.</w:t>
      </w:r>
    </w:p>
    <w:p w14:paraId="2E0C607E" w14:textId="4CE4B203" w:rsidR="009C37F5" w:rsidRDefault="009C37F5" w:rsidP="009C37F5">
      <w:pPr>
        <w:pStyle w:val="References"/>
      </w:pPr>
      <w:r>
        <w:t xml:space="preserve">Pionke, HB, Gburek WJ, Sharpley AN. 2000. </w:t>
      </w:r>
      <w:r w:rsidRPr="000B53D1">
        <w:t>Critical source area controls on water quality in an agricultural watershed located in the Chesapeake</w:t>
      </w:r>
      <w:r w:rsidRPr="00774B23">
        <w:t>.</w:t>
      </w:r>
      <w:r>
        <w:t xml:space="preserve"> </w:t>
      </w:r>
      <w:r w:rsidRPr="000B53D1">
        <w:rPr>
          <w:i/>
          <w:iCs/>
        </w:rPr>
        <w:t>Ecological Engineering</w:t>
      </w:r>
      <w:r>
        <w:t xml:space="preserve"> 14(4): 325–335.</w:t>
      </w:r>
    </w:p>
    <w:p w14:paraId="12F10B25" w14:textId="7D7D6E37" w:rsidR="009C37F5" w:rsidRDefault="009C37F5" w:rsidP="009C37F5">
      <w:pPr>
        <w:pStyle w:val="References"/>
      </w:pPr>
      <w:r>
        <w:t xml:space="preserve">Quinton JN, Catt JA. 2004. </w:t>
      </w:r>
      <w:r w:rsidRPr="000B53D1">
        <w:t>The</w:t>
      </w:r>
      <w:r w:rsidRPr="00D87503">
        <w:rPr>
          <w:i/>
          <w:iCs/>
        </w:rPr>
        <w:t xml:space="preserve"> effects of minimal tillage and contour cultivation on surface </w:t>
      </w:r>
      <w:r w:rsidR="003B0999">
        <w:rPr>
          <w:i/>
          <w:iCs/>
        </w:rPr>
        <w:t>run-off</w:t>
      </w:r>
      <w:r w:rsidRPr="00D87503">
        <w:rPr>
          <w:i/>
          <w:iCs/>
        </w:rPr>
        <w:t>, soil loss and crop yield in the long-</w:t>
      </w:r>
      <w:r w:rsidR="00D456F6">
        <w:rPr>
          <w:i/>
          <w:iCs/>
        </w:rPr>
        <w:t>t</w:t>
      </w:r>
      <w:r w:rsidRPr="00D87503">
        <w:rPr>
          <w:i/>
          <w:iCs/>
        </w:rPr>
        <w:t>erm Woburn Erosion Reference Experiment on sandy soil at Woburn, England</w:t>
      </w:r>
      <w:r>
        <w:t xml:space="preserve">. </w:t>
      </w:r>
      <w:r w:rsidRPr="000B53D1">
        <w:rPr>
          <w:i/>
          <w:iCs/>
        </w:rPr>
        <w:t>Soil Use and Management</w:t>
      </w:r>
      <w:r>
        <w:t xml:space="preserve"> 20: 343</w:t>
      </w:r>
      <w:r w:rsidR="00D456F6">
        <w:t>–</w:t>
      </w:r>
      <w:r>
        <w:t>349.</w:t>
      </w:r>
    </w:p>
    <w:p w14:paraId="44454E1A" w14:textId="48678D90" w:rsidR="009C37F5" w:rsidRDefault="009C37F5" w:rsidP="009C37F5">
      <w:pPr>
        <w:pStyle w:val="References"/>
      </w:pPr>
      <w:r>
        <w:t>Reaney SM, Mackay EB, Haygarth PM, Fisher M, Molineux A, Potts M, Benskin MH. 2019.</w:t>
      </w:r>
      <w:r w:rsidRPr="000B53D1">
        <w:t xml:space="preserve"> Identifying critical source areas using multiple methods for effective diffuse pollution mitigation</w:t>
      </w:r>
      <w:r w:rsidRPr="00B4444C">
        <w:t xml:space="preserve">. </w:t>
      </w:r>
      <w:r w:rsidRPr="000B53D1">
        <w:rPr>
          <w:i/>
          <w:iCs/>
        </w:rPr>
        <w:t>Journal of Environmental Management</w:t>
      </w:r>
      <w:r>
        <w:t xml:space="preserve"> 250: 109366.</w:t>
      </w:r>
    </w:p>
    <w:p w14:paraId="31D2161C" w14:textId="25853967" w:rsidR="009C37F5" w:rsidRDefault="009C37F5" w:rsidP="009C37F5">
      <w:pPr>
        <w:pStyle w:val="References"/>
      </w:pPr>
      <w:r>
        <w:t xml:space="preserve">Shanafield M, Bourke SA, Zimmer MA, Costigan KH. 2021. </w:t>
      </w:r>
      <w:r w:rsidRPr="000B53D1">
        <w:t>An overview of the hydrology of non-perennial rivers and streams</w:t>
      </w:r>
      <w:r w:rsidRPr="00B4444C">
        <w:t xml:space="preserve">. </w:t>
      </w:r>
      <w:r w:rsidRPr="000B53D1">
        <w:rPr>
          <w:i/>
          <w:iCs/>
        </w:rPr>
        <w:t>WIREs Water</w:t>
      </w:r>
      <w:r>
        <w:t xml:space="preserve"> 8: 1504.</w:t>
      </w:r>
    </w:p>
    <w:p w14:paraId="63A701C4" w14:textId="39D30353" w:rsidR="009C37F5" w:rsidRDefault="009C37F5" w:rsidP="009C37F5">
      <w:pPr>
        <w:pStyle w:val="References"/>
      </w:pPr>
      <w:r>
        <w:t xml:space="preserve">Sheath GW, Carlson WT. 1998. </w:t>
      </w:r>
      <w:r w:rsidRPr="000B53D1">
        <w:t>Impact of cattle treading on hill land</w:t>
      </w:r>
      <w:r w:rsidR="00B4444C">
        <w:t>:</w:t>
      </w:r>
      <w:r w:rsidRPr="000B53D1">
        <w:t xml:space="preserve"> 1. Soil damage patterns and pasture status.</w:t>
      </w:r>
      <w:r>
        <w:t xml:space="preserve"> </w:t>
      </w:r>
      <w:r w:rsidRPr="000B53D1">
        <w:rPr>
          <w:i/>
          <w:iCs/>
        </w:rPr>
        <w:t>New Zealand Journal of Agricultural Research</w:t>
      </w:r>
      <w:r>
        <w:t xml:space="preserve"> 41: 271</w:t>
      </w:r>
      <w:r w:rsidR="00D456F6">
        <w:t>–</w:t>
      </w:r>
      <w:r>
        <w:t>278.</w:t>
      </w:r>
    </w:p>
    <w:p w14:paraId="18FBB4FE" w14:textId="26BA0991" w:rsidR="009C37F5" w:rsidRDefault="009C37F5" w:rsidP="009C37F5">
      <w:pPr>
        <w:pStyle w:val="References"/>
      </w:pPr>
      <w:r>
        <w:t xml:space="preserve">Singleton PL, Boyes M, Addison B. 2000. </w:t>
      </w:r>
      <w:r w:rsidRPr="000B53D1">
        <w:t>Effect of treading by dairy cattle on topsoil physical conditions for six contrasting soil types in Waikato and Northland, New Zealand, with implications for monitoring</w:t>
      </w:r>
      <w:r w:rsidRPr="007836E4">
        <w:t>.</w:t>
      </w:r>
      <w:r>
        <w:t xml:space="preserve"> </w:t>
      </w:r>
      <w:r w:rsidRPr="005F1DB1">
        <w:rPr>
          <w:i/>
          <w:iCs/>
        </w:rPr>
        <w:t>New Zealand Journal of Agricultural Research</w:t>
      </w:r>
      <w:r>
        <w:t xml:space="preserve"> 43: 559</w:t>
      </w:r>
      <w:r w:rsidR="00D456F6">
        <w:t>–</w:t>
      </w:r>
      <w:r>
        <w:t>567.</w:t>
      </w:r>
    </w:p>
    <w:p w14:paraId="0B5B2043" w14:textId="529781F1" w:rsidR="009C37F5" w:rsidRDefault="009C37F5" w:rsidP="009C37F5">
      <w:pPr>
        <w:pStyle w:val="References"/>
      </w:pPr>
      <w:r>
        <w:t xml:space="preserve">Sivertun </w:t>
      </w:r>
      <w:r w:rsidR="007836E4">
        <w:t>Å</w:t>
      </w:r>
      <w:r>
        <w:t xml:space="preserve">, Prange L. 2003. </w:t>
      </w:r>
      <w:r w:rsidRPr="00D87503">
        <w:rPr>
          <w:i/>
          <w:iCs/>
        </w:rPr>
        <w:t>Non</w:t>
      </w:r>
      <w:r w:rsidR="007836E4">
        <w:rPr>
          <w:i/>
          <w:iCs/>
        </w:rPr>
        <w:t>-</w:t>
      </w:r>
      <w:r w:rsidRPr="00D87503">
        <w:rPr>
          <w:i/>
          <w:iCs/>
        </w:rPr>
        <w:t xml:space="preserve">point source critical area analysis in the </w:t>
      </w:r>
      <w:r w:rsidR="007836E4" w:rsidRPr="00D87503">
        <w:rPr>
          <w:i/>
          <w:iCs/>
        </w:rPr>
        <w:t>Gissel</w:t>
      </w:r>
      <w:r w:rsidR="007836E4">
        <w:rPr>
          <w:i/>
          <w:iCs/>
        </w:rPr>
        <w:t>ö</w:t>
      </w:r>
      <w:r w:rsidR="007836E4" w:rsidRPr="00D87503">
        <w:rPr>
          <w:i/>
          <w:iCs/>
        </w:rPr>
        <w:t xml:space="preserve"> </w:t>
      </w:r>
      <w:r w:rsidRPr="00D87503">
        <w:rPr>
          <w:i/>
          <w:iCs/>
        </w:rPr>
        <w:t xml:space="preserve">watershed using GIS. </w:t>
      </w:r>
      <w:r w:rsidRPr="00EF67AB">
        <w:rPr>
          <w:i/>
          <w:iCs/>
        </w:rPr>
        <w:t>Environ</w:t>
      </w:r>
      <w:r w:rsidR="00EF67AB" w:rsidRPr="005F1DB1">
        <w:rPr>
          <w:i/>
          <w:iCs/>
        </w:rPr>
        <w:t>mental</w:t>
      </w:r>
      <w:r w:rsidRPr="005F1DB1">
        <w:rPr>
          <w:i/>
          <w:iCs/>
        </w:rPr>
        <w:t xml:space="preserve"> Modelling </w:t>
      </w:r>
      <w:r w:rsidR="00EF67AB">
        <w:rPr>
          <w:i/>
          <w:iCs/>
        </w:rPr>
        <w:t xml:space="preserve">&amp; </w:t>
      </w:r>
      <w:r w:rsidRPr="005F1DB1">
        <w:rPr>
          <w:i/>
          <w:iCs/>
        </w:rPr>
        <w:t>Software</w:t>
      </w:r>
      <w:r>
        <w:t xml:space="preserve"> </w:t>
      </w:r>
      <w:r w:rsidR="00EF67AB">
        <w:t xml:space="preserve">(2003) </w:t>
      </w:r>
      <w:r>
        <w:t>18:</w:t>
      </w:r>
      <w:r w:rsidR="00D456F6">
        <w:t xml:space="preserve"> </w:t>
      </w:r>
      <w:r>
        <w:t>887</w:t>
      </w:r>
      <w:r w:rsidR="00D456F6">
        <w:t>–</w:t>
      </w:r>
      <w:r>
        <w:t>898.</w:t>
      </w:r>
    </w:p>
    <w:p w14:paraId="41F14F5B" w14:textId="156D15D1" w:rsidR="009C37F5" w:rsidRDefault="009C37F5" w:rsidP="009C37F5">
      <w:pPr>
        <w:pStyle w:val="References"/>
      </w:pPr>
      <w:r>
        <w:t>Smith CM. 1989.</w:t>
      </w:r>
      <w:r w:rsidRPr="00D87503">
        <w:rPr>
          <w:i/>
          <w:iCs/>
        </w:rPr>
        <w:t xml:space="preserve"> </w:t>
      </w:r>
      <w:r w:rsidRPr="005F1DB1">
        <w:t>Riparian pasture retirement effects on sediment, phosphorus and nitrogen in channelised surface run-off from pastures</w:t>
      </w:r>
      <w:r w:rsidRPr="00EF67AB">
        <w:t>.</w:t>
      </w:r>
      <w:r>
        <w:t xml:space="preserve"> </w:t>
      </w:r>
      <w:r w:rsidRPr="005F1DB1">
        <w:rPr>
          <w:i/>
          <w:iCs/>
        </w:rPr>
        <w:t>New Zealand Journal of Marine and Freshwater Research</w:t>
      </w:r>
      <w:r>
        <w:t xml:space="preserve"> 23: 139–146.</w:t>
      </w:r>
    </w:p>
    <w:p w14:paraId="617E258E" w14:textId="37B35618" w:rsidR="009C37F5" w:rsidRDefault="009C37F5" w:rsidP="009C37F5">
      <w:pPr>
        <w:pStyle w:val="References"/>
      </w:pPr>
      <w:r>
        <w:lastRenderedPageBreak/>
        <w:t xml:space="preserve">Smith LC, Monaghan RM. 2003. </w:t>
      </w:r>
      <w:r w:rsidRPr="005F1DB1">
        <w:t>Nitrogen and phosphorus losses in overland flow from a cattle-grazed pasture in Southland</w:t>
      </w:r>
      <w:r w:rsidRPr="00EF67AB">
        <w:t xml:space="preserve">. </w:t>
      </w:r>
      <w:r w:rsidRPr="005F1DB1">
        <w:rPr>
          <w:i/>
          <w:iCs/>
        </w:rPr>
        <w:t>New Zealand Journal of Agricultural Research</w:t>
      </w:r>
      <w:r>
        <w:t xml:space="preserve"> 46: </w:t>
      </w:r>
      <w:r w:rsidR="00D456F6">
        <w:t xml:space="preserve"> </w:t>
      </w:r>
      <w:r>
        <w:t>225</w:t>
      </w:r>
      <w:r w:rsidR="00D456F6">
        <w:t>–</w:t>
      </w:r>
      <w:r>
        <w:t>237.</w:t>
      </w:r>
    </w:p>
    <w:p w14:paraId="3F73AE13" w14:textId="41A5AE57" w:rsidR="009C37F5" w:rsidRDefault="009C37F5" w:rsidP="009C37F5">
      <w:pPr>
        <w:pStyle w:val="References"/>
      </w:pPr>
      <w:r>
        <w:t xml:space="preserve">Soil Conservation Service. 1972. </w:t>
      </w:r>
      <w:r w:rsidRPr="00D87503">
        <w:rPr>
          <w:i/>
          <w:iCs/>
        </w:rPr>
        <w:t>Hydrology</w:t>
      </w:r>
      <w:r>
        <w:t>. In: National engineering handbook, Section 4. Washington DC</w:t>
      </w:r>
      <w:r w:rsidR="0020663A">
        <w:t xml:space="preserve">: </w:t>
      </w:r>
      <w:r>
        <w:t xml:space="preserve">USDA Soil Conservation Service. </w:t>
      </w:r>
    </w:p>
    <w:p w14:paraId="53E9E18C" w14:textId="27B74DB5" w:rsidR="009C37F5" w:rsidRDefault="009C37F5" w:rsidP="009C37F5">
      <w:pPr>
        <w:pStyle w:val="References"/>
      </w:pPr>
      <w:r>
        <w:t xml:space="preserve">Srinivasan MS, McDowell RW. 2007. </w:t>
      </w:r>
      <w:r w:rsidRPr="005F1DB1">
        <w:t>Hydrological approaches to the delineation of critica</w:t>
      </w:r>
      <w:r w:rsidR="007557EB" w:rsidRPr="005F1DB1">
        <w:t xml:space="preserve">l </w:t>
      </w:r>
      <w:r w:rsidRPr="005F1DB1">
        <w:t xml:space="preserve">source areas of </w:t>
      </w:r>
      <w:r w:rsidR="003B0999" w:rsidRPr="005F1DB1">
        <w:t>run-off</w:t>
      </w:r>
      <w:r w:rsidRPr="0020663A">
        <w:t>.</w:t>
      </w:r>
      <w:r>
        <w:t xml:space="preserve"> </w:t>
      </w:r>
      <w:r w:rsidRPr="005F1DB1">
        <w:rPr>
          <w:i/>
          <w:iCs/>
        </w:rPr>
        <w:t>New Zealand Journal of Agricultural Research</w:t>
      </w:r>
      <w:r>
        <w:t xml:space="preserve"> 50(2): 249</w:t>
      </w:r>
      <w:r w:rsidR="00D456F6">
        <w:t>–</w:t>
      </w:r>
      <w:r>
        <w:t xml:space="preserve">265. </w:t>
      </w:r>
    </w:p>
    <w:p w14:paraId="4E7E9F1C" w14:textId="3560A2AB" w:rsidR="009C37F5" w:rsidRDefault="009C37F5" w:rsidP="009C37F5">
      <w:pPr>
        <w:pStyle w:val="References"/>
      </w:pPr>
      <w:r>
        <w:t xml:space="preserve">Thomas S, Francis G, Barlow H, Beare M, Trimmer L, Gillespie R, Tabley F. 2004. </w:t>
      </w:r>
      <w:r w:rsidRPr="005F1DB1">
        <w:t>Winter grazing of forages</w:t>
      </w:r>
      <w:r w:rsidR="00A3303F" w:rsidRPr="005F1DB1">
        <w:t xml:space="preserve"> – </w:t>
      </w:r>
      <w:r w:rsidRPr="005F1DB1">
        <w:t>soil moisture and tillage methods impact nitrous oxide emissions and dry matter production</w:t>
      </w:r>
      <w:r w:rsidRPr="00A3303F">
        <w:t>.</w:t>
      </w:r>
      <w:r>
        <w:t xml:space="preserve"> </w:t>
      </w:r>
      <w:r w:rsidRPr="005F1DB1">
        <w:rPr>
          <w:i/>
          <w:iCs/>
        </w:rPr>
        <w:t>Proceedings of the New Zealand Grassland Association 66</w:t>
      </w:r>
      <w:r>
        <w:t>: 135</w:t>
      </w:r>
      <w:r w:rsidR="00D456F6">
        <w:t>–</w:t>
      </w:r>
      <w:r>
        <w:t>140.</w:t>
      </w:r>
    </w:p>
    <w:p w14:paraId="6AAADA8C" w14:textId="581CB022" w:rsidR="009C37F5" w:rsidRDefault="009C37F5" w:rsidP="009C37F5">
      <w:pPr>
        <w:pStyle w:val="References"/>
      </w:pPr>
      <w:r>
        <w:t xml:space="preserve">Walter MT, Walter MF, Brooks ES, Steenhuis TS, Boll J, Weller K. 2000. </w:t>
      </w:r>
      <w:r w:rsidRPr="005F1DB1">
        <w:t>Hydrologically sensitive areas: Variable source hydrology implications for water quality risk assessment</w:t>
      </w:r>
      <w:r w:rsidRPr="00A3303F">
        <w:t>.</w:t>
      </w:r>
      <w:r>
        <w:t xml:space="preserve"> </w:t>
      </w:r>
      <w:r w:rsidRPr="005F1DB1">
        <w:rPr>
          <w:i/>
          <w:iCs/>
        </w:rPr>
        <w:t>Journal of Soil and Water</w:t>
      </w:r>
      <w:r>
        <w:t xml:space="preserve"> 3: 277–284. </w:t>
      </w:r>
    </w:p>
    <w:p w14:paraId="378F23D9" w14:textId="170A19E6" w:rsidR="009C37F5" w:rsidRDefault="009C37F5" w:rsidP="009C37F5">
      <w:pPr>
        <w:pStyle w:val="References"/>
      </w:pPr>
      <w:r>
        <w:t xml:space="preserve">Wolock D, McCabe GJ. 1995. </w:t>
      </w:r>
      <w:r w:rsidRPr="005F1DB1">
        <w:t>Comparison of single and multiple flow direction algorithms for computing topographic parameters in TOPMODEL</w:t>
      </w:r>
      <w:r>
        <w:t xml:space="preserve">. </w:t>
      </w:r>
      <w:r w:rsidRPr="005F1DB1">
        <w:rPr>
          <w:i/>
          <w:iCs/>
        </w:rPr>
        <w:t>Water Resources Research</w:t>
      </w:r>
      <w:r>
        <w:t xml:space="preserve"> 31(5):</w:t>
      </w:r>
      <w:r w:rsidR="00D456F6">
        <w:t xml:space="preserve"> </w:t>
      </w:r>
      <w:r>
        <w:t>1315–1324.</w:t>
      </w:r>
    </w:p>
    <w:p w14:paraId="095F0065" w14:textId="27217E42" w:rsidR="009C37F5" w:rsidRDefault="009C37F5" w:rsidP="009C37F5">
      <w:pPr>
        <w:pStyle w:val="References"/>
      </w:pPr>
      <w:r>
        <w:t>Zhang X, Liu X, Zhang M, Dhalgren RA. 2010.</w:t>
      </w:r>
      <w:r w:rsidRPr="00D87503">
        <w:rPr>
          <w:i/>
          <w:iCs/>
        </w:rPr>
        <w:t xml:space="preserve"> </w:t>
      </w:r>
      <w:r w:rsidRPr="005F1DB1">
        <w:t>A review of vegetated buffers and a meta</w:t>
      </w:r>
      <w:r w:rsidR="007557EB" w:rsidRPr="005F1DB1">
        <w:t>-</w:t>
      </w:r>
      <w:r w:rsidRPr="005F1DB1">
        <w:t>analysis of their mitigation efficacy in reducing nonpoint source pollution</w:t>
      </w:r>
      <w:r w:rsidRPr="00A3303F">
        <w:t>.</w:t>
      </w:r>
      <w:r>
        <w:t xml:space="preserve"> </w:t>
      </w:r>
      <w:r w:rsidRPr="005F1DB1">
        <w:rPr>
          <w:i/>
          <w:iCs/>
        </w:rPr>
        <w:t>Journal of Environmental Quality</w:t>
      </w:r>
      <w:r>
        <w:t xml:space="preserve"> 39(1): 76</w:t>
      </w:r>
      <w:r w:rsidR="00D456F6">
        <w:t>–</w:t>
      </w:r>
      <w:r>
        <w:t>84.</w:t>
      </w:r>
    </w:p>
    <w:p w14:paraId="7F154113" w14:textId="1EE4411F" w:rsidR="009C37F5" w:rsidRPr="006B77BB" w:rsidRDefault="009C37F5" w:rsidP="009C37F5">
      <w:pPr>
        <w:pStyle w:val="References"/>
      </w:pPr>
    </w:p>
    <w:sectPr w:rsidR="009C37F5" w:rsidRPr="006B77BB" w:rsidSect="008A7498">
      <w:footerReference w:type="even" r:id="rId52"/>
      <w:footerReference w:type="default" r:id="rId53"/>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1CE4AC" w14:textId="77777777" w:rsidR="00303FBA" w:rsidRDefault="00303FBA" w:rsidP="0080531E">
      <w:pPr>
        <w:spacing w:before="0" w:after="0" w:line="240" w:lineRule="auto"/>
      </w:pPr>
      <w:r>
        <w:separator/>
      </w:r>
    </w:p>
    <w:p w14:paraId="127DA149" w14:textId="77777777" w:rsidR="00303FBA" w:rsidRDefault="00303FBA"/>
  </w:endnote>
  <w:endnote w:type="continuationSeparator" w:id="0">
    <w:p w14:paraId="572E374F" w14:textId="77777777" w:rsidR="00303FBA" w:rsidRDefault="00303FBA" w:rsidP="0080531E">
      <w:pPr>
        <w:spacing w:before="0" w:after="0" w:line="240" w:lineRule="auto"/>
      </w:pPr>
      <w:r>
        <w:continuationSeparator/>
      </w:r>
    </w:p>
    <w:p w14:paraId="230CBCEC" w14:textId="77777777" w:rsidR="00303FBA" w:rsidRDefault="00303FBA"/>
  </w:endnote>
  <w:endnote w:type="continuationNotice" w:id="1">
    <w:p w14:paraId="533214DC" w14:textId="77777777" w:rsidR="00303FBA" w:rsidRDefault="00303FBA">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A1347" w14:textId="77777777" w:rsidR="00C427E2" w:rsidRDefault="00C427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9EED2" w14:textId="77777777" w:rsidR="00D23DA6" w:rsidRDefault="00D23DA6" w:rsidP="009F1D7F">
    <w:pPr>
      <w:spacing w:before="0" w:after="0" w:line="240" w:lineRule="auto"/>
      <w:jc w:val="left"/>
    </w:pPr>
    <w:r>
      <w:rPr>
        <w:b/>
        <w:bCs/>
        <w:noProof/>
      </w:rPr>
      <w:drawing>
        <wp:inline distT="0" distB="0" distL="0" distR="0" wp14:anchorId="78E210DE" wp14:editId="13AE1C6C">
          <wp:extent cx="2239911" cy="538480"/>
          <wp:effectExtent l="0" t="0" r="0" b="0"/>
          <wp:docPr id="16" name="Picture 1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10;&#10;Description automatically generated with medium confidence"/>
                  <pic:cNvPicPr>
                    <a:picLocks noChangeAspect="1" noChangeArrowheads="1"/>
                  </pic:cNvPicPr>
                </pic:nvPicPr>
                <pic:blipFill rotWithShape="1">
                  <a:blip r:embed="rId1">
                    <a:extLst>
                      <a:ext uri="{28A0092B-C50C-407E-A947-70E740481C1C}">
                        <a14:useLocalDpi xmlns:a14="http://schemas.microsoft.com/office/drawing/2010/main" val="0"/>
                      </a:ext>
                    </a:extLst>
                  </a:blip>
                  <a:srcRect l="3163"/>
                  <a:stretch/>
                </pic:blipFill>
                <pic:spPr bwMode="auto">
                  <a:xfrm>
                    <a:off x="0" y="0"/>
                    <a:ext cx="2319270" cy="557558"/>
                  </a:xfrm>
                  <a:prstGeom prst="rect">
                    <a:avLst/>
                  </a:prstGeom>
                  <a:noFill/>
                  <a:ln>
                    <a:noFill/>
                  </a:ln>
                  <a:extLst>
                    <a:ext uri="{53640926-AAD7-44D8-BBD7-CCE9431645EC}">
                      <a14:shadowObscured xmlns:a14="http://schemas.microsoft.com/office/drawing/2010/main"/>
                    </a:ext>
                  </a:extLst>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017AD" w14:textId="77777777" w:rsidR="00C427E2" w:rsidRDefault="00C427E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F45CBB" w14:textId="77777777" w:rsidR="00D23DA6" w:rsidRDefault="00D23DA6" w:rsidP="00E65427">
    <w:pPr>
      <w:spacing w:before="240" w:after="0" w:line="240" w:lineRule="auto"/>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569E9" w14:textId="77777777" w:rsidR="00D23DA6" w:rsidRDefault="00D23DA6"/>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905222" w14:textId="2EE3DDA1" w:rsidR="00D23DA6" w:rsidRDefault="00D23DA6" w:rsidP="00017A44">
    <w:pPr>
      <w:pStyle w:val="Footereven"/>
    </w:pPr>
    <w:r w:rsidRPr="004F458A">
      <w:rPr>
        <w:b/>
      </w:rPr>
      <w:fldChar w:fldCharType="begin"/>
    </w:r>
    <w:r w:rsidRPr="004F458A">
      <w:instrText xml:space="preserve"> PAGE </w:instrText>
    </w:r>
    <w:r w:rsidRPr="004F458A">
      <w:rPr>
        <w:b/>
      </w:rPr>
      <w:fldChar w:fldCharType="separate"/>
    </w:r>
    <w:r>
      <w:rPr>
        <w:noProof/>
      </w:rPr>
      <w:t>8</w:t>
    </w:r>
    <w:r w:rsidRPr="004F458A">
      <w:rPr>
        <w:b/>
      </w:rPr>
      <w:fldChar w:fldCharType="end"/>
    </w:r>
    <w:r>
      <w:tab/>
      <w:t>Critical source areas: Guidance for intensive winter grazing</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41718" w14:textId="670808DE" w:rsidR="00D23DA6" w:rsidRDefault="00D23DA6" w:rsidP="00CD25E1">
    <w:pPr>
      <w:pStyle w:val="Footerodd"/>
    </w:pPr>
    <w:r>
      <w:tab/>
      <w:t>Critical source areas: Guidance for intensive winter grazing</w:t>
    </w:r>
    <w:r>
      <w:tab/>
    </w:r>
    <w:r>
      <w:fldChar w:fldCharType="begin"/>
    </w:r>
    <w:r>
      <w:instrText xml:space="preserve"> PAGE   \* MERGEFORMAT </w:instrText>
    </w:r>
    <w:r>
      <w:fldChar w:fldCharType="separate"/>
    </w:r>
    <w:r>
      <w:rPr>
        <w:noProof/>
      </w:rPr>
      <w:t>7</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ED1B2C" w14:textId="77777777" w:rsidR="00303FBA" w:rsidRDefault="00303FBA" w:rsidP="00CB5C5F">
      <w:pPr>
        <w:spacing w:before="0" w:after="80" w:line="240" w:lineRule="auto"/>
      </w:pPr>
      <w:r>
        <w:separator/>
      </w:r>
    </w:p>
  </w:footnote>
  <w:footnote w:type="continuationSeparator" w:id="0">
    <w:p w14:paraId="227565DA" w14:textId="77777777" w:rsidR="00303FBA" w:rsidRDefault="00303FBA" w:rsidP="0080531E">
      <w:pPr>
        <w:spacing w:before="0" w:after="0" w:line="240" w:lineRule="auto"/>
      </w:pPr>
      <w:r>
        <w:continuationSeparator/>
      </w:r>
    </w:p>
    <w:p w14:paraId="0CD113A5" w14:textId="77777777" w:rsidR="00303FBA" w:rsidRDefault="00303FBA"/>
  </w:footnote>
  <w:footnote w:type="continuationNotice" w:id="1">
    <w:p w14:paraId="2073C321" w14:textId="77777777" w:rsidR="00303FBA" w:rsidRDefault="00303FBA">
      <w:pPr>
        <w:spacing w:before="0" w:after="0" w:line="240" w:lineRule="auto"/>
      </w:pPr>
    </w:p>
  </w:footnote>
  <w:footnote w:id="2">
    <w:p w14:paraId="3A22A674" w14:textId="032BF09F" w:rsidR="00D23DA6" w:rsidRDefault="00D23DA6">
      <w:pPr>
        <w:pStyle w:val="FootnoteText"/>
      </w:pPr>
      <w:r>
        <w:rPr>
          <w:rStyle w:val="FootnoteReference"/>
        </w:rPr>
        <w:footnoteRef/>
      </w:r>
      <w:r>
        <w:t xml:space="preserve"> </w:t>
      </w:r>
      <w:r>
        <w:tab/>
      </w:r>
      <w:r w:rsidRPr="00EF4519">
        <w:t>Any artificial watercourse designed, constructed or used for the drainage of surface or subsurface water, but excludes artificial watercourses used for the conveyance of water for electricity generation, irrigation, or water supply purposes (</w:t>
      </w:r>
      <w:r>
        <w:t>Ministry for the  Environment</w:t>
      </w:r>
      <w:r w:rsidRPr="00EF4519">
        <w:t>, 2019).</w:t>
      </w:r>
    </w:p>
  </w:footnote>
  <w:footnote w:id="3">
    <w:p w14:paraId="2A1B4E77" w14:textId="4EB8F963" w:rsidR="009352F9" w:rsidRDefault="009352F9">
      <w:pPr>
        <w:pStyle w:val="FootnoteText"/>
      </w:pPr>
      <w:r>
        <w:rPr>
          <w:rStyle w:val="FootnoteReference"/>
        </w:rPr>
        <w:footnoteRef/>
      </w:r>
      <w:r w:rsidR="00AA44FF">
        <w:tab/>
      </w:r>
      <w:r w:rsidR="00AA44FF" w:rsidRPr="00AA44FF">
        <w:t>Excessive richness of nutrients in a lake or other body of water, frequently due to run-off from the land, which causes a dense growth of plant life.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E29629" w14:textId="77777777" w:rsidR="00C427E2" w:rsidRDefault="00C427E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3A43E" w14:textId="5AF58E60" w:rsidR="00D23DA6" w:rsidRPr="00DE7BF8" w:rsidRDefault="00D23DA6" w:rsidP="009F1D7F">
    <w:pPr>
      <w:pStyle w:val="Header"/>
      <w:jc w:val="left"/>
      <w:rPr>
        <w:rFonts w:ascii="Calibri" w:hAnsi="Calibri"/>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2FCBF" w14:textId="77777777" w:rsidR="00C427E2" w:rsidRDefault="00C427E2">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D0FDC" w14:textId="77777777" w:rsidR="00D23DA6" w:rsidRDefault="00D23DA6" w:rsidP="0036151C"/>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0D70B1" w14:textId="77777777" w:rsidR="00D23DA6" w:rsidRDefault="00D23DA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E126D"/>
    <w:multiLevelType w:val="hybridMultilevel"/>
    <w:tmpl w:val="DC02B7BA"/>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 w15:restartNumberingAfterBreak="0">
    <w:nsid w:val="06907348"/>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9FB12D3"/>
    <w:multiLevelType w:val="hybridMultilevel"/>
    <w:tmpl w:val="393AF226"/>
    <w:lvl w:ilvl="0" w:tplc="14090019">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4"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5" w15:restartNumberingAfterBreak="0">
    <w:nsid w:val="113A032B"/>
    <w:multiLevelType w:val="hybridMultilevel"/>
    <w:tmpl w:val="393AF22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1757409"/>
    <w:multiLevelType w:val="hybridMultilevel"/>
    <w:tmpl w:val="9296EFD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134B5E9F"/>
    <w:multiLevelType w:val="hybridMultilevel"/>
    <w:tmpl w:val="FE7ED948"/>
    <w:lvl w:ilvl="0" w:tplc="1409000F">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 w15:restartNumberingAfterBreak="0">
    <w:nsid w:val="1ACD4EA9"/>
    <w:multiLevelType w:val="hybridMultilevel"/>
    <w:tmpl w:val="350EA2D2"/>
    <w:lvl w:ilvl="0" w:tplc="FFFFFFFF">
      <w:start w:val="1"/>
      <w:numFmt w:val="decimal"/>
      <w:lvlText w:val="%1."/>
      <w:lvlJc w:val="left"/>
      <w:pPr>
        <w:ind w:left="686" w:hanging="360"/>
      </w:pPr>
      <w:rPr>
        <w:rFonts w:hint="default"/>
      </w:rPr>
    </w:lvl>
    <w:lvl w:ilvl="1" w:tplc="FFFFFFFF" w:tentative="1">
      <w:start w:val="1"/>
      <w:numFmt w:val="lowerLetter"/>
      <w:lvlText w:val="%2."/>
      <w:lvlJc w:val="left"/>
      <w:pPr>
        <w:ind w:left="1406" w:hanging="360"/>
      </w:pPr>
    </w:lvl>
    <w:lvl w:ilvl="2" w:tplc="FFFFFFFF" w:tentative="1">
      <w:start w:val="1"/>
      <w:numFmt w:val="lowerRoman"/>
      <w:lvlText w:val="%3."/>
      <w:lvlJc w:val="right"/>
      <w:pPr>
        <w:ind w:left="2126" w:hanging="180"/>
      </w:pPr>
    </w:lvl>
    <w:lvl w:ilvl="3" w:tplc="FFFFFFFF" w:tentative="1">
      <w:start w:val="1"/>
      <w:numFmt w:val="decimal"/>
      <w:lvlText w:val="%4."/>
      <w:lvlJc w:val="left"/>
      <w:pPr>
        <w:ind w:left="2846" w:hanging="360"/>
      </w:pPr>
    </w:lvl>
    <w:lvl w:ilvl="4" w:tplc="FFFFFFFF" w:tentative="1">
      <w:start w:val="1"/>
      <w:numFmt w:val="lowerLetter"/>
      <w:lvlText w:val="%5."/>
      <w:lvlJc w:val="left"/>
      <w:pPr>
        <w:ind w:left="3566" w:hanging="360"/>
      </w:pPr>
    </w:lvl>
    <w:lvl w:ilvl="5" w:tplc="FFFFFFFF" w:tentative="1">
      <w:start w:val="1"/>
      <w:numFmt w:val="lowerRoman"/>
      <w:lvlText w:val="%6."/>
      <w:lvlJc w:val="right"/>
      <w:pPr>
        <w:ind w:left="4286" w:hanging="180"/>
      </w:pPr>
    </w:lvl>
    <w:lvl w:ilvl="6" w:tplc="FFFFFFFF" w:tentative="1">
      <w:start w:val="1"/>
      <w:numFmt w:val="decimal"/>
      <w:lvlText w:val="%7."/>
      <w:lvlJc w:val="left"/>
      <w:pPr>
        <w:ind w:left="5006" w:hanging="360"/>
      </w:pPr>
    </w:lvl>
    <w:lvl w:ilvl="7" w:tplc="FFFFFFFF" w:tentative="1">
      <w:start w:val="1"/>
      <w:numFmt w:val="lowerLetter"/>
      <w:lvlText w:val="%8."/>
      <w:lvlJc w:val="left"/>
      <w:pPr>
        <w:ind w:left="5726" w:hanging="360"/>
      </w:pPr>
    </w:lvl>
    <w:lvl w:ilvl="8" w:tplc="FFFFFFFF" w:tentative="1">
      <w:start w:val="1"/>
      <w:numFmt w:val="lowerRoman"/>
      <w:lvlText w:val="%9."/>
      <w:lvlJc w:val="right"/>
      <w:pPr>
        <w:ind w:left="6446" w:hanging="180"/>
      </w:pPr>
    </w:lvl>
  </w:abstractNum>
  <w:abstractNum w:abstractNumId="9" w15:restartNumberingAfterBreak="0">
    <w:nsid w:val="1CC2683A"/>
    <w:multiLevelType w:val="singleLevel"/>
    <w:tmpl w:val="14090001"/>
    <w:lvl w:ilvl="0">
      <w:start w:val="1"/>
      <w:numFmt w:val="bullet"/>
      <w:lvlText w:val=""/>
      <w:lvlJc w:val="left"/>
      <w:pPr>
        <w:tabs>
          <w:tab w:val="num" w:pos="397"/>
        </w:tabs>
        <w:ind w:left="0" w:firstLine="0"/>
      </w:pPr>
      <w:rPr>
        <w:rFonts w:ascii="Symbol" w:hAnsi="Symbol" w:hint="default"/>
      </w:rPr>
    </w:lvl>
  </w:abstractNum>
  <w:abstractNum w:abstractNumId="10" w15:restartNumberingAfterBreak="0">
    <w:nsid w:val="20115441"/>
    <w:multiLevelType w:val="multilevel"/>
    <w:tmpl w:val="45DECC76"/>
    <w:lvl w:ilvl="0">
      <w:start w:val="1"/>
      <w:numFmt w:val="decimal"/>
      <w:lvlText w:val="%1."/>
      <w:lvlJc w:val="left"/>
      <w:pPr>
        <w:ind w:left="0" w:firstLine="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1"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2"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13" w15:restartNumberingAfterBreak="0">
    <w:nsid w:val="26B41433"/>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29E02047"/>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8" w15:restartNumberingAfterBreak="0">
    <w:nsid w:val="2E6F201E"/>
    <w:multiLevelType w:val="multilevel"/>
    <w:tmpl w:val="C7440BB4"/>
    <w:numStyleLink w:val="Style2"/>
  </w:abstractNum>
  <w:abstractNum w:abstractNumId="19"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20" w15:restartNumberingAfterBreak="0">
    <w:nsid w:val="34B129E4"/>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36AE6F13"/>
    <w:multiLevelType w:val="hybridMultilevel"/>
    <w:tmpl w:val="E2662668"/>
    <w:lvl w:ilvl="0" w:tplc="04B6FB3C">
      <w:start w:val="1"/>
      <w:numFmt w:val="lowerRoman"/>
      <w:lvlText w:val="(%1)"/>
      <w:lvlJc w:val="left"/>
      <w:pPr>
        <w:ind w:left="1004" w:hanging="72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22" w15:restartNumberingAfterBreak="0">
    <w:nsid w:val="395B04BD"/>
    <w:multiLevelType w:val="multilevel"/>
    <w:tmpl w:val="DB22692C"/>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3C857CC9"/>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3D465A16"/>
    <w:multiLevelType w:val="multilevel"/>
    <w:tmpl w:val="7CBA8A44"/>
    <w:lvl w:ilvl="0">
      <w:start w:val="1"/>
      <w:numFmt w:val="bullet"/>
      <w:pStyle w:val="Bullet"/>
      <w:lvlText w:val=""/>
      <w:lvlJc w:val="left"/>
      <w:pPr>
        <w:tabs>
          <w:tab w:val="num" w:pos="1247"/>
        </w:tabs>
        <w:ind w:left="124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32C3D35"/>
    <w:multiLevelType w:val="hybridMultilevel"/>
    <w:tmpl w:val="93E6894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439443BE"/>
    <w:multiLevelType w:val="hybridMultilevel"/>
    <w:tmpl w:val="8C8A22B2"/>
    <w:lvl w:ilvl="0" w:tplc="339C2E9C">
      <w:start w:val="1"/>
      <w:numFmt w:val="lowerRoman"/>
      <w:lvlText w:val="(%1)"/>
      <w:lvlJc w:val="left"/>
      <w:pPr>
        <w:ind w:left="1080" w:hanging="72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8"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30" w15:restartNumberingAfterBreak="0">
    <w:nsid w:val="4D643F5D"/>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4D6A1194"/>
    <w:multiLevelType w:val="hybridMultilevel"/>
    <w:tmpl w:val="4B3478E0"/>
    <w:lvl w:ilvl="0" w:tplc="14090003">
      <w:start w:val="1"/>
      <w:numFmt w:val="bullet"/>
      <w:lvlText w:val="o"/>
      <w:lvlJc w:val="left"/>
      <w:pPr>
        <w:ind w:left="1210" w:hanging="360"/>
      </w:pPr>
      <w:rPr>
        <w:rFonts w:ascii="Courier New" w:hAnsi="Courier New" w:cs="Courier New" w:hint="default"/>
      </w:rPr>
    </w:lvl>
    <w:lvl w:ilvl="1" w:tplc="FFFFFFFF" w:tentative="1">
      <w:start w:val="1"/>
      <w:numFmt w:val="lowerLetter"/>
      <w:lvlText w:val="%2."/>
      <w:lvlJc w:val="left"/>
      <w:pPr>
        <w:ind w:left="1930" w:hanging="360"/>
      </w:pPr>
    </w:lvl>
    <w:lvl w:ilvl="2" w:tplc="FFFFFFFF" w:tentative="1">
      <w:start w:val="1"/>
      <w:numFmt w:val="lowerRoman"/>
      <w:lvlText w:val="%3."/>
      <w:lvlJc w:val="right"/>
      <w:pPr>
        <w:ind w:left="2650" w:hanging="180"/>
      </w:pPr>
    </w:lvl>
    <w:lvl w:ilvl="3" w:tplc="FFFFFFFF" w:tentative="1">
      <w:start w:val="1"/>
      <w:numFmt w:val="decimal"/>
      <w:lvlText w:val="%4."/>
      <w:lvlJc w:val="left"/>
      <w:pPr>
        <w:ind w:left="3370" w:hanging="360"/>
      </w:pPr>
    </w:lvl>
    <w:lvl w:ilvl="4" w:tplc="FFFFFFFF" w:tentative="1">
      <w:start w:val="1"/>
      <w:numFmt w:val="lowerLetter"/>
      <w:lvlText w:val="%5."/>
      <w:lvlJc w:val="left"/>
      <w:pPr>
        <w:ind w:left="4090" w:hanging="360"/>
      </w:pPr>
    </w:lvl>
    <w:lvl w:ilvl="5" w:tplc="FFFFFFFF" w:tentative="1">
      <w:start w:val="1"/>
      <w:numFmt w:val="lowerRoman"/>
      <w:lvlText w:val="%6."/>
      <w:lvlJc w:val="right"/>
      <w:pPr>
        <w:ind w:left="4810" w:hanging="180"/>
      </w:pPr>
    </w:lvl>
    <w:lvl w:ilvl="6" w:tplc="FFFFFFFF" w:tentative="1">
      <w:start w:val="1"/>
      <w:numFmt w:val="decimal"/>
      <w:lvlText w:val="%7."/>
      <w:lvlJc w:val="left"/>
      <w:pPr>
        <w:ind w:left="5530" w:hanging="360"/>
      </w:pPr>
    </w:lvl>
    <w:lvl w:ilvl="7" w:tplc="FFFFFFFF" w:tentative="1">
      <w:start w:val="1"/>
      <w:numFmt w:val="lowerLetter"/>
      <w:lvlText w:val="%8."/>
      <w:lvlJc w:val="left"/>
      <w:pPr>
        <w:ind w:left="6250" w:hanging="360"/>
      </w:pPr>
    </w:lvl>
    <w:lvl w:ilvl="8" w:tplc="FFFFFFFF" w:tentative="1">
      <w:start w:val="1"/>
      <w:numFmt w:val="lowerRoman"/>
      <w:lvlText w:val="%9."/>
      <w:lvlJc w:val="right"/>
      <w:pPr>
        <w:ind w:left="6970" w:hanging="180"/>
      </w:pPr>
    </w:lvl>
  </w:abstractNum>
  <w:abstractNum w:abstractNumId="32" w15:restartNumberingAfterBreak="0">
    <w:nsid w:val="4F2C0DE1"/>
    <w:multiLevelType w:val="hybridMultilevel"/>
    <w:tmpl w:val="393AF22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34" w15:restartNumberingAfterBreak="0">
    <w:nsid w:val="57A6321C"/>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5A3B4A45"/>
    <w:multiLevelType w:val="hybridMultilevel"/>
    <w:tmpl w:val="E4A429C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6" w15:restartNumberingAfterBreak="0">
    <w:nsid w:val="5FE23C3E"/>
    <w:multiLevelType w:val="hybridMultilevel"/>
    <w:tmpl w:val="350EA2D2"/>
    <w:lvl w:ilvl="0" w:tplc="9D1E2224">
      <w:start w:val="1"/>
      <w:numFmt w:val="decimal"/>
      <w:lvlText w:val="%1."/>
      <w:lvlJc w:val="left"/>
      <w:pPr>
        <w:ind w:left="686" w:hanging="360"/>
      </w:pPr>
      <w:rPr>
        <w:rFonts w:hint="default"/>
      </w:rPr>
    </w:lvl>
    <w:lvl w:ilvl="1" w:tplc="14090019" w:tentative="1">
      <w:start w:val="1"/>
      <w:numFmt w:val="lowerLetter"/>
      <w:lvlText w:val="%2."/>
      <w:lvlJc w:val="left"/>
      <w:pPr>
        <w:ind w:left="1406" w:hanging="360"/>
      </w:pPr>
    </w:lvl>
    <w:lvl w:ilvl="2" w:tplc="1409001B" w:tentative="1">
      <w:start w:val="1"/>
      <w:numFmt w:val="lowerRoman"/>
      <w:lvlText w:val="%3."/>
      <w:lvlJc w:val="right"/>
      <w:pPr>
        <w:ind w:left="2126" w:hanging="180"/>
      </w:pPr>
    </w:lvl>
    <w:lvl w:ilvl="3" w:tplc="1409000F" w:tentative="1">
      <w:start w:val="1"/>
      <w:numFmt w:val="decimal"/>
      <w:lvlText w:val="%4."/>
      <w:lvlJc w:val="left"/>
      <w:pPr>
        <w:ind w:left="2846" w:hanging="360"/>
      </w:pPr>
    </w:lvl>
    <w:lvl w:ilvl="4" w:tplc="14090019" w:tentative="1">
      <w:start w:val="1"/>
      <w:numFmt w:val="lowerLetter"/>
      <w:lvlText w:val="%5."/>
      <w:lvlJc w:val="left"/>
      <w:pPr>
        <w:ind w:left="3566" w:hanging="360"/>
      </w:pPr>
    </w:lvl>
    <w:lvl w:ilvl="5" w:tplc="1409001B" w:tentative="1">
      <w:start w:val="1"/>
      <w:numFmt w:val="lowerRoman"/>
      <w:lvlText w:val="%6."/>
      <w:lvlJc w:val="right"/>
      <w:pPr>
        <w:ind w:left="4286" w:hanging="180"/>
      </w:pPr>
    </w:lvl>
    <w:lvl w:ilvl="6" w:tplc="1409000F" w:tentative="1">
      <w:start w:val="1"/>
      <w:numFmt w:val="decimal"/>
      <w:lvlText w:val="%7."/>
      <w:lvlJc w:val="left"/>
      <w:pPr>
        <w:ind w:left="5006" w:hanging="360"/>
      </w:pPr>
    </w:lvl>
    <w:lvl w:ilvl="7" w:tplc="14090019" w:tentative="1">
      <w:start w:val="1"/>
      <w:numFmt w:val="lowerLetter"/>
      <w:lvlText w:val="%8."/>
      <w:lvlJc w:val="left"/>
      <w:pPr>
        <w:ind w:left="5726" w:hanging="360"/>
      </w:pPr>
    </w:lvl>
    <w:lvl w:ilvl="8" w:tplc="1409001B" w:tentative="1">
      <w:start w:val="1"/>
      <w:numFmt w:val="lowerRoman"/>
      <w:lvlText w:val="%9."/>
      <w:lvlJc w:val="right"/>
      <w:pPr>
        <w:ind w:left="6446" w:hanging="180"/>
      </w:pPr>
    </w:lvl>
  </w:abstractNum>
  <w:abstractNum w:abstractNumId="37" w15:restartNumberingAfterBreak="0">
    <w:nsid w:val="63271712"/>
    <w:multiLevelType w:val="hybridMultilevel"/>
    <w:tmpl w:val="825CACD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8" w15:restartNumberingAfterBreak="0">
    <w:nsid w:val="63B60280"/>
    <w:multiLevelType w:val="multilevel"/>
    <w:tmpl w:val="9FFC14DE"/>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15:restartNumberingAfterBreak="0">
    <w:nsid w:val="63C5554C"/>
    <w:multiLevelType w:val="hybridMultilevel"/>
    <w:tmpl w:val="E21629AC"/>
    <w:lvl w:ilvl="0" w:tplc="3F74A08E">
      <w:start w:val="1"/>
      <w:numFmt w:val="decimal"/>
      <w:lvlText w:val="%1."/>
      <w:lvlJc w:val="left"/>
      <w:pPr>
        <w:ind w:left="720" w:hanging="360"/>
      </w:pPr>
      <w:rPr>
        <w:rFonts w:hint="default"/>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0" w15:restartNumberingAfterBreak="0">
    <w:nsid w:val="678A6316"/>
    <w:multiLevelType w:val="hybridMultilevel"/>
    <w:tmpl w:val="F8BC0826"/>
    <w:lvl w:ilvl="0" w:tplc="2AF4521A">
      <w:start w:val="1"/>
      <w:numFmt w:val="bullet"/>
      <w:lvlText w:val=""/>
      <w:lvlJc w:val="left"/>
      <w:pPr>
        <w:ind w:left="720" w:hanging="360"/>
      </w:pPr>
      <w:rPr>
        <w:rFonts w:ascii="Symbol" w:hAnsi="Symbol" w:hint="default"/>
      </w:rPr>
    </w:lvl>
    <w:lvl w:ilvl="1" w:tplc="326CB890" w:tentative="1">
      <w:start w:val="1"/>
      <w:numFmt w:val="bullet"/>
      <w:lvlText w:val="o"/>
      <w:lvlJc w:val="left"/>
      <w:pPr>
        <w:ind w:left="1440" w:hanging="360"/>
      </w:pPr>
      <w:rPr>
        <w:rFonts w:ascii="Courier New" w:hAnsi="Courier New" w:cs="Courier New" w:hint="default"/>
      </w:rPr>
    </w:lvl>
    <w:lvl w:ilvl="2" w:tplc="03926F58" w:tentative="1">
      <w:start w:val="1"/>
      <w:numFmt w:val="bullet"/>
      <w:lvlText w:val=""/>
      <w:lvlJc w:val="left"/>
      <w:pPr>
        <w:ind w:left="2160" w:hanging="360"/>
      </w:pPr>
      <w:rPr>
        <w:rFonts w:ascii="Wingdings" w:hAnsi="Wingdings" w:hint="default"/>
      </w:rPr>
    </w:lvl>
    <w:lvl w:ilvl="3" w:tplc="F5ECFB66" w:tentative="1">
      <w:start w:val="1"/>
      <w:numFmt w:val="bullet"/>
      <w:lvlText w:val=""/>
      <w:lvlJc w:val="left"/>
      <w:pPr>
        <w:ind w:left="2880" w:hanging="360"/>
      </w:pPr>
      <w:rPr>
        <w:rFonts w:ascii="Symbol" w:hAnsi="Symbol" w:hint="default"/>
      </w:rPr>
    </w:lvl>
    <w:lvl w:ilvl="4" w:tplc="20B07310" w:tentative="1">
      <w:start w:val="1"/>
      <w:numFmt w:val="bullet"/>
      <w:lvlText w:val="o"/>
      <w:lvlJc w:val="left"/>
      <w:pPr>
        <w:ind w:left="3600" w:hanging="360"/>
      </w:pPr>
      <w:rPr>
        <w:rFonts w:ascii="Courier New" w:hAnsi="Courier New" w:cs="Courier New" w:hint="default"/>
      </w:rPr>
    </w:lvl>
    <w:lvl w:ilvl="5" w:tplc="94B42C86" w:tentative="1">
      <w:start w:val="1"/>
      <w:numFmt w:val="bullet"/>
      <w:lvlText w:val=""/>
      <w:lvlJc w:val="left"/>
      <w:pPr>
        <w:ind w:left="4320" w:hanging="360"/>
      </w:pPr>
      <w:rPr>
        <w:rFonts w:ascii="Wingdings" w:hAnsi="Wingdings" w:hint="default"/>
      </w:rPr>
    </w:lvl>
    <w:lvl w:ilvl="6" w:tplc="551A5E58" w:tentative="1">
      <w:start w:val="1"/>
      <w:numFmt w:val="bullet"/>
      <w:lvlText w:val=""/>
      <w:lvlJc w:val="left"/>
      <w:pPr>
        <w:ind w:left="5040" w:hanging="360"/>
      </w:pPr>
      <w:rPr>
        <w:rFonts w:ascii="Symbol" w:hAnsi="Symbol" w:hint="default"/>
      </w:rPr>
    </w:lvl>
    <w:lvl w:ilvl="7" w:tplc="DBBA094A" w:tentative="1">
      <w:start w:val="1"/>
      <w:numFmt w:val="bullet"/>
      <w:lvlText w:val="o"/>
      <w:lvlJc w:val="left"/>
      <w:pPr>
        <w:ind w:left="5760" w:hanging="360"/>
      </w:pPr>
      <w:rPr>
        <w:rFonts w:ascii="Courier New" w:hAnsi="Courier New" w:cs="Courier New" w:hint="default"/>
      </w:rPr>
    </w:lvl>
    <w:lvl w:ilvl="8" w:tplc="A3546D6C" w:tentative="1">
      <w:start w:val="1"/>
      <w:numFmt w:val="bullet"/>
      <w:lvlText w:val=""/>
      <w:lvlJc w:val="left"/>
      <w:pPr>
        <w:ind w:left="6480" w:hanging="360"/>
      </w:pPr>
      <w:rPr>
        <w:rFonts w:ascii="Wingdings" w:hAnsi="Wingdings" w:hint="default"/>
      </w:rPr>
    </w:lvl>
  </w:abstractNum>
  <w:abstractNum w:abstractNumId="41" w15:restartNumberingAfterBreak="0">
    <w:nsid w:val="684850E7"/>
    <w:multiLevelType w:val="multilevel"/>
    <w:tmpl w:val="33A22176"/>
    <w:lvl w:ilvl="0">
      <w:start w:val="1"/>
      <w:numFmt w:val="bullet"/>
      <w:lvlText w:val=""/>
      <w:lvlJc w:val="left"/>
      <w:pPr>
        <w:tabs>
          <w:tab w:val="num" w:pos="397"/>
        </w:tabs>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6C042717"/>
    <w:multiLevelType w:val="multilevel"/>
    <w:tmpl w:val="DCDEB9D0"/>
    <w:numStyleLink w:val="Style1"/>
  </w:abstractNum>
  <w:abstractNum w:abstractNumId="43"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4"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45" w15:restartNumberingAfterBreak="0">
    <w:nsid w:val="71BC1776"/>
    <w:multiLevelType w:val="multilevel"/>
    <w:tmpl w:val="14090001"/>
    <w:lvl w:ilvl="0">
      <w:start w:val="1"/>
      <w:numFmt w:val="bullet"/>
      <w:lvlText w:val=""/>
      <w:lvlJc w:val="left"/>
      <w:pPr>
        <w:tabs>
          <w:tab w:val="num" w:pos="397"/>
        </w:tabs>
        <w:ind w:left="0" w:firstLine="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AA571C5"/>
    <w:multiLevelType w:val="hybridMultilevel"/>
    <w:tmpl w:val="C5003A98"/>
    <w:lvl w:ilvl="0" w:tplc="04B6FB3C">
      <w:start w:val="1"/>
      <w:numFmt w:val="lowerRoman"/>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8" w15:restartNumberingAfterBreak="0">
    <w:nsid w:val="7E4D254A"/>
    <w:multiLevelType w:val="singleLevel"/>
    <w:tmpl w:val="4BDCAC54"/>
    <w:lvl w:ilvl="0">
      <w:start w:val="1"/>
      <w:numFmt w:val="bullet"/>
      <w:lvlText w:val=""/>
      <w:lvlJc w:val="left"/>
      <w:pPr>
        <w:tabs>
          <w:tab w:val="num" w:pos="567"/>
        </w:tabs>
        <w:ind w:left="567" w:hanging="567"/>
      </w:pPr>
      <w:rPr>
        <w:rFonts w:ascii="Symbol" w:hAnsi="Symbol" w:hint="default"/>
        <w:color w:val="auto"/>
        <w:sz w:val="18"/>
        <w:szCs w:val="20"/>
      </w:rPr>
    </w:lvl>
  </w:abstractNum>
  <w:num w:numId="1" w16cid:durableId="135608993">
    <w:abstractNumId w:val="19"/>
  </w:num>
  <w:num w:numId="2" w16cid:durableId="1093092393">
    <w:abstractNumId w:val="33"/>
  </w:num>
  <w:num w:numId="3" w16cid:durableId="1834175996">
    <w:abstractNumId w:val="48"/>
  </w:num>
  <w:num w:numId="4" w16cid:durableId="75639572">
    <w:abstractNumId w:val="25"/>
  </w:num>
  <w:num w:numId="5" w16cid:durableId="69084443">
    <w:abstractNumId w:val="17"/>
  </w:num>
  <w:num w:numId="6" w16cid:durableId="1736080588">
    <w:abstractNumId w:val="12"/>
  </w:num>
  <w:num w:numId="7" w16cid:durableId="15933625">
    <w:abstractNumId w:val="29"/>
  </w:num>
  <w:num w:numId="8" w16cid:durableId="247808482">
    <w:abstractNumId w:val="28"/>
  </w:num>
  <w:num w:numId="9" w16cid:durableId="223486665">
    <w:abstractNumId w:val="46"/>
  </w:num>
  <w:num w:numId="10" w16cid:durableId="144153307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992711480">
    <w:abstractNumId w:val="3"/>
  </w:num>
  <w:num w:numId="12" w16cid:durableId="1915696252">
    <w:abstractNumId w:val="40"/>
  </w:num>
  <w:num w:numId="13" w16cid:durableId="330526051">
    <w:abstractNumId w:val="16"/>
  </w:num>
  <w:num w:numId="14" w16cid:durableId="2105104851">
    <w:abstractNumId w:val="42"/>
  </w:num>
  <w:num w:numId="15" w16cid:durableId="1199201277">
    <w:abstractNumId w:val="26"/>
  </w:num>
  <w:num w:numId="16" w16cid:durableId="1991707893">
    <w:abstractNumId w:val="15"/>
  </w:num>
  <w:num w:numId="17" w16cid:durableId="1503860142">
    <w:abstractNumId w:val="41"/>
  </w:num>
  <w:num w:numId="18" w16cid:durableId="893278578">
    <w:abstractNumId w:val="34"/>
  </w:num>
  <w:num w:numId="19" w16cid:durableId="414396208">
    <w:abstractNumId w:val="43"/>
  </w:num>
  <w:num w:numId="20" w16cid:durableId="132993317">
    <w:abstractNumId w:val="18"/>
  </w:num>
  <w:num w:numId="21" w16cid:durableId="1056319307">
    <w:abstractNumId w:val="35"/>
  </w:num>
  <w:num w:numId="22" w16cid:durableId="109521928">
    <w:abstractNumId w:val="9"/>
  </w:num>
  <w:num w:numId="23" w16cid:durableId="1897162337">
    <w:abstractNumId w:val="30"/>
  </w:num>
  <w:num w:numId="24" w16cid:durableId="1645232831">
    <w:abstractNumId w:val="20"/>
  </w:num>
  <w:num w:numId="25" w16cid:durableId="716779327">
    <w:abstractNumId w:val="45"/>
  </w:num>
  <w:num w:numId="26" w16cid:durableId="1346706056">
    <w:abstractNumId w:val="38"/>
  </w:num>
  <w:num w:numId="27" w16cid:durableId="1671325992">
    <w:abstractNumId w:val="1"/>
  </w:num>
  <w:num w:numId="28" w16cid:durableId="194269800">
    <w:abstractNumId w:val="23"/>
  </w:num>
  <w:num w:numId="29" w16cid:durableId="812678362">
    <w:abstractNumId w:val="13"/>
  </w:num>
  <w:num w:numId="30" w16cid:durableId="533613541">
    <w:abstractNumId w:val="6"/>
  </w:num>
  <w:num w:numId="31" w16cid:durableId="1426997821">
    <w:abstractNumId w:val="4"/>
  </w:num>
  <w:num w:numId="32" w16cid:durableId="1143883923">
    <w:abstractNumId w:val="10"/>
  </w:num>
  <w:num w:numId="33" w16cid:durableId="1562708854">
    <w:abstractNumId w:val="14"/>
  </w:num>
  <w:num w:numId="34" w16cid:durableId="2065713950">
    <w:abstractNumId w:val="24"/>
  </w:num>
  <w:num w:numId="35" w16cid:durableId="1625035635">
    <w:abstractNumId w:val="22"/>
  </w:num>
  <w:num w:numId="36" w16cid:durableId="735249951">
    <w:abstractNumId w:val="11"/>
  </w:num>
  <w:num w:numId="37" w16cid:durableId="1360471024">
    <w:abstractNumId w:val="44"/>
  </w:num>
  <w:num w:numId="38" w16cid:durableId="124383277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70031269">
    <w:abstractNumId w:val="21"/>
  </w:num>
  <w:num w:numId="40" w16cid:durableId="328481541">
    <w:abstractNumId w:val="7"/>
  </w:num>
  <w:num w:numId="41" w16cid:durableId="1433816829">
    <w:abstractNumId w:val="47"/>
  </w:num>
  <w:num w:numId="42" w16cid:durableId="464617409">
    <w:abstractNumId w:val="27"/>
  </w:num>
  <w:num w:numId="43" w16cid:durableId="1959558108">
    <w:abstractNumId w:val="36"/>
  </w:num>
  <w:num w:numId="44" w16cid:durableId="804277960">
    <w:abstractNumId w:val="8"/>
  </w:num>
  <w:num w:numId="45" w16cid:durableId="2124379725">
    <w:abstractNumId w:val="0"/>
  </w:num>
  <w:num w:numId="46" w16cid:durableId="2028437163">
    <w:abstractNumId w:val="2"/>
  </w:num>
  <w:num w:numId="47" w16cid:durableId="1965962613">
    <w:abstractNumId w:val="32"/>
  </w:num>
  <w:num w:numId="48" w16cid:durableId="177307295">
    <w:abstractNumId w:val="5"/>
  </w:num>
  <w:num w:numId="49" w16cid:durableId="2042902186">
    <w:abstractNumId w:val="37"/>
  </w:num>
  <w:num w:numId="50" w16cid:durableId="2047679295">
    <w:abstractNumId w:val="39"/>
  </w:num>
  <w:num w:numId="51" w16cid:durableId="27804812">
    <w:abstractNumId w:val="31"/>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defaultTabStop w:val="397"/>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6916"/>
    <w:rsid w:val="0000052A"/>
    <w:rsid w:val="00000792"/>
    <w:rsid w:val="00000F04"/>
    <w:rsid w:val="00001C67"/>
    <w:rsid w:val="00001E3C"/>
    <w:rsid w:val="00003C4F"/>
    <w:rsid w:val="00004E0A"/>
    <w:rsid w:val="00004FD3"/>
    <w:rsid w:val="00006DF5"/>
    <w:rsid w:val="00006F95"/>
    <w:rsid w:val="00007023"/>
    <w:rsid w:val="00007045"/>
    <w:rsid w:val="0000709F"/>
    <w:rsid w:val="000071D6"/>
    <w:rsid w:val="00007F2D"/>
    <w:rsid w:val="00007FAC"/>
    <w:rsid w:val="000101EB"/>
    <w:rsid w:val="00010A9C"/>
    <w:rsid w:val="00010ABA"/>
    <w:rsid w:val="00010E15"/>
    <w:rsid w:val="00010F57"/>
    <w:rsid w:val="0001100C"/>
    <w:rsid w:val="00011188"/>
    <w:rsid w:val="00012555"/>
    <w:rsid w:val="0001303C"/>
    <w:rsid w:val="00014236"/>
    <w:rsid w:val="000148F6"/>
    <w:rsid w:val="00015217"/>
    <w:rsid w:val="000159D2"/>
    <w:rsid w:val="00016264"/>
    <w:rsid w:val="000163CD"/>
    <w:rsid w:val="00016993"/>
    <w:rsid w:val="00016CAB"/>
    <w:rsid w:val="00016E5B"/>
    <w:rsid w:val="00016EC1"/>
    <w:rsid w:val="0001749B"/>
    <w:rsid w:val="00017A44"/>
    <w:rsid w:val="00017D75"/>
    <w:rsid w:val="00017FE5"/>
    <w:rsid w:val="00020892"/>
    <w:rsid w:val="00021910"/>
    <w:rsid w:val="00022E8D"/>
    <w:rsid w:val="0002348A"/>
    <w:rsid w:val="000235B5"/>
    <w:rsid w:val="00023BDA"/>
    <w:rsid w:val="00024197"/>
    <w:rsid w:val="00024708"/>
    <w:rsid w:val="00024EE7"/>
    <w:rsid w:val="00025F96"/>
    <w:rsid w:val="00025FAB"/>
    <w:rsid w:val="00026E89"/>
    <w:rsid w:val="000275A3"/>
    <w:rsid w:val="00030558"/>
    <w:rsid w:val="00030699"/>
    <w:rsid w:val="00030725"/>
    <w:rsid w:val="00030DB8"/>
    <w:rsid w:val="00031A83"/>
    <w:rsid w:val="0003213A"/>
    <w:rsid w:val="00032A81"/>
    <w:rsid w:val="000340D8"/>
    <w:rsid w:val="0003427D"/>
    <w:rsid w:val="00034DFA"/>
    <w:rsid w:val="000357ED"/>
    <w:rsid w:val="00035A8D"/>
    <w:rsid w:val="00035E15"/>
    <w:rsid w:val="0003640E"/>
    <w:rsid w:val="0003688A"/>
    <w:rsid w:val="000368FC"/>
    <w:rsid w:val="00036A0D"/>
    <w:rsid w:val="00036C9E"/>
    <w:rsid w:val="00036DA3"/>
    <w:rsid w:val="000379BF"/>
    <w:rsid w:val="00037BEC"/>
    <w:rsid w:val="000400D9"/>
    <w:rsid w:val="0004035C"/>
    <w:rsid w:val="00040860"/>
    <w:rsid w:val="00040CED"/>
    <w:rsid w:val="00040EA1"/>
    <w:rsid w:val="0004205F"/>
    <w:rsid w:val="000423C6"/>
    <w:rsid w:val="00042EDB"/>
    <w:rsid w:val="00044A50"/>
    <w:rsid w:val="00044C65"/>
    <w:rsid w:val="000458C7"/>
    <w:rsid w:val="00045991"/>
    <w:rsid w:val="00045E5C"/>
    <w:rsid w:val="00046288"/>
    <w:rsid w:val="00047796"/>
    <w:rsid w:val="000478B1"/>
    <w:rsid w:val="00047941"/>
    <w:rsid w:val="00050A22"/>
    <w:rsid w:val="00050E27"/>
    <w:rsid w:val="0005144F"/>
    <w:rsid w:val="00051AF1"/>
    <w:rsid w:val="00051D42"/>
    <w:rsid w:val="000538A1"/>
    <w:rsid w:val="00055375"/>
    <w:rsid w:val="00056319"/>
    <w:rsid w:val="000564E7"/>
    <w:rsid w:val="00056770"/>
    <w:rsid w:val="00057386"/>
    <w:rsid w:val="00057EEF"/>
    <w:rsid w:val="00060B27"/>
    <w:rsid w:val="00061345"/>
    <w:rsid w:val="000619CB"/>
    <w:rsid w:val="00062387"/>
    <w:rsid w:val="000640F0"/>
    <w:rsid w:val="0006434D"/>
    <w:rsid w:val="000643A1"/>
    <w:rsid w:val="00064679"/>
    <w:rsid w:val="00064A13"/>
    <w:rsid w:val="00064AF4"/>
    <w:rsid w:val="00064DB1"/>
    <w:rsid w:val="00065BA3"/>
    <w:rsid w:val="00065D3B"/>
    <w:rsid w:val="000667E9"/>
    <w:rsid w:val="00067128"/>
    <w:rsid w:val="000675CD"/>
    <w:rsid w:val="00067872"/>
    <w:rsid w:val="000678AC"/>
    <w:rsid w:val="000701DE"/>
    <w:rsid w:val="000703B2"/>
    <w:rsid w:val="00070FBF"/>
    <w:rsid w:val="000711EE"/>
    <w:rsid w:val="0007180E"/>
    <w:rsid w:val="00071AE4"/>
    <w:rsid w:val="00071CB5"/>
    <w:rsid w:val="00071CCB"/>
    <w:rsid w:val="00071D03"/>
    <w:rsid w:val="0007232B"/>
    <w:rsid w:val="000735A2"/>
    <w:rsid w:val="0007396D"/>
    <w:rsid w:val="0007517E"/>
    <w:rsid w:val="00075363"/>
    <w:rsid w:val="00075FE1"/>
    <w:rsid w:val="00076667"/>
    <w:rsid w:val="00077209"/>
    <w:rsid w:val="00077473"/>
    <w:rsid w:val="00077481"/>
    <w:rsid w:val="000776F9"/>
    <w:rsid w:val="00077EE0"/>
    <w:rsid w:val="000802F9"/>
    <w:rsid w:val="0008145A"/>
    <w:rsid w:val="0008162D"/>
    <w:rsid w:val="000831C8"/>
    <w:rsid w:val="00083F5E"/>
    <w:rsid w:val="00084950"/>
    <w:rsid w:val="00084FDB"/>
    <w:rsid w:val="0008505C"/>
    <w:rsid w:val="00085C46"/>
    <w:rsid w:val="0008686A"/>
    <w:rsid w:val="00086F32"/>
    <w:rsid w:val="00087175"/>
    <w:rsid w:val="00087D35"/>
    <w:rsid w:val="0009132D"/>
    <w:rsid w:val="00091439"/>
    <w:rsid w:val="00091796"/>
    <w:rsid w:val="00091BA2"/>
    <w:rsid w:val="00091CB0"/>
    <w:rsid w:val="00094344"/>
    <w:rsid w:val="000953C6"/>
    <w:rsid w:val="000953F4"/>
    <w:rsid w:val="0009590C"/>
    <w:rsid w:val="000959E7"/>
    <w:rsid w:val="00095A08"/>
    <w:rsid w:val="00095C45"/>
    <w:rsid w:val="00095E7D"/>
    <w:rsid w:val="000964DE"/>
    <w:rsid w:val="0009697F"/>
    <w:rsid w:val="000972AB"/>
    <w:rsid w:val="00097B40"/>
    <w:rsid w:val="00097D0E"/>
    <w:rsid w:val="00097F4D"/>
    <w:rsid w:val="000A0560"/>
    <w:rsid w:val="000A109B"/>
    <w:rsid w:val="000A17EA"/>
    <w:rsid w:val="000A1C7A"/>
    <w:rsid w:val="000A2345"/>
    <w:rsid w:val="000A2394"/>
    <w:rsid w:val="000A31C1"/>
    <w:rsid w:val="000A32C5"/>
    <w:rsid w:val="000A3411"/>
    <w:rsid w:val="000A34CA"/>
    <w:rsid w:val="000A426F"/>
    <w:rsid w:val="000A4559"/>
    <w:rsid w:val="000A45FD"/>
    <w:rsid w:val="000A4661"/>
    <w:rsid w:val="000A477B"/>
    <w:rsid w:val="000A558D"/>
    <w:rsid w:val="000A5611"/>
    <w:rsid w:val="000A563C"/>
    <w:rsid w:val="000A59C5"/>
    <w:rsid w:val="000A5DEA"/>
    <w:rsid w:val="000A5EBD"/>
    <w:rsid w:val="000A6A83"/>
    <w:rsid w:val="000A7658"/>
    <w:rsid w:val="000A7F0F"/>
    <w:rsid w:val="000A7F4C"/>
    <w:rsid w:val="000B02BC"/>
    <w:rsid w:val="000B0498"/>
    <w:rsid w:val="000B0F36"/>
    <w:rsid w:val="000B1942"/>
    <w:rsid w:val="000B1BED"/>
    <w:rsid w:val="000B2240"/>
    <w:rsid w:val="000B2477"/>
    <w:rsid w:val="000B2600"/>
    <w:rsid w:val="000B36F9"/>
    <w:rsid w:val="000B4074"/>
    <w:rsid w:val="000B4732"/>
    <w:rsid w:val="000B4BCD"/>
    <w:rsid w:val="000B53D1"/>
    <w:rsid w:val="000B66DC"/>
    <w:rsid w:val="000B6D1F"/>
    <w:rsid w:val="000C062F"/>
    <w:rsid w:val="000C17E7"/>
    <w:rsid w:val="000C3270"/>
    <w:rsid w:val="000C577E"/>
    <w:rsid w:val="000C6A57"/>
    <w:rsid w:val="000D02D6"/>
    <w:rsid w:val="000D04BA"/>
    <w:rsid w:val="000D0B6E"/>
    <w:rsid w:val="000D0D65"/>
    <w:rsid w:val="000D0E5D"/>
    <w:rsid w:val="000D12E0"/>
    <w:rsid w:val="000D1944"/>
    <w:rsid w:val="000D1DD9"/>
    <w:rsid w:val="000D2172"/>
    <w:rsid w:val="000D293C"/>
    <w:rsid w:val="000D2BC1"/>
    <w:rsid w:val="000D337B"/>
    <w:rsid w:val="000D385A"/>
    <w:rsid w:val="000D38C2"/>
    <w:rsid w:val="000D3CA7"/>
    <w:rsid w:val="000D5B16"/>
    <w:rsid w:val="000D5FD6"/>
    <w:rsid w:val="000D6201"/>
    <w:rsid w:val="000D6488"/>
    <w:rsid w:val="000D7088"/>
    <w:rsid w:val="000D770B"/>
    <w:rsid w:val="000D788E"/>
    <w:rsid w:val="000E12B0"/>
    <w:rsid w:val="000E16C7"/>
    <w:rsid w:val="000E1BC8"/>
    <w:rsid w:val="000E1D32"/>
    <w:rsid w:val="000E26D8"/>
    <w:rsid w:val="000E2B94"/>
    <w:rsid w:val="000E3156"/>
    <w:rsid w:val="000E35B6"/>
    <w:rsid w:val="000E3BB8"/>
    <w:rsid w:val="000E3D9B"/>
    <w:rsid w:val="000E3DFD"/>
    <w:rsid w:val="000E411A"/>
    <w:rsid w:val="000E4261"/>
    <w:rsid w:val="000E4697"/>
    <w:rsid w:val="000E58C5"/>
    <w:rsid w:val="000E6203"/>
    <w:rsid w:val="000E64CB"/>
    <w:rsid w:val="000E722C"/>
    <w:rsid w:val="000E755B"/>
    <w:rsid w:val="000E786F"/>
    <w:rsid w:val="000E7DA7"/>
    <w:rsid w:val="000E7FA0"/>
    <w:rsid w:val="000F00BA"/>
    <w:rsid w:val="000F02F8"/>
    <w:rsid w:val="000F0409"/>
    <w:rsid w:val="000F049F"/>
    <w:rsid w:val="000F0642"/>
    <w:rsid w:val="000F07FA"/>
    <w:rsid w:val="000F0B5E"/>
    <w:rsid w:val="000F1D43"/>
    <w:rsid w:val="000F1FFF"/>
    <w:rsid w:val="000F20AA"/>
    <w:rsid w:val="000F2651"/>
    <w:rsid w:val="000F2D70"/>
    <w:rsid w:val="000F348D"/>
    <w:rsid w:val="000F369A"/>
    <w:rsid w:val="000F4463"/>
    <w:rsid w:val="000F5285"/>
    <w:rsid w:val="000F52E0"/>
    <w:rsid w:val="000F53A9"/>
    <w:rsid w:val="000F6464"/>
    <w:rsid w:val="000F6628"/>
    <w:rsid w:val="000F6C25"/>
    <w:rsid w:val="000F76EB"/>
    <w:rsid w:val="000F78AE"/>
    <w:rsid w:val="000F7E25"/>
    <w:rsid w:val="001007EE"/>
    <w:rsid w:val="00100F76"/>
    <w:rsid w:val="0010148E"/>
    <w:rsid w:val="001018BB"/>
    <w:rsid w:val="00101A6F"/>
    <w:rsid w:val="0010253C"/>
    <w:rsid w:val="00102BD1"/>
    <w:rsid w:val="001033AA"/>
    <w:rsid w:val="0010486A"/>
    <w:rsid w:val="0010561C"/>
    <w:rsid w:val="00105C0F"/>
    <w:rsid w:val="00105E39"/>
    <w:rsid w:val="00106561"/>
    <w:rsid w:val="00106B88"/>
    <w:rsid w:val="00106D63"/>
    <w:rsid w:val="001075F3"/>
    <w:rsid w:val="00107A01"/>
    <w:rsid w:val="00107BF5"/>
    <w:rsid w:val="00107C23"/>
    <w:rsid w:val="00107D33"/>
    <w:rsid w:val="00110307"/>
    <w:rsid w:val="00110C7F"/>
    <w:rsid w:val="00110EE2"/>
    <w:rsid w:val="00111A7A"/>
    <w:rsid w:val="00111A88"/>
    <w:rsid w:val="0011221A"/>
    <w:rsid w:val="00113283"/>
    <w:rsid w:val="001137AE"/>
    <w:rsid w:val="00113B20"/>
    <w:rsid w:val="001147B3"/>
    <w:rsid w:val="001148F7"/>
    <w:rsid w:val="001149B2"/>
    <w:rsid w:val="00114C2D"/>
    <w:rsid w:val="00115125"/>
    <w:rsid w:val="001152F2"/>
    <w:rsid w:val="001157D7"/>
    <w:rsid w:val="00116382"/>
    <w:rsid w:val="00116484"/>
    <w:rsid w:val="00116ACF"/>
    <w:rsid w:val="00116D5C"/>
    <w:rsid w:val="00117276"/>
    <w:rsid w:val="001172B2"/>
    <w:rsid w:val="00117F9B"/>
    <w:rsid w:val="00120463"/>
    <w:rsid w:val="00121211"/>
    <w:rsid w:val="00121628"/>
    <w:rsid w:val="0012167D"/>
    <w:rsid w:val="00122189"/>
    <w:rsid w:val="00122280"/>
    <w:rsid w:val="00122D42"/>
    <w:rsid w:val="00123345"/>
    <w:rsid w:val="00123C46"/>
    <w:rsid w:val="0012470B"/>
    <w:rsid w:val="00125C75"/>
    <w:rsid w:val="00125C7E"/>
    <w:rsid w:val="00127945"/>
    <w:rsid w:val="00127D94"/>
    <w:rsid w:val="00127DB1"/>
    <w:rsid w:val="00127E90"/>
    <w:rsid w:val="001302C1"/>
    <w:rsid w:val="001306D3"/>
    <w:rsid w:val="00130A41"/>
    <w:rsid w:val="001310BF"/>
    <w:rsid w:val="00133E73"/>
    <w:rsid w:val="00133FDB"/>
    <w:rsid w:val="00134F4A"/>
    <w:rsid w:val="001351CB"/>
    <w:rsid w:val="00135807"/>
    <w:rsid w:val="00135E4E"/>
    <w:rsid w:val="00136246"/>
    <w:rsid w:val="001364D4"/>
    <w:rsid w:val="001371C8"/>
    <w:rsid w:val="001372ED"/>
    <w:rsid w:val="00140FEF"/>
    <w:rsid w:val="00142B50"/>
    <w:rsid w:val="00142D51"/>
    <w:rsid w:val="00143873"/>
    <w:rsid w:val="001439E9"/>
    <w:rsid w:val="00143C55"/>
    <w:rsid w:val="00144C6F"/>
    <w:rsid w:val="00145089"/>
    <w:rsid w:val="001451E7"/>
    <w:rsid w:val="001462E3"/>
    <w:rsid w:val="0014720C"/>
    <w:rsid w:val="001472C2"/>
    <w:rsid w:val="00147458"/>
    <w:rsid w:val="00147D7B"/>
    <w:rsid w:val="00147E21"/>
    <w:rsid w:val="00150BA8"/>
    <w:rsid w:val="00150D19"/>
    <w:rsid w:val="0015181B"/>
    <w:rsid w:val="00151A9F"/>
    <w:rsid w:val="00152B87"/>
    <w:rsid w:val="00153A96"/>
    <w:rsid w:val="00153D1C"/>
    <w:rsid w:val="001540CE"/>
    <w:rsid w:val="001543E2"/>
    <w:rsid w:val="0015548F"/>
    <w:rsid w:val="00155B43"/>
    <w:rsid w:val="001565A2"/>
    <w:rsid w:val="001567C3"/>
    <w:rsid w:val="00156A12"/>
    <w:rsid w:val="00157B3F"/>
    <w:rsid w:val="00157F8A"/>
    <w:rsid w:val="00160C3D"/>
    <w:rsid w:val="00161B24"/>
    <w:rsid w:val="00161C41"/>
    <w:rsid w:val="00161DD5"/>
    <w:rsid w:val="001633A4"/>
    <w:rsid w:val="001634D6"/>
    <w:rsid w:val="001648DD"/>
    <w:rsid w:val="00165705"/>
    <w:rsid w:val="00166018"/>
    <w:rsid w:val="00166389"/>
    <w:rsid w:val="00166E03"/>
    <w:rsid w:val="00167E4C"/>
    <w:rsid w:val="00170368"/>
    <w:rsid w:val="00171449"/>
    <w:rsid w:val="0017199C"/>
    <w:rsid w:val="00171C7E"/>
    <w:rsid w:val="00171D64"/>
    <w:rsid w:val="00171F35"/>
    <w:rsid w:val="00172552"/>
    <w:rsid w:val="00172873"/>
    <w:rsid w:val="00172CF7"/>
    <w:rsid w:val="0017319E"/>
    <w:rsid w:val="00173A1F"/>
    <w:rsid w:val="00173BC3"/>
    <w:rsid w:val="00174128"/>
    <w:rsid w:val="00175C34"/>
    <w:rsid w:val="00175F9A"/>
    <w:rsid w:val="00176E98"/>
    <w:rsid w:val="00177996"/>
    <w:rsid w:val="00180B3F"/>
    <w:rsid w:val="00180C83"/>
    <w:rsid w:val="00180CE5"/>
    <w:rsid w:val="00180E41"/>
    <w:rsid w:val="0018175B"/>
    <w:rsid w:val="001820A3"/>
    <w:rsid w:val="00182C3E"/>
    <w:rsid w:val="00182EE6"/>
    <w:rsid w:val="0018332A"/>
    <w:rsid w:val="00183D80"/>
    <w:rsid w:val="001842C8"/>
    <w:rsid w:val="00185044"/>
    <w:rsid w:val="001850DB"/>
    <w:rsid w:val="0018599C"/>
    <w:rsid w:val="001869EE"/>
    <w:rsid w:val="00186D00"/>
    <w:rsid w:val="0018743A"/>
    <w:rsid w:val="00187C71"/>
    <w:rsid w:val="00190A57"/>
    <w:rsid w:val="00190B3F"/>
    <w:rsid w:val="0019122C"/>
    <w:rsid w:val="00191908"/>
    <w:rsid w:val="00192DF3"/>
    <w:rsid w:val="0019301F"/>
    <w:rsid w:val="00193286"/>
    <w:rsid w:val="001937B8"/>
    <w:rsid w:val="001939F6"/>
    <w:rsid w:val="00193E4B"/>
    <w:rsid w:val="00194BB7"/>
    <w:rsid w:val="00194CC5"/>
    <w:rsid w:val="00194D2D"/>
    <w:rsid w:val="001951B2"/>
    <w:rsid w:val="0019565D"/>
    <w:rsid w:val="00196599"/>
    <w:rsid w:val="00197564"/>
    <w:rsid w:val="00197EC2"/>
    <w:rsid w:val="00197ECE"/>
    <w:rsid w:val="001A1CED"/>
    <w:rsid w:val="001A279B"/>
    <w:rsid w:val="001A2DC3"/>
    <w:rsid w:val="001A2E87"/>
    <w:rsid w:val="001A3869"/>
    <w:rsid w:val="001A38C2"/>
    <w:rsid w:val="001A65C8"/>
    <w:rsid w:val="001A732E"/>
    <w:rsid w:val="001A7F30"/>
    <w:rsid w:val="001B06E2"/>
    <w:rsid w:val="001B103A"/>
    <w:rsid w:val="001B103D"/>
    <w:rsid w:val="001B1513"/>
    <w:rsid w:val="001B1767"/>
    <w:rsid w:val="001B2453"/>
    <w:rsid w:val="001B3D48"/>
    <w:rsid w:val="001B53AC"/>
    <w:rsid w:val="001B5AF9"/>
    <w:rsid w:val="001B6600"/>
    <w:rsid w:val="001B6B9B"/>
    <w:rsid w:val="001B6C27"/>
    <w:rsid w:val="001B6F0F"/>
    <w:rsid w:val="001B7144"/>
    <w:rsid w:val="001B7E91"/>
    <w:rsid w:val="001C147E"/>
    <w:rsid w:val="001C151B"/>
    <w:rsid w:val="001C19E5"/>
    <w:rsid w:val="001C2CE0"/>
    <w:rsid w:val="001C3666"/>
    <w:rsid w:val="001C3800"/>
    <w:rsid w:val="001C3C7B"/>
    <w:rsid w:val="001C6122"/>
    <w:rsid w:val="001C6587"/>
    <w:rsid w:val="001C69BE"/>
    <w:rsid w:val="001C6AFD"/>
    <w:rsid w:val="001C6DB5"/>
    <w:rsid w:val="001C71AC"/>
    <w:rsid w:val="001C7316"/>
    <w:rsid w:val="001C7E5C"/>
    <w:rsid w:val="001D00CC"/>
    <w:rsid w:val="001D02B8"/>
    <w:rsid w:val="001D0494"/>
    <w:rsid w:val="001D067F"/>
    <w:rsid w:val="001D07B7"/>
    <w:rsid w:val="001D1719"/>
    <w:rsid w:val="001D171B"/>
    <w:rsid w:val="001D1732"/>
    <w:rsid w:val="001D1E2E"/>
    <w:rsid w:val="001D207C"/>
    <w:rsid w:val="001D2203"/>
    <w:rsid w:val="001D255C"/>
    <w:rsid w:val="001D2DEF"/>
    <w:rsid w:val="001D30BB"/>
    <w:rsid w:val="001D488C"/>
    <w:rsid w:val="001D4CDF"/>
    <w:rsid w:val="001D4F88"/>
    <w:rsid w:val="001D578D"/>
    <w:rsid w:val="001D5818"/>
    <w:rsid w:val="001D653A"/>
    <w:rsid w:val="001D7DEE"/>
    <w:rsid w:val="001E02CB"/>
    <w:rsid w:val="001E0F22"/>
    <w:rsid w:val="001E14FD"/>
    <w:rsid w:val="001E180F"/>
    <w:rsid w:val="001E18F5"/>
    <w:rsid w:val="001E1C64"/>
    <w:rsid w:val="001E1CEC"/>
    <w:rsid w:val="001E2ECB"/>
    <w:rsid w:val="001E3572"/>
    <w:rsid w:val="001E4B64"/>
    <w:rsid w:val="001E4D8A"/>
    <w:rsid w:val="001E552A"/>
    <w:rsid w:val="001E557B"/>
    <w:rsid w:val="001E57B9"/>
    <w:rsid w:val="001E6E8D"/>
    <w:rsid w:val="001E7EE4"/>
    <w:rsid w:val="001E7F76"/>
    <w:rsid w:val="001F0000"/>
    <w:rsid w:val="001F0FAF"/>
    <w:rsid w:val="001F139F"/>
    <w:rsid w:val="001F2805"/>
    <w:rsid w:val="001F2E79"/>
    <w:rsid w:val="001F2F07"/>
    <w:rsid w:val="001F3123"/>
    <w:rsid w:val="001F376D"/>
    <w:rsid w:val="001F418C"/>
    <w:rsid w:val="001F48B8"/>
    <w:rsid w:val="001F4B2D"/>
    <w:rsid w:val="001F4F40"/>
    <w:rsid w:val="001F50E0"/>
    <w:rsid w:val="001F594C"/>
    <w:rsid w:val="001F69FC"/>
    <w:rsid w:val="001F6D62"/>
    <w:rsid w:val="001F7675"/>
    <w:rsid w:val="00200644"/>
    <w:rsid w:val="00200FAE"/>
    <w:rsid w:val="0020102D"/>
    <w:rsid w:val="00201078"/>
    <w:rsid w:val="002010E2"/>
    <w:rsid w:val="00201B73"/>
    <w:rsid w:val="00202517"/>
    <w:rsid w:val="00202ADB"/>
    <w:rsid w:val="00202BB7"/>
    <w:rsid w:val="0020435B"/>
    <w:rsid w:val="00204533"/>
    <w:rsid w:val="00204F0B"/>
    <w:rsid w:val="00204F2D"/>
    <w:rsid w:val="00205566"/>
    <w:rsid w:val="00205F41"/>
    <w:rsid w:val="002063AA"/>
    <w:rsid w:val="0020663A"/>
    <w:rsid w:val="00210549"/>
    <w:rsid w:val="0021069E"/>
    <w:rsid w:val="00210804"/>
    <w:rsid w:val="0021088F"/>
    <w:rsid w:val="002113FE"/>
    <w:rsid w:val="00211737"/>
    <w:rsid w:val="0021181B"/>
    <w:rsid w:val="0021230F"/>
    <w:rsid w:val="002125B0"/>
    <w:rsid w:val="002125F6"/>
    <w:rsid w:val="00212A82"/>
    <w:rsid w:val="00214EA2"/>
    <w:rsid w:val="002160FA"/>
    <w:rsid w:val="002166DD"/>
    <w:rsid w:val="002168A2"/>
    <w:rsid w:val="00216AC3"/>
    <w:rsid w:val="00217867"/>
    <w:rsid w:val="00217DE5"/>
    <w:rsid w:val="002205E4"/>
    <w:rsid w:val="00220D67"/>
    <w:rsid w:val="002215F8"/>
    <w:rsid w:val="00221F80"/>
    <w:rsid w:val="0022273A"/>
    <w:rsid w:val="00222D28"/>
    <w:rsid w:val="00223CF4"/>
    <w:rsid w:val="00224220"/>
    <w:rsid w:val="00224398"/>
    <w:rsid w:val="00224A81"/>
    <w:rsid w:val="00224E91"/>
    <w:rsid w:val="00225B4C"/>
    <w:rsid w:val="00225E1E"/>
    <w:rsid w:val="00226129"/>
    <w:rsid w:val="0022614D"/>
    <w:rsid w:val="00226AA2"/>
    <w:rsid w:val="00227218"/>
    <w:rsid w:val="0022770A"/>
    <w:rsid w:val="00227BEE"/>
    <w:rsid w:val="00227FB4"/>
    <w:rsid w:val="0023057E"/>
    <w:rsid w:val="002312BC"/>
    <w:rsid w:val="002337E5"/>
    <w:rsid w:val="00233C06"/>
    <w:rsid w:val="00233F24"/>
    <w:rsid w:val="00234B49"/>
    <w:rsid w:val="00234BBB"/>
    <w:rsid w:val="002356F4"/>
    <w:rsid w:val="00235F02"/>
    <w:rsid w:val="00236D28"/>
    <w:rsid w:val="00237331"/>
    <w:rsid w:val="00237FE4"/>
    <w:rsid w:val="00240656"/>
    <w:rsid w:val="00241610"/>
    <w:rsid w:val="00241AED"/>
    <w:rsid w:val="00243182"/>
    <w:rsid w:val="002438E5"/>
    <w:rsid w:val="00243928"/>
    <w:rsid w:val="00243946"/>
    <w:rsid w:val="00243BC5"/>
    <w:rsid w:val="00243C7D"/>
    <w:rsid w:val="00243E9A"/>
    <w:rsid w:val="00244371"/>
    <w:rsid w:val="00244AF8"/>
    <w:rsid w:val="00244BC5"/>
    <w:rsid w:val="00244E68"/>
    <w:rsid w:val="0024559D"/>
    <w:rsid w:val="002456C5"/>
    <w:rsid w:val="002459FC"/>
    <w:rsid w:val="00245ABE"/>
    <w:rsid w:val="00245C0B"/>
    <w:rsid w:val="00246EAE"/>
    <w:rsid w:val="00247116"/>
    <w:rsid w:val="002471E5"/>
    <w:rsid w:val="0025133F"/>
    <w:rsid w:val="002517A8"/>
    <w:rsid w:val="00251EEE"/>
    <w:rsid w:val="00253177"/>
    <w:rsid w:val="002538B8"/>
    <w:rsid w:val="0025396F"/>
    <w:rsid w:val="00253FBC"/>
    <w:rsid w:val="00254319"/>
    <w:rsid w:val="002546A4"/>
    <w:rsid w:val="0025539F"/>
    <w:rsid w:val="002556F8"/>
    <w:rsid w:val="00256388"/>
    <w:rsid w:val="00256448"/>
    <w:rsid w:val="00256E44"/>
    <w:rsid w:val="00257395"/>
    <w:rsid w:val="002605BF"/>
    <w:rsid w:val="00260919"/>
    <w:rsid w:val="002609E5"/>
    <w:rsid w:val="002612FD"/>
    <w:rsid w:val="002613DC"/>
    <w:rsid w:val="00261755"/>
    <w:rsid w:val="00261AAA"/>
    <w:rsid w:val="00262097"/>
    <w:rsid w:val="00262D20"/>
    <w:rsid w:val="002634AB"/>
    <w:rsid w:val="002638E0"/>
    <w:rsid w:val="00263C19"/>
    <w:rsid w:val="00263E9F"/>
    <w:rsid w:val="00264F03"/>
    <w:rsid w:val="00264F8F"/>
    <w:rsid w:val="002655AE"/>
    <w:rsid w:val="0026591F"/>
    <w:rsid w:val="00265A65"/>
    <w:rsid w:val="00265A71"/>
    <w:rsid w:val="00265C3C"/>
    <w:rsid w:val="002660F0"/>
    <w:rsid w:val="0026632B"/>
    <w:rsid w:val="002675B6"/>
    <w:rsid w:val="00267A99"/>
    <w:rsid w:val="00270271"/>
    <w:rsid w:val="00272174"/>
    <w:rsid w:val="002721A6"/>
    <w:rsid w:val="002722E0"/>
    <w:rsid w:val="002730EC"/>
    <w:rsid w:val="00273100"/>
    <w:rsid w:val="002735CC"/>
    <w:rsid w:val="002744A4"/>
    <w:rsid w:val="00274588"/>
    <w:rsid w:val="00274A67"/>
    <w:rsid w:val="00274AA2"/>
    <w:rsid w:val="002756EF"/>
    <w:rsid w:val="00275708"/>
    <w:rsid w:val="002768CF"/>
    <w:rsid w:val="00276F82"/>
    <w:rsid w:val="00277E7F"/>
    <w:rsid w:val="002805DF"/>
    <w:rsid w:val="0028092D"/>
    <w:rsid w:val="002815D9"/>
    <w:rsid w:val="00281B53"/>
    <w:rsid w:val="00282317"/>
    <w:rsid w:val="00282806"/>
    <w:rsid w:val="00282D25"/>
    <w:rsid w:val="00282DF9"/>
    <w:rsid w:val="00283A44"/>
    <w:rsid w:val="0028529F"/>
    <w:rsid w:val="00285687"/>
    <w:rsid w:val="0028672A"/>
    <w:rsid w:val="00287649"/>
    <w:rsid w:val="00287867"/>
    <w:rsid w:val="00287DAB"/>
    <w:rsid w:val="00287FB6"/>
    <w:rsid w:val="002900C5"/>
    <w:rsid w:val="002901E0"/>
    <w:rsid w:val="0029075B"/>
    <w:rsid w:val="00290BB1"/>
    <w:rsid w:val="00291BC1"/>
    <w:rsid w:val="002933CA"/>
    <w:rsid w:val="00293468"/>
    <w:rsid w:val="00293A8F"/>
    <w:rsid w:val="002942C5"/>
    <w:rsid w:val="0029473C"/>
    <w:rsid w:val="00294AAA"/>
    <w:rsid w:val="00294C39"/>
    <w:rsid w:val="00295155"/>
    <w:rsid w:val="0029570C"/>
    <w:rsid w:val="00295D51"/>
    <w:rsid w:val="00296203"/>
    <w:rsid w:val="00296428"/>
    <w:rsid w:val="0029643D"/>
    <w:rsid w:val="0029706A"/>
    <w:rsid w:val="002972EE"/>
    <w:rsid w:val="00297F01"/>
    <w:rsid w:val="002A0119"/>
    <w:rsid w:val="002A052D"/>
    <w:rsid w:val="002A0DF8"/>
    <w:rsid w:val="002A12A6"/>
    <w:rsid w:val="002A1625"/>
    <w:rsid w:val="002A1928"/>
    <w:rsid w:val="002A1F1F"/>
    <w:rsid w:val="002A21B5"/>
    <w:rsid w:val="002A2631"/>
    <w:rsid w:val="002A2A0C"/>
    <w:rsid w:val="002A2BB6"/>
    <w:rsid w:val="002A30E0"/>
    <w:rsid w:val="002A310C"/>
    <w:rsid w:val="002A31A1"/>
    <w:rsid w:val="002A3521"/>
    <w:rsid w:val="002A35C5"/>
    <w:rsid w:val="002A37E1"/>
    <w:rsid w:val="002A3B61"/>
    <w:rsid w:val="002A402A"/>
    <w:rsid w:val="002A43D0"/>
    <w:rsid w:val="002A45AA"/>
    <w:rsid w:val="002A4B0B"/>
    <w:rsid w:val="002A4B6F"/>
    <w:rsid w:val="002A4FFF"/>
    <w:rsid w:val="002A533C"/>
    <w:rsid w:val="002A56E1"/>
    <w:rsid w:val="002A59BD"/>
    <w:rsid w:val="002A75CA"/>
    <w:rsid w:val="002A7889"/>
    <w:rsid w:val="002A799A"/>
    <w:rsid w:val="002A7FC9"/>
    <w:rsid w:val="002B0427"/>
    <w:rsid w:val="002B067B"/>
    <w:rsid w:val="002B097D"/>
    <w:rsid w:val="002B11B2"/>
    <w:rsid w:val="002B17EB"/>
    <w:rsid w:val="002B18F7"/>
    <w:rsid w:val="002B31CF"/>
    <w:rsid w:val="002B3ED7"/>
    <w:rsid w:val="002B4004"/>
    <w:rsid w:val="002B4778"/>
    <w:rsid w:val="002B75B2"/>
    <w:rsid w:val="002B79B7"/>
    <w:rsid w:val="002C0823"/>
    <w:rsid w:val="002C0A66"/>
    <w:rsid w:val="002C141D"/>
    <w:rsid w:val="002C19C0"/>
    <w:rsid w:val="002C2485"/>
    <w:rsid w:val="002C25E0"/>
    <w:rsid w:val="002C2A2D"/>
    <w:rsid w:val="002C36C0"/>
    <w:rsid w:val="002C3928"/>
    <w:rsid w:val="002C3B33"/>
    <w:rsid w:val="002C435E"/>
    <w:rsid w:val="002C43BB"/>
    <w:rsid w:val="002C44AB"/>
    <w:rsid w:val="002C5E39"/>
    <w:rsid w:val="002C5FA2"/>
    <w:rsid w:val="002C7A02"/>
    <w:rsid w:val="002C7BD4"/>
    <w:rsid w:val="002C7C81"/>
    <w:rsid w:val="002D0107"/>
    <w:rsid w:val="002D062E"/>
    <w:rsid w:val="002D0D43"/>
    <w:rsid w:val="002D0F64"/>
    <w:rsid w:val="002D15C2"/>
    <w:rsid w:val="002D2B10"/>
    <w:rsid w:val="002D3842"/>
    <w:rsid w:val="002D386A"/>
    <w:rsid w:val="002D3CD7"/>
    <w:rsid w:val="002D4100"/>
    <w:rsid w:val="002D477F"/>
    <w:rsid w:val="002D4D53"/>
    <w:rsid w:val="002D4F48"/>
    <w:rsid w:val="002D519B"/>
    <w:rsid w:val="002D5BA5"/>
    <w:rsid w:val="002D621E"/>
    <w:rsid w:val="002D66DA"/>
    <w:rsid w:val="002D7027"/>
    <w:rsid w:val="002D70DC"/>
    <w:rsid w:val="002D758B"/>
    <w:rsid w:val="002D79BC"/>
    <w:rsid w:val="002D7E58"/>
    <w:rsid w:val="002E0D31"/>
    <w:rsid w:val="002E0EFA"/>
    <w:rsid w:val="002E1073"/>
    <w:rsid w:val="002E12EC"/>
    <w:rsid w:val="002E146D"/>
    <w:rsid w:val="002E1803"/>
    <w:rsid w:val="002E272B"/>
    <w:rsid w:val="002E29F8"/>
    <w:rsid w:val="002E2C52"/>
    <w:rsid w:val="002E342B"/>
    <w:rsid w:val="002E3B81"/>
    <w:rsid w:val="002E3D08"/>
    <w:rsid w:val="002E3E1D"/>
    <w:rsid w:val="002E3EEA"/>
    <w:rsid w:val="002E43CC"/>
    <w:rsid w:val="002E4BF8"/>
    <w:rsid w:val="002E4D08"/>
    <w:rsid w:val="002E4DA5"/>
    <w:rsid w:val="002E4E66"/>
    <w:rsid w:val="002E52B8"/>
    <w:rsid w:val="002E5DBF"/>
    <w:rsid w:val="002E5E01"/>
    <w:rsid w:val="002E60F5"/>
    <w:rsid w:val="002E6536"/>
    <w:rsid w:val="002E6687"/>
    <w:rsid w:val="002E69F5"/>
    <w:rsid w:val="002E6CAA"/>
    <w:rsid w:val="002E732D"/>
    <w:rsid w:val="002E73EC"/>
    <w:rsid w:val="002E7B8B"/>
    <w:rsid w:val="002F023D"/>
    <w:rsid w:val="002F0D7C"/>
    <w:rsid w:val="002F10EC"/>
    <w:rsid w:val="002F1136"/>
    <w:rsid w:val="002F122D"/>
    <w:rsid w:val="002F1231"/>
    <w:rsid w:val="002F1521"/>
    <w:rsid w:val="002F15EE"/>
    <w:rsid w:val="002F33E6"/>
    <w:rsid w:val="002F3632"/>
    <w:rsid w:val="002F3747"/>
    <w:rsid w:val="002F3AFB"/>
    <w:rsid w:val="002F3C41"/>
    <w:rsid w:val="002F4C8E"/>
    <w:rsid w:val="002F4D2E"/>
    <w:rsid w:val="002F5076"/>
    <w:rsid w:val="002F5839"/>
    <w:rsid w:val="002F5F89"/>
    <w:rsid w:val="002F64D9"/>
    <w:rsid w:val="002F651D"/>
    <w:rsid w:val="002F6648"/>
    <w:rsid w:val="002F6B67"/>
    <w:rsid w:val="002F6E44"/>
    <w:rsid w:val="002F74FD"/>
    <w:rsid w:val="002F787B"/>
    <w:rsid w:val="002F7974"/>
    <w:rsid w:val="002F7D01"/>
    <w:rsid w:val="0030005C"/>
    <w:rsid w:val="00300369"/>
    <w:rsid w:val="003018DB"/>
    <w:rsid w:val="00301D0A"/>
    <w:rsid w:val="003027B8"/>
    <w:rsid w:val="0030293F"/>
    <w:rsid w:val="00302947"/>
    <w:rsid w:val="00302C50"/>
    <w:rsid w:val="003031C2"/>
    <w:rsid w:val="00303861"/>
    <w:rsid w:val="00303FBA"/>
    <w:rsid w:val="003049B1"/>
    <w:rsid w:val="00304FFF"/>
    <w:rsid w:val="00305372"/>
    <w:rsid w:val="00305557"/>
    <w:rsid w:val="0030561F"/>
    <w:rsid w:val="00305CA3"/>
    <w:rsid w:val="00306E5C"/>
    <w:rsid w:val="00307710"/>
    <w:rsid w:val="00307C19"/>
    <w:rsid w:val="00310732"/>
    <w:rsid w:val="00310BC9"/>
    <w:rsid w:val="00310E94"/>
    <w:rsid w:val="00311211"/>
    <w:rsid w:val="00311762"/>
    <w:rsid w:val="00311813"/>
    <w:rsid w:val="00311D0A"/>
    <w:rsid w:val="00311E98"/>
    <w:rsid w:val="00312215"/>
    <w:rsid w:val="00312277"/>
    <w:rsid w:val="0031249C"/>
    <w:rsid w:val="003125C3"/>
    <w:rsid w:val="00312877"/>
    <w:rsid w:val="00312896"/>
    <w:rsid w:val="00313EAC"/>
    <w:rsid w:val="003142F4"/>
    <w:rsid w:val="0031454E"/>
    <w:rsid w:val="0031611F"/>
    <w:rsid w:val="00317A33"/>
    <w:rsid w:val="00320339"/>
    <w:rsid w:val="00321214"/>
    <w:rsid w:val="003213D5"/>
    <w:rsid w:val="00321F0B"/>
    <w:rsid w:val="00322197"/>
    <w:rsid w:val="00322785"/>
    <w:rsid w:val="00323737"/>
    <w:rsid w:val="00323AD6"/>
    <w:rsid w:val="00323C49"/>
    <w:rsid w:val="00323F27"/>
    <w:rsid w:val="003242EF"/>
    <w:rsid w:val="00325339"/>
    <w:rsid w:val="003255AA"/>
    <w:rsid w:val="003314B6"/>
    <w:rsid w:val="00331578"/>
    <w:rsid w:val="00331A20"/>
    <w:rsid w:val="00331A23"/>
    <w:rsid w:val="00331E65"/>
    <w:rsid w:val="00333107"/>
    <w:rsid w:val="0033343B"/>
    <w:rsid w:val="0033393C"/>
    <w:rsid w:val="003339E2"/>
    <w:rsid w:val="003357EE"/>
    <w:rsid w:val="00337368"/>
    <w:rsid w:val="00337B4D"/>
    <w:rsid w:val="003407A9"/>
    <w:rsid w:val="00340BA3"/>
    <w:rsid w:val="00340BAF"/>
    <w:rsid w:val="00340C2B"/>
    <w:rsid w:val="00340F9A"/>
    <w:rsid w:val="00341018"/>
    <w:rsid w:val="00341723"/>
    <w:rsid w:val="003420D9"/>
    <w:rsid w:val="003423E0"/>
    <w:rsid w:val="0034301A"/>
    <w:rsid w:val="00343D76"/>
    <w:rsid w:val="00344DFD"/>
    <w:rsid w:val="003451D3"/>
    <w:rsid w:val="003455AA"/>
    <w:rsid w:val="00345B64"/>
    <w:rsid w:val="00346631"/>
    <w:rsid w:val="00346AAD"/>
    <w:rsid w:val="00346D96"/>
    <w:rsid w:val="0034736A"/>
    <w:rsid w:val="0034747C"/>
    <w:rsid w:val="00347879"/>
    <w:rsid w:val="00347B6C"/>
    <w:rsid w:val="0035151C"/>
    <w:rsid w:val="00352254"/>
    <w:rsid w:val="003522A3"/>
    <w:rsid w:val="00353929"/>
    <w:rsid w:val="00353F9E"/>
    <w:rsid w:val="003540D1"/>
    <w:rsid w:val="003545BF"/>
    <w:rsid w:val="0035586A"/>
    <w:rsid w:val="0035611A"/>
    <w:rsid w:val="00356C3D"/>
    <w:rsid w:val="00360B75"/>
    <w:rsid w:val="0036151C"/>
    <w:rsid w:val="00361A9B"/>
    <w:rsid w:val="003627FA"/>
    <w:rsid w:val="00362CCF"/>
    <w:rsid w:val="003631DB"/>
    <w:rsid w:val="00363587"/>
    <w:rsid w:val="00364524"/>
    <w:rsid w:val="0036513A"/>
    <w:rsid w:val="00365237"/>
    <w:rsid w:val="0036559C"/>
    <w:rsid w:val="0036587E"/>
    <w:rsid w:val="003660CD"/>
    <w:rsid w:val="00366AC2"/>
    <w:rsid w:val="00366B08"/>
    <w:rsid w:val="0036744C"/>
    <w:rsid w:val="00367496"/>
    <w:rsid w:val="003678BE"/>
    <w:rsid w:val="003700F8"/>
    <w:rsid w:val="00370949"/>
    <w:rsid w:val="0037243B"/>
    <w:rsid w:val="0037251C"/>
    <w:rsid w:val="003725D7"/>
    <w:rsid w:val="0037272C"/>
    <w:rsid w:val="00372B9A"/>
    <w:rsid w:val="003731BF"/>
    <w:rsid w:val="00374CC5"/>
    <w:rsid w:val="00375287"/>
    <w:rsid w:val="00375791"/>
    <w:rsid w:val="00375826"/>
    <w:rsid w:val="00375994"/>
    <w:rsid w:val="00375C59"/>
    <w:rsid w:val="00375E05"/>
    <w:rsid w:val="0037660D"/>
    <w:rsid w:val="00376BB7"/>
    <w:rsid w:val="00376EEE"/>
    <w:rsid w:val="00377BA1"/>
    <w:rsid w:val="00377FF0"/>
    <w:rsid w:val="00380616"/>
    <w:rsid w:val="00381022"/>
    <w:rsid w:val="003814B8"/>
    <w:rsid w:val="0038268F"/>
    <w:rsid w:val="00382909"/>
    <w:rsid w:val="00382EE1"/>
    <w:rsid w:val="00384258"/>
    <w:rsid w:val="00385131"/>
    <w:rsid w:val="00385A43"/>
    <w:rsid w:val="0038620B"/>
    <w:rsid w:val="00387647"/>
    <w:rsid w:val="0038791A"/>
    <w:rsid w:val="00390056"/>
    <w:rsid w:val="0039055C"/>
    <w:rsid w:val="00390718"/>
    <w:rsid w:val="00390767"/>
    <w:rsid w:val="00390883"/>
    <w:rsid w:val="00391470"/>
    <w:rsid w:val="003920C4"/>
    <w:rsid w:val="00392184"/>
    <w:rsid w:val="00392652"/>
    <w:rsid w:val="00392B41"/>
    <w:rsid w:val="0039456F"/>
    <w:rsid w:val="003945C8"/>
    <w:rsid w:val="0039480D"/>
    <w:rsid w:val="00395446"/>
    <w:rsid w:val="00396725"/>
    <w:rsid w:val="003975BE"/>
    <w:rsid w:val="00397A28"/>
    <w:rsid w:val="00397E94"/>
    <w:rsid w:val="00397F05"/>
    <w:rsid w:val="003A0442"/>
    <w:rsid w:val="003A0899"/>
    <w:rsid w:val="003A1512"/>
    <w:rsid w:val="003A153B"/>
    <w:rsid w:val="003A1EB7"/>
    <w:rsid w:val="003A2013"/>
    <w:rsid w:val="003A23F3"/>
    <w:rsid w:val="003A2D82"/>
    <w:rsid w:val="003A337C"/>
    <w:rsid w:val="003A36DA"/>
    <w:rsid w:val="003A38F1"/>
    <w:rsid w:val="003A3D1B"/>
    <w:rsid w:val="003A3F39"/>
    <w:rsid w:val="003A4296"/>
    <w:rsid w:val="003A4549"/>
    <w:rsid w:val="003A4770"/>
    <w:rsid w:val="003A49B3"/>
    <w:rsid w:val="003A55B4"/>
    <w:rsid w:val="003A61B6"/>
    <w:rsid w:val="003A623F"/>
    <w:rsid w:val="003A71AD"/>
    <w:rsid w:val="003A7D1D"/>
    <w:rsid w:val="003B0999"/>
    <w:rsid w:val="003B1688"/>
    <w:rsid w:val="003B1FA4"/>
    <w:rsid w:val="003B1FE6"/>
    <w:rsid w:val="003B281B"/>
    <w:rsid w:val="003B3106"/>
    <w:rsid w:val="003B3974"/>
    <w:rsid w:val="003B39E0"/>
    <w:rsid w:val="003B3A19"/>
    <w:rsid w:val="003B3DAB"/>
    <w:rsid w:val="003B404D"/>
    <w:rsid w:val="003B4B34"/>
    <w:rsid w:val="003B4CDA"/>
    <w:rsid w:val="003B4F2D"/>
    <w:rsid w:val="003B5BD9"/>
    <w:rsid w:val="003B64A3"/>
    <w:rsid w:val="003B6DB8"/>
    <w:rsid w:val="003B72B9"/>
    <w:rsid w:val="003C04BE"/>
    <w:rsid w:val="003C0887"/>
    <w:rsid w:val="003C08AF"/>
    <w:rsid w:val="003C24EA"/>
    <w:rsid w:val="003C2EDD"/>
    <w:rsid w:val="003C3220"/>
    <w:rsid w:val="003C3A47"/>
    <w:rsid w:val="003C3A79"/>
    <w:rsid w:val="003C48F2"/>
    <w:rsid w:val="003C5177"/>
    <w:rsid w:val="003C52B0"/>
    <w:rsid w:val="003C5911"/>
    <w:rsid w:val="003C5CDB"/>
    <w:rsid w:val="003C6465"/>
    <w:rsid w:val="003C65E4"/>
    <w:rsid w:val="003C7712"/>
    <w:rsid w:val="003C7862"/>
    <w:rsid w:val="003C7ECD"/>
    <w:rsid w:val="003D007D"/>
    <w:rsid w:val="003D01A1"/>
    <w:rsid w:val="003D04D6"/>
    <w:rsid w:val="003D04F6"/>
    <w:rsid w:val="003D18CC"/>
    <w:rsid w:val="003D2475"/>
    <w:rsid w:val="003D341B"/>
    <w:rsid w:val="003D3583"/>
    <w:rsid w:val="003D3874"/>
    <w:rsid w:val="003D391E"/>
    <w:rsid w:val="003D3B6F"/>
    <w:rsid w:val="003D40E5"/>
    <w:rsid w:val="003D40E8"/>
    <w:rsid w:val="003D455E"/>
    <w:rsid w:val="003D5785"/>
    <w:rsid w:val="003D5A2D"/>
    <w:rsid w:val="003D5A9D"/>
    <w:rsid w:val="003D62C0"/>
    <w:rsid w:val="003D65F6"/>
    <w:rsid w:val="003D6911"/>
    <w:rsid w:val="003D7672"/>
    <w:rsid w:val="003D7BF5"/>
    <w:rsid w:val="003D7D4D"/>
    <w:rsid w:val="003D7E4B"/>
    <w:rsid w:val="003E0035"/>
    <w:rsid w:val="003E0C14"/>
    <w:rsid w:val="003E0D6F"/>
    <w:rsid w:val="003E1591"/>
    <w:rsid w:val="003E1ACF"/>
    <w:rsid w:val="003E216C"/>
    <w:rsid w:val="003E236E"/>
    <w:rsid w:val="003E259D"/>
    <w:rsid w:val="003E26BA"/>
    <w:rsid w:val="003E2906"/>
    <w:rsid w:val="003E2969"/>
    <w:rsid w:val="003E2C1A"/>
    <w:rsid w:val="003E330F"/>
    <w:rsid w:val="003E3478"/>
    <w:rsid w:val="003E4E74"/>
    <w:rsid w:val="003E5F7D"/>
    <w:rsid w:val="003E6520"/>
    <w:rsid w:val="003E67E7"/>
    <w:rsid w:val="003E6B25"/>
    <w:rsid w:val="003E6B3C"/>
    <w:rsid w:val="003E6B95"/>
    <w:rsid w:val="003E70FF"/>
    <w:rsid w:val="003E7F1B"/>
    <w:rsid w:val="003F0B41"/>
    <w:rsid w:val="003F1150"/>
    <w:rsid w:val="003F1E39"/>
    <w:rsid w:val="003F229D"/>
    <w:rsid w:val="003F255B"/>
    <w:rsid w:val="003F25F0"/>
    <w:rsid w:val="003F2D5B"/>
    <w:rsid w:val="003F369A"/>
    <w:rsid w:val="003F38EB"/>
    <w:rsid w:val="003F4436"/>
    <w:rsid w:val="003F5846"/>
    <w:rsid w:val="003F5AD2"/>
    <w:rsid w:val="003F5AED"/>
    <w:rsid w:val="003F5CA4"/>
    <w:rsid w:val="003F6D50"/>
    <w:rsid w:val="003F6D93"/>
    <w:rsid w:val="003F7006"/>
    <w:rsid w:val="003F7507"/>
    <w:rsid w:val="003F7C72"/>
    <w:rsid w:val="003F7D10"/>
    <w:rsid w:val="00401000"/>
    <w:rsid w:val="004016C6"/>
    <w:rsid w:val="0040179A"/>
    <w:rsid w:val="00401856"/>
    <w:rsid w:val="004028A2"/>
    <w:rsid w:val="00402FEB"/>
    <w:rsid w:val="00403344"/>
    <w:rsid w:val="00403C82"/>
    <w:rsid w:val="00404157"/>
    <w:rsid w:val="00404C44"/>
    <w:rsid w:val="00404EE8"/>
    <w:rsid w:val="0040510D"/>
    <w:rsid w:val="0040512D"/>
    <w:rsid w:val="00405F4D"/>
    <w:rsid w:val="0040602F"/>
    <w:rsid w:val="00406AFB"/>
    <w:rsid w:val="00407382"/>
    <w:rsid w:val="0040791B"/>
    <w:rsid w:val="00407B56"/>
    <w:rsid w:val="00411958"/>
    <w:rsid w:val="00411B2A"/>
    <w:rsid w:val="00412973"/>
    <w:rsid w:val="00412D42"/>
    <w:rsid w:val="00412DA4"/>
    <w:rsid w:val="00412EB6"/>
    <w:rsid w:val="0041351F"/>
    <w:rsid w:val="004137C8"/>
    <w:rsid w:val="00413BF9"/>
    <w:rsid w:val="00413C25"/>
    <w:rsid w:val="00415531"/>
    <w:rsid w:val="004157A2"/>
    <w:rsid w:val="00416330"/>
    <w:rsid w:val="004176C7"/>
    <w:rsid w:val="00417877"/>
    <w:rsid w:val="00417D9F"/>
    <w:rsid w:val="00420229"/>
    <w:rsid w:val="004205C8"/>
    <w:rsid w:val="00420995"/>
    <w:rsid w:val="00420DBA"/>
    <w:rsid w:val="00421311"/>
    <w:rsid w:val="00422E13"/>
    <w:rsid w:val="0042350F"/>
    <w:rsid w:val="00423599"/>
    <w:rsid w:val="0042384C"/>
    <w:rsid w:val="00423893"/>
    <w:rsid w:val="00423BC9"/>
    <w:rsid w:val="004255B4"/>
    <w:rsid w:val="00426766"/>
    <w:rsid w:val="004267D0"/>
    <w:rsid w:val="004279CA"/>
    <w:rsid w:val="00427A82"/>
    <w:rsid w:val="00427EA2"/>
    <w:rsid w:val="00430115"/>
    <w:rsid w:val="00430A4B"/>
    <w:rsid w:val="00431C46"/>
    <w:rsid w:val="004327E6"/>
    <w:rsid w:val="004329DC"/>
    <w:rsid w:val="00432AC6"/>
    <w:rsid w:val="004341C6"/>
    <w:rsid w:val="00434C5E"/>
    <w:rsid w:val="00435765"/>
    <w:rsid w:val="004360B6"/>
    <w:rsid w:val="004362E5"/>
    <w:rsid w:val="00436356"/>
    <w:rsid w:val="00437F16"/>
    <w:rsid w:val="00440722"/>
    <w:rsid w:val="00440C1C"/>
    <w:rsid w:val="004424C5"/>
    <w:rsid w:val="004425D9"/>
    <w:rsid w:val="004428A2"/>
    <w:rsid w:val="00443244"/>
    <w:rsid w:val="00444AF6"/>
    <w:rsid w:val="0044519D"/>
    <w:rsid w:val="00445544"/>
    <w:rsid w:val="00445C0B"/>
    <w:rsid w:val="00446195"/>
    <w:rsid w:val="00447CD0"/>
    <w:rsid w:val="00447FC2"/>
    <w:rsid w:val="004502F4"/>
    <w:rsid w:val="004506F4"/>
    <w:rsid w:val="004509D1"/>
    <w:rsid w:val="00450A42"/>
    <w:rsid w:val="00450E98"/>
    <w:rsid w:val="004513A5"/>
    <w:rsid w:val="00451D50"/>
    <w:rsid w:val="00452EC4"/>
    <w:rsid w:val="00453340"/>
    <w:rsid w:val="00453775"/>
    <w:rsid w:val="00453890"/>
    <w:rsid w:val="00454380"/>
    <w:rsid w:val="0045470C"/>
    <w:rsid w:val="004552C8"/>
    <w:rsid w:val="0045536C"/>
    <w:rsid w:val="00455A07"/>
    <w:rsid w:val="00455AEB"/>
    <w:rsid w:val="0045603C"/>
    <w:rsid w:val="00456053"/>
    <w:rsid w:val="00456068"/>
    <w:rsid w:val="004562E1"/>
    <w:rsid w:val="00456896"/>
    <w:rsid w:val="00456ADA"/>
    <w:rsid w:val="00456B0D"/>
    <w:rsid w:val="00456E90"/>
    <w:rsid w:val="00457135"/>
    <w:rsid w:val="0045770D"/>
    <w:rsid w:val="0045790F"/>
    <w:rsid w:val="00457D63"/>
    <w:rsid w:val="00457E21"/>
    <w:rsid w:val="0046007E"/>
    <w:rsid w:val="0046024B"/>
    <w:rsid w:val="00460E36"/>
    <w:rsid w:val="00461155"/>
    <w:rsid w:val="0046218C"/>
    <w:rsid w:val="004623D4"/>
    <w:rsid w:val="004626FA"/>
    <w:rsid w:val="00462B78"/>
    <w:rsid w:val="00463944"/>
    <w:rsid w:val="004646B0"/>
    <w:rsid w:val="00464CCD"/>
    <w:rsid w:val="0046512A"/>
    <w:rsid w:val="00465234"/>
    <w:rsid w:val="00465B24"/>
    <w:rsid w:val="00466858"/>
    <w:rsid w:val="00466D0F"/>
    <w:rsid w:val="00467544"/>
    <w:rsid w:val="004676BA"/>
    <w:rsid w:val="0046784C"/>
    <w:rsid w:val="00467ECB"/>
    <w:rsid w:val="004710C3"/>
    <w:rsid w:val="00471459"/>
    <w:rsid w:val="00472274"/>
    <w:rsid w:val="004722D4"/>
    <w:rsid w:val="00472AD0"/>
    <w:rsid w:val="00472D9C"/>
    <w:rsid w:val="00473B60"/>
    <w:rsid w:val="00475AFF"/>
    <w:rsid w:val="00475D30"/>
    <w:rsid w:val="004765F4"/>
    <w:rsid w:val="00476B4D"/>
    <w:rsid w:val="00476CBC"/>
    <w:rsid w:val="00476E6C"/>
    <w:rsid w:val="00477282"/>
    <w:rsid w:val="00477947"/>
    <w:rsid w:val="00480525"/>
    <w:rsid w:val="00480A36"/>
    <w:rsid w:val="00480FA1"/>
    <w:rsid w:val="00481FD7"/>
    <w:rsid w:val="00482A7B"/>
    <w:rsid w:val="00482DE5"/>
    <w:rsid w:val="00483266"/>
    <w:rsid w:val="0048352E"/>
    <w:rsid w:val="004836A9"/>
    <w:rsid w:val="00483B23"/>
    <w:rsid w:val="004840D7"/>
    <w:rsid w:val="004846F4"/>
    <w:rsid w:val="00484C12"/>
    <w:rsid w:val="00485C26"/>
    <w:rsid w:val="00485EC0"/>
    <w:rsid w:val="00486A51"/>
    <w:rsid w:val="004875E1"/>
    <w:rsid w:val="00487B37"/>
    <w:rsid w:val="00490636"/>
    <w:rsid w:val="00490FF0"/>
    <w:rsid w:val="004910FE"/>
    <w:rsid w:val="00491198"/>
    <w:rsid w:val="00491395"/>
    <w:rsid w:val="004917E0"/>
    <w:rsid w:val="00491BF6"/>
    <w:rsid w:val="00491FED"/>
    <w:rsid w:val="00492F82"/>
    <w:rsid w:val="004943C2"/>
    <w:rsid w:val="00494918"/>
    <w:rsid w:val="00494C65"/>
    <w:rsid w:val="00494F0C"/>
    <w:rsid w:val="00495557"/>
    <w:rsid w:val="0049618D"/>
    <w:rsid w:val="004965EF"/>
    <w:rsid w:val="00496915"/>
    <w:rsid w:val="0049719D"/>
    <w:rsid w:val="00497FCD"/>
    <w:rsid w:val="004A095C"/>
    <w:rsid w:val="004A0D1E"/>
    <w:rsid w:val="004A0E66"/>
    <w:rsid w:val="004A0EEC"/>
    <w:rsid w:val="004A130F"/>
    <w:rsid w:val="004A17EF"/>
    <w:rsid w:val="004A17FE"/>
    <w:rsid w:val="004A1B52"/>
    <w:rsid w:val="004A1BDA"/>
    <w:rsid w:val="004A22DA"/>
    <w:rsid w:val="004A2700"/>
    <w:rsid w:val="004A2C22"/>
    <w:rsid w:val="004A36C8"/>
    <w:rsid w:val="004A3721"/>
    <w:rsid w:val="004A3742"/>
    <w:rsid w:val="004A37B8"/>
    <w:rsid w:val="004A3CC2"/>
    <w:rsid w:val="004A3ED3"/>
    <w:rsid w:val="004A4632"/>
    <w:rsid w:val="004A47BC"/>
    <w:rsid w:val="004A4AC6"/>
    <w:rsid w:val="004A5CB3"/>
    <w:rsid w:val="004A6B1B"/>
    <w:rsid w:val="004A6BC8"/>
    <w:rsid w:val="004B1199"/>
    <w:rsid w:val="004B16C4"/>
    <w:rsid w:val="004B1867"/>
    <w:rsid w:val="004B2A40"/>
    <w:rsid w:val="004B2A64"/>
    <w:rsid w:val="004B41DA"/>
    <w:rsid w:val="004B462B"/>
    <w:rsid w:val="004B46D5"/>
    <w:rsid w:val="004B470D"/>
    <w:rsid w:val="004B4764"/>
    <w:rsid w:val="004B4846"/>
    <w:rsid w:val="004B4E21"/>
    <w:rsid w:val="004B5394"/>
    <w:rsid w:val="004B55F2"/>
    <w:rsid w:val="004B5BDD"/>
    <w:rsid w:val="004B6E9E"/>
    <w:rsid w:val="004B6F83"/>
    <w:rsid w:val="004B7C29"/>
    <w:rsid w:val="004C06E5"/>
    <w:rsid w:val="004C1B7D"/>
    <w:rsid w:val="004C1E3C"/>
    <w:rsid w:val="004C22B4"/>
    <w:rsid w:val="004C25F0"/>
    <w:rsid w:val="004C26DD"/>
    <w:rsid w:val="004C2B5D"/>
    <w:rsid w:val="004C2D68"/>
    <w:rsid w:val="004C2F56"/>
    <w:rsid w:val="004C339D"/>
    <w:rsid w:val="004C33E8"/>
    <w:rsid w:val="004C4307"/>
    <w:rsid w:val="004C4309"/>
    <w:rsid w:val="004C49E3"/>
    <w:rsid w:val="004C4E8A"/>
    <w:rsid w:val="004C4F1B"/>
    <w:rsid w:val="004C514A"/>
    <w:rsid w:val="004C5678"/>
    <w:rsid w:val="004C645A"/>
    <w:rsid w:val="004C6572"/>
    <w:rsid w:val="004C6D4F"/>
    <w:rsid w:val="004C7541"/>
    <w:rsid w:val="004C7D1C"/>
    <w:rsid w:val="004D14E0"/>
    <w:rsid w:val="004D1E71"/>
    <w:rsid w:val="004D262E"/>
    <w:rsid w:val="004D2CDF"/>
    <w:rsid w:val="004D33CE"/>
    <w:rsid w:val="004D39AD"/>
    <w:rsid w:val="004D4AAE"/>
    <w:rsid w:val="004D7411"/>
    <w:rsid w:val="004D7C86"/>
    <w:rsid w:val="004E0197"/>
    <w:rsid w:val="004E1122"/>
    <w:rsid w:val="004E1409"/>
    <w:rsid w:val="004E178A"/>
    <w:rsid w:val="004E1A87"/>
    <w:rsid w:val="004E1BB0"/>
    <w:rsid w:val="004E3030"/>
    <w:rsid w:val="004E3311"/>
    <w:rsid w:val="004E38EC"/>
    <w:rsid w:val="004E3933"/>
    <w:rsid w:val="004E4549"/>
    <w:rsid w:val="004E4AE7"/>
    <w:rsid w:val="004E4C83"/>
    <w:rsid w:val="004E4D53"/>
    <w:rsid w:val="004E4D84"/>
    <w:rsid w:val="004E4EBC"/>
    <w:rsid w:val="004E5104"/>
    <w:rsid w:val="004E5B06"/>
    <w:rsid w:val="004E5FA8"/>
    <w:rsid w:val="004E684C"/>
    <w:rsid w:val="004E6FF1"/>
    <w:rsid w:val="004E73D7"/>
    <w:rsid w:val="004E76DB"/>
    <w:rsid w:val="004F01C2"/>
    <w:rsid w:val="004F1F90"/>
    <w:rsid w:val="004F2401"/>
    <w:rsid w:val="004F2A44"/>
    <w:rsid w:val="004F2DAD"/>
    <w:rsid w:val="004F34F7"/>
    <w:rsid w:val="004F55D6"/>
    <w:rsid w:val="004F565A"/>
    <w:rsid w:val="004F571B"/>
    <w:rsid w:val="004F5CF3"/>
    <w:rsid w:val="004F64EB"/>
    <w:rsid w:val="004F7A74"/>
    <w:rsid w:val="00500250"/>
    <w:rsid w:val="00500264"/>
    <w:rsid w:val="00500824"/>
    <w:rsid w:val="00500DAB"/>
    <w:rsid w:val="00501144"/>
    <w:rsid w:val="005013EF"/>
    <w:rsid w:val="005016CC"/>
    <w:rsid w:val="005019E0"/>
    <w:rsid w:val="0050211F"/>
    <w:rsid w:val="005022E7"/>
    <w:rsid w:val="00502A93"/>
    <w:rsid w:val="0050339C"/>
    <w:rsid w:val="00503CCE"/>
    <w:rsid w:val="00506083"/>
    <w:rsid w:val="005068D6"/>
    <w:rsid w:val="00506B86"/>
    <w:rsid w:val="00506EEC"/>
    <w:rsid w:val="00506FD4"/>
    <w:rsid w:val="00507DCF"/>
    <w:rsid w:val="005107FF"/>
    <w:rsid w:val="00510CBC"/>
    <w:rsid w:val="0051102D"/>
    <w:rsid w:val="005112A5"/>
    <w:rsid w:val="00511F48"/>
    <w:rsid w:val="00512448"/>
    <w:rsid w:val="0051253A"/>
    <w:rsid w:val="0051266C"/>
    <w:rsid w:val="00512B01"/>
    <w:rsid w:val="00512F80"/>
    <w:rsid w:val="00513B72"/>
    <w:rsid w:val="00515277"/>
    <w:rsid w:val="005158C2"/>
    <w:rsid w:val="0051665F"/>
    <w:rsid w:val="005169DE"/>
    <w:rsid w:val="0051754D"/>
    <w:rsid w:val="0051785D"/>
    <w:rsid w:val="00517913"/>
    <w:rsid w:val="0052005F"/>
    <w:rsid w:val="00520200"/>
    <w:rsid w:val="00520E2D"/>
    <w:rsid w:val="00520F04"/>
    <w:rsid w:val="00521717"/>
    <w:rsid w:val="005224B2"/>
    <w:rsid w:val="00523B23"/>
    <w:rsid w:val="00523DFA"/>
    <w:rsid w:val="005254BC"/>
    <w:rsid w:val="005256FC"/>
    <w:rsid w:val="00525719"/>
    <w:rsid w:val="00526C27"/>
    <w:rsid w:val="00526DFF"/>
    <w:rsid w:val="00527473"/>
    <w:rsid w:val="00527EF9"/>
    <w:rsid w:val="005305FF"/>
    <w:rsid w:val="00530C9B"/>
    <w:rsid w:val="00532334"/>
    <w:rsid w:val="005324AF"/>
    <w:rsid w:val="0053402C"/>
    <w:rsid w:val="00534090"/>
    <w:rsid w:val="00534ABA"/>
    <w:rsid w:val="00534B41"/>
    <w:rsid w:val="00535BA4"/>
    <w:rsid w:val="00535FFF"/>
    <w:rsid w:val="0053616F"/>
    <w:rsid w:val="005368AD"/>
    <w:rsid w:val="005370BC"/>
    <w:rsid w:val="00537B35"/>
    <w:rsid w:val="00537DE7"/>
    <w:rsid w:val="00537EC4"/>
    <w:rsid w:val="00537FE4"/>
    <w:rsid w:val="0054027D"/>
    <w:rsid w:val="00541222"/>
    <w:rsid w:val="00541A8D"/>
    <w:rsid w:val="00544DA0"/>
    <w:rsid w:val="00544E2C"/>
    <w:rsid w:val="00545437"/>
    <w:rsid w:val="005454BD"/>
    <w:rsid w:val="005457E4"/>
    <w:rsid w:val="00546C49"/>
    <w:rsid w:val="005471FE"/>
    <w:rsid w:val="0055010B"/>
    <w:rsid w:val="005506E5"/>
    <w:rsid w:val="00550D59"/>
    <w:rsid w:val="0055110D"/>
    <w:rsid w:val="00551F81"/>
    <w:rsid w:val="0055210F"/>
    <w:rsid w:val="00552CD7"/>
    <w:rsid w:val="005533BE"/>
    <w:rsid w:val="00554937"/>
    <w:rsid w:val="00554B30"/>
    <w:rsid w:val="00554FFB"/>
    <w:rsid w:val="005568DE"/>
    <w:rsid w:val="00557C50"/>
    <w:rsid w:val="005606B6"/>
    <w:rsid w:val="005608D6"/>
    <w:rsid w:val="00560F19"/>
    <w:rsid w:val="0056186E"/>
    <w:rsid w:val="00561E6B"/>
    <w:rsid w:val="005621D2"/>
    <w:rsid w:val="005621E0"/>
    <w:rsid w:val="00562D90"/>
    <w:rsid w:val="00563317"/>
    <w:rsid w:val="00563A23"/>
    <w:rsid w:val="00563A5A"/>
    <w:rsid w:val="00563C61"/>
    <w:rsid w:val="00563ECB"/>
    <w:rsid w:val="00563F47"/>
    <w:rsid w:val="005640BB"/>
    <w:rsid w:val="00564996"/>
    <w:rsid w:val="00564C23"/>
    <w:rsid w:val="00565406"/>
    <w:rsid w:val="00565570"/>
    <w:rsid w:val="005657DD"/>
    <w:rsid w:val="00565B29"/>
    <w:rsid w:val="00565EDA"/>
    <w:rsid w:val="005664CC"/>
    <w:rsid w:val="0056664B"/>
    <w:rsid w:val="00567588"/>
    <w:rsid w:val="00567992"/>
    <w:rsid w:val="00567C3C"/>
    <w:rsid w:val="005702F8"/>
    <w:rsid w:val="00571028"/>
    <w:rsid w:val="00571231"/>
    <w:rsid w:val="00571767"/>
    <w:rsid w:val="00571E44"/>
    <w:rsid w:val="00573E61"/>
    <w:rsid w:val="0057411B"/>
    <w:rsid w:val="0057447F"/>
    <w:rsid w:val="00574525"/>
    <w:rsid w:val="00574778"/>
    <w:rsid w:val="0057498F"/>
    <w:rsid w:val="00574DE9"/>
    <w:rsid w:val="00575DF4"/>
    <w:rsid w:val="0057765D"/>
    <w:rsid w:val="005777FC"/>
    <w:rsid w:val="00580610"/>
    <w:rsid w:val="005808EB"/>
    <w:rsid w:val="00580D37"/>
    <w:rsid w:val="005818F7"/>
    <w:rsid w:val="00581FA0"/>
    <w:rsid w:val="00582B90"/>
    <w:rsid w:val="00583134"/>
    <w:rsid w:val="005831A7"/>
    <w:rsid w:val="00583321"/>
    <w:rsid w:val="0058341E"/>
    <w:rsid w:val="00584F3A"/>
    <w:rsid w:val="005853AB"/>
    <w:rsid w:val="00585748"/>
    <w:rsid w:val="005859C5"/>
    <w:rsid w:val="00585C79"/>
    <w:rsid w:val="00585FD0"/>
    <w:rsid w:val="00586144"/>
    <w:rsid w:val="00586A2D"/>
    <w:rsid w:val="00587785"/>
    <w:rsid w:val="0058788D"/>
    <w:rsid w:val="00587E29"/>
    <w:rsid w:val="00587FE6"/>
    <w:rsid w:val="0059040D"/>
    <w:rsid w:val="00591018"/>
    <w:rsid w:val="00591389"/>
    <w:rsid w:val="00591698"/>
    <w:rsid w:val="00592757"/>
    <w:rsid w:val="00592AAE"/>
    <w:rsid w:val="00593B87"/>
    <w:rsid w:val="00593C1C"/>
    <w:rsid w:val="00593E94"/>
    <w:rsid w:val="00594143"/>
    <w:rsid w:val="00594229"/>
    <w:rsid w:val="00594543"/>
    <w:rsid w:val="00594612"/>
    <w:rsid w:val="005948E7"/>
    <w:rsid w:val="00595873"/>
    <w:rsid w:val="00595CDD"/>
    <w:rsid w:val="005964BB"/>
    <w:rsid w:val="00596A70"/>
    <w:rsid w:val="00596BD3"/>
    <w:rsid w:val="00596BE7"/>
    <w:rsid w:val="00596C3E"/>
    <w:rsid w:val="005977DD"/>
    <w:rsid w:val="005A013A"/>
    <w:rsid w:val="005A04BD"/>
    <w:rsid w:val="005A0A3F"/>
    <w:rsid w:val="005A102E"/>
    <w:rsid w:val="005A114F"/>
    <w:rsid w:val="005A1D36"/>
    <w:rsid w:val="005A1F49"/>
    <w:rsid w:val="005A2364"/>
    <w:rsid w:val="005A2480"/>
    <w:rsid w:val="005A2B2C"/>
    <w:rsid w:val="005A2CE6"/>
    <w:rsid w:val="005A2D6B"/>
    <w:rsid w:val="005A3252"/>
    <w:rsid w:val="005A33F7"/>
    <w:rsid w:val="005A40CF"/>
    <w:rsid w:val="005A4A9C"/>
    <w:rsid w:val="005A4BAE"/>
    <w:rsid w:val="005A4F39"/>
    <w:rsid w:val="005A574D"/>
    <w:rsid w:val="005A5B5C"/>
    <w:rsid w:val="005A6E93"/>
    <w:rsid w:val="005A7028"/>
    <w:rsid w:val="005A707A"/>
    <w:rsid w:val="005A7340"/>
    <w:rsid w:val="005A7F93"/>
    <w:rsid w:val="005B07EA"/>
    <w:rsid w:val="005B0B20"/>
    <w:rsid w:val="005B0BD6"/>
    <w:rsid w:val="005B0EFB"/>
    <w:rsid w:val="005B1060"/>
    <w:rsid w:val="005B12B9"/>
    <w:rsid w:val="005B17C1"/>
    <w:rsid w:val="005B1FFF"/>
    <w:rsid w:val="005B3737"/>
    <w:rsid w:val="005B3A42"/>
    <w:rsid w:val="005B3A73"/>
    <w:rsid w:val="005B5D40"/>
    <w:rsid w:val="005B5EFC"/>
    <w:rsid w:val="005B6412"/>
    <w:rsid w:val="005B6698"/>
    <w:rsid w:val="005B68A7"/>
    <w:rsid w:val="005B6AC3"/>
    <w:rsid w:val="005B7305"/>
    <w:rsid w:val="005C055E"/>
    <w:rsid w:val="005C0FA1"/>
    <w:rsid w:val="005C1137"/>
    <w:rsid w:val="005C1225"/>
    <w:rsid w:val="005C1615"/>
    <w:rsid w:val="005C1969"/>
    <w:rsid w:val="005C1D98"/>
    <w:rsid w:val="005C1DA5"/>
    <w:rsid w:val="005C2559"/>
    <w:rsid w:val="005C2873"/>
    <w:rsid w:val="005C34FC"/>
    <w:rsid w:val="005C3B5C"/>
    <w:rsid w:val="005C3C7F"/>
    <w:rsid w:val="005C5143"/>
    <w:rsid w:val="005C5639"/>
    <w:rsid w:val="005C5742"/>
    <w:rsid w:val="005C6CA5"/>
    <w:rsid w:val="005C760E"/>
    <w:rsid w:val="005C7E9E"/>
    <w:rsid w:val="005D18C9"/>
    <w:rsid w:val="005D1B72"/>
    <w:rsid w:val="005D2471"/>
    <w:rsid w:val="005D25A3"/>
    <w:rsid w:val="005D2779"/>
    <w:rsid w:val="005D3242"/>
    <w:rsid w:val="005D610C"/>
    <w:rsid w:val="005D696D"/>
    <w:rsid w:val="005D6F90"/>
    <w:rsid w:val="005D74E7"/>
    <w:rsid w:val="005D7C64"/>
    <w:rsid w:val="005D7F7B"/>
    <w:rsid w:val="005E3BCD"/>
    <w:rsid w:val="005E4A87"/>
    <w:rsid w:val="005E4DA5"/>
    <w:rsid w:val="005E503E"/>
    <w:rsid w:val="005E59C7"/>
    <w:rsid w:val="005E59F9"/>
    <w:rsid w:val="005E5E7B"/>
    <w:rsid w:val="005E6095"/>
    <w:rsid w:val="005E6A3F"/>
    <w:rsid w:val="005E6DB8"/>
    <w:rsid w:val="005E7228"/>
    <w:rsid w:val="005E7284"/>
    <w:rsid w:val="005E7BAC"/>
    <w:rsid w:val="005F0E07"/>
    <w:rsid w:val="005F0E5C"/>
    <w:rsid w:val="005F134E"/>
    <w:rsid w:val="005F1365"/>
    <w:rsid w:val="005F17A4"/>
    <w:rsid w:val="005F1DB1"/>
    <w:rsid w:val="005F2C1F"/>
    <w:rsid w:val="005F2E44"/>
    <w:rsid w:val="005F3690"/>
    <w:rsid w:val="005F3986"/>
    <w:rsid w:val="005F3A0F"/>
    <w:rsid w:val="005F4287"/>
    <w:rsid w:val="005F4C57"/>
    <w:rsid w:val="005F6774"/>
    <w:rsid w:val="005F79AA"/>
    <w:rsid w:val="0060044B"/>
    <w:rsid w:val="00600692"/>
    <w:rsid w:val="006013D7"/>
    <w:rsid w:val="006014DB"/>
    <w:rsid w:val="00601587"/>
    <w:rsid w:val="00602079"/>
    <w:rsid w:val="006022F3"/>
    <w:rsid w:val="00602579"/>
    <w:rsid w:val="00602BA4"/>
    <w:rsid w:val="00602DA2"/>
    <w:rsid w:val="00602FF4"/>
    <w:rsid w:val="00603228"/>
    <w:rsid w:val="00604ACD"/>
    <w:rsid w:val="00604C15"/>
    <w:rsid w:val="00604DC2"/>
    <w:rsid w:val="006060C4"/>
    <w:rsid w:val="00607A44"/>
    <w:rsid w:val="00607C18"/>
    <w:rsid w:val="00607C35"/>
    <w:rsid w:val="00611777"/>
    <w:rsid w:val="0061189F"/>
    <w:rsid w:val="0061219B"/>
    <w:rsid w:val="00612D05"/>
    <w:rsid w:val="00613317"/>
    <w:rsid w:val="00613FB6"/>
    <w:rsid w:val="006140C6"/>
    <w:rsid w:val="00614134"/>
    <w:rsid w:val="00614241"/>
    <w:rsid w:val="0061428D"/>
    <w:rsid w:val="00615411"/>
    <w:rsid w:val="0061599E"/>
    <w:rsid w:val="00615AC7"/>
    <w:rsid w:val="006162E6"/>
    <w:rsid w:val="006171A5"/>
    <w:rsid w:val="00620309"/>
    <w:rsid w:val="0062159D"/>
    <w:rsid w:val="00621680"/>
    <w:rsid w:val="00621EC5"/>
    <w:rsid w:val="006223E0"/>
    <w:rsid w:val="006224D0"/>
    <w:rsid w:val="006226A3"/>
    <w:rsid w:val="00622BCE"/>
    <w:rsid w:val="00622E29"/>
    <w:rsid w:val="00623643"/>
    <w:rsid w:val="00624018"/>
    <w:rsid w:val="006240C4"/>
    <w:rsid w:val="00624B3C"/>
    <w:rsid w:val="006252C2"/>
    <w:rsid w:val="00625304"/>
    <w:rsid w:val="0062551F"/>
    <w:rsid w:val="0062581B"/>
    <w:rsid w:val="006261F4"/>
    <w:rsid w:val="0063164E"/>
    <w:rsid w:val="0063191D"/>
    <w:rsid w:val="00633488"/>
    <w:rsid w:val="00633581"/>
    <w:rsid w:val="006339AF"/>
    <w:rsid w:val="00633C47"/>
    <w:rsid w:val="006348F7"/>
    <w:rsid w:val="0063512D"/>
    <w:rsid w:val="006358FB"/>
    <w:rsid w:val="00635AE2"/>
    <w:rsid w:val="00635E1E"/>
    <w:rsid w:val="00635E56"/>
    <w:rsid w:val="00635EDD"/>
    <w:rsid w:val="0063677C"/>
    <w:rsid w:val="00636972"/>
    <w:rsid w:val="00636B69"/>
    <w:rsid w:val="00636BC2"/>
    <w:rsid w:val="006404B1"/>
    <w:rsid w:val="006404D1"/>
    <w:rsid w:val="00640F43"/>
    <w:rsid w:val="006412CA"/>
    <w:rsid w:val="006420DA"/>
    <w:rsid w:val="00642A0A"/>
    <w:rsid w:val="00643AC1"/>
    <w:rsid w:val="00643D62"/>
    <w:rsid w:val="00644A5E"/>
    <w:rsid w:val="00644A6C"/>
    <w:rsid w:val="00644D69"/>
    <w:rsid w:val="006457A8"/>
    <w:rsid w:val="00645EA0"/>
    <w:rsid w:val="00645F76"/>
    <w:rsid w:val="00646EB0"/>
    <w:rsid w:val="0064714D"/>
    <w:rsid w:val="0064727D"/>
    <w:rsid w:val="006473CE"/>
    <w:rsid w:val="00647B32"/>
    <w:rsid w:val="00647C27"/>
    <w:rsid w:val="006519E6"/>
    <w:rsid w:val="00651CDE"/>
    <w:rsid w:val="00652326"/>
    <w:rsid w:val="006524F6"/>
    <w:rsid w:val="00652907"/>
    <w:rsid w:val="00652E06"/>
    <w:rsid w:val="00653FC4"/>
    <w:rsid w:val="00654F91"/>
    <w:rsid w:val="00655361"/>
    <w:rsid w:val="00655902"/>
    <w:rsid w:val="00656253"/>
    <w:rsid w:val="00656799"/>
    <w:rsid w:val="00656B77"/>
    <w:rsid w:val="00656E72"/>
    <w:rsid w:val="006578A1"/>
    <w:rsid w:val="0065799D"/>
    <w:rsid w:val="0066137B"/>
    <w:rsid w:val="0066158A"/>
    <w:rsid w:val="0066174E"/>
    <w:rsid w:val="00661BBB"/>
    <w:rsid w:val="00661E57"/>
    <w:rsid w:val="00662008"/>
    <w:rsid w:val="006629E4"/>
    <w:rsid w:val="0066352E"/>
    <w:rsid w:val="00663783"/>
    <w:rsid w:val="00663E47"/>
    <w:rsid w:val="006644A7"/>
    <w:rsid w:val="00664BDE"/>
    <w:rsid w:val="0066565B"/>
    <w:rsid w:val="00665C44"/>
    <w:rsid w:val="00666284"/>
    <w:rsid w:val="00666308"/>
    <w:rsid w:val="006667F3"/>
    <w:rsid w:val="00667AEA"/>
    <w:rsid w:val="006704FA"/>
    <w:rsid w:val="00670687"/>
    <w:rsid w:val="00670DC5"/>
    <w:rsid w:val="00671652"/>
    <w:rsid w:val="00671FAA"/>
    <w:rsid w:val="00672E3E"/>
    <w:rsid w:val="00674748"/>
    <w:rsid w:val="00675DA5"/>
    <w:rsid w:val="0067770C"/>
    <w:rsid w:val="00680482"/>
    <w:rsid w:val="006808DC"/>
    <w:rsid w:val="00680C85"/>
    <w:rsid w:val="006816B6"/>
    <w:rsid w:val="006820EB"/>
    <w:rsid w:val="00682128"/>
    <w:rsid w:val="0068220C"/>
    <w:rsid w:val="00682AB1"/>
    <w:rsid w:val="00682E9F"/>
    <w:rsid w:val="00683252"/>
    <w:rsid w:val="0068343A"/>
    <w:rsid w:val="006834D4"/>
    <w:rsid w:val="0068413D"/>
    <w:rsid w:val="006844BA"/>
    <w:rsid w:val="006845A2"/>
    <w:rsid w:val="00684BF8"/>
    <w:rsid w:val="00684D9B"/>
    <w:rsid w:val="006858AA"/>
    <w:rsid w:val="00685BCF"/>
    <w:rsid w:val="006871D0"/>
    <w:rsid w:val="0068751F"/>
    <w:rsid w:val="006900D1"/>
    <w:rsid w:val="00690297"/>
    <w:rsid w:val="0069115A"/>
    <w:rsid w:val="006912F1"/>
    <w:rsid w:val="00691387"/>
    <w:rsid w:val="006927F2"/>
    <w:rsid w:val="006931E1"/>
    <w:rsid w:val="00693C8A"/>
    <w:rsid w:val="00693E3A"/>
    <w:rsid w:val="00694310"/>
    <w:rsid w:val="00694700"/>
    <w:rsid w:val="00694803"/>
    <w:rsid w:val="00694CE8"/>
    <w:rsid w:val="0069511D"/>
    <w:rsid w:val="0069569E"/>
    <w:rsid w:val="006956C6"/>
    <w:rsid w:val="00696EE3"/>
    <w:rsid w:val="0069715D"/>
    <w:rsid w:val="00697392"/>
    <w:rsid w:val="006973E5"/>
    <w:rsid w:val="00697664"/>
    <w:rsid w:val="00697681"/>
    <w:rsid w:val="0069770C"/>
    <w:rsid w:val="006A08F2"/>
    <w:rsid w:val="006A111F"/>
    <w:rsid w:val="006A151A"/>
    <w:rsid w:val="006A1E62"/>
    <w:rsid w:val="006A2A12"/>
    <w:rsid w:val="006A2E9C"/>
    <w:rsid w:val="006A35E0"/>
    <w:rsid w:val="006A377F"/>
    <w:rsid w:val="006A384A"/>
    <w:rsid w:val="006A3875"/>
    <w:rsid w:val="006A3D40"/>
    <w:rsid w:val="006A4757"/>
    <w:rsid w:val="006A561D"/>
    <w:rsid w:val="006A5A0C"/>
    <w:rsid w:val="006A5BA0"/>
    <w:rsid w:val="006A5BB1"/>
    <w:rsid w:val="006A5F88"/>
    <w:rsid w:val="006A7D95"/>
    <w:rsid w:val="006B120D"/>
    <w:rsid w:val="006B13C1"/>
    <w:rsid w:val="006B1D07"/>
    <w:rsid w:val="006B2442"/>
    <w:rsid w:val="006B2CC7"/>
    <w:rsid w:val="006B3AF9"/>
    <w:rsid w:val="006B44C5"/>
    <w:rsid w:val="006B555F"/>
    <w:rsid w:val="006B5947"/>
    <w:rsid w:val="006B5A60"/>
    <w:rsid w:val="006B6242"/>
    <w:rsid w:val="006B62B8"/>
    <w:rsid w:val="006B6334"/>
    <w:rsid w:val="006B6C7C"/>
    <w:rsid w:val="006B6EA4"/>
    <w:rsid w:val="006B6F2A"/>
    <w:rsid w:val="006B77BB"/>
    <w:rsid w:val="006B7F8F"/>
    <w:rsid w:val="006B7FC5"/>
    <w:rsid w:val="006B7FEE"/>
    <w:rsid w:val="006C055E"/>
    <w:rsid w:val="006C0D13"/>
    <w:rsid w:val="006C187F"/>
    <w:rsid w:val="006C19BC"/>
    <w:rsid w:val="006C19D5"/>
    <w:rsid w:val="006C1B44"/>
    <w:rsid w:val="006C1F77"/>
    <w:rsid w:val="006C2211"/>
    <w:rsid w:val="006C25E4"/>
    <w:rsid w:val="006C3031"/>
    <w:rsid w:val="006C3607"/>
    <w:rsid w:val="006C38D6"/>
    <w:rsid w:val="006C3990"/>
    <w:rsid w:val="006C3ED2"/>
    <w:rsid w:val="006C4233"/>
    <w:rsid w:val="006C42E7"/>
    <w:rsid w:val="006C4422"/>
    <w:rsid w:val="006C596E"/>
    <w:rsid w:val="006C5CCA"/>
    <w:rsid w:val="006C625F"/>
    <w:rsid w:val="006C78A6"/>
    <w:rsid w:val="006C7AB4"/>
    <w:rsid w:val="006D0038"/>
    <w:rsid w:val="006D006B"/>
    <w:rsid w:val="006D0777"/>
    <w:rsid w:val="006D105C"/>
    <w:rsid w:val="006D2116"/>
    <w:rsid w:val="006D30E7"/>
    <w:rsid w:val="006D48E7"/>
    <w:rsid w:val="006D4947"/>
    <w:rsid w:val="006D5F16"/>
    <w:rsid w:val="006D63AD"/>
    <w:rsid w:val="006D6764"/>
    <w:rsid w:val="006D67D9"/>
    <w:rsid w:val="006D6C93"/>
    <w:rsid w:val="006D7573"/>
    <w:rsid w:val="006E0340"/>
    <w:rsid w:val="006E06F9"/>
    <w:rsid w:val="006E07A9"/>
    <w:rsid w:val="006E0D91"/>
    <w:rsid w:val="006E1706"/>
    <w:rsid w:val="006E2D99"/>
    <w:rsid w:val="006E37C0"/>
    <w:rsid w:val="006E3CB2"/>
    <w:rsid w:val="006E3DA8"/>
    <w:rsid w:val="006E5AA5"/>
    <w:rsid w:val="006E5DAA"/>
    <w:rsid w:val="006E67F1"/>
    <w:rsid w:val="006E7006"/>
    <w:rsid w:val="006F00E7"/>
    <w:rsid w:val="006F02FD"/>
    <w:rsid w:val="006F0F6E"/>
    <w:rsid w:val="006F125A"/>
    <w:rsid w:val="006F1B22"/>
    <w:rsid w:val="006F1BA4"/>
    <w:rsid w:val="006F2259"/>
    <w:rsid w:val="006F23E1"/>
    <w:rsid w:val="006F2F8F"/>
    <w:rsid w:val="006F2FDA"/>
    <w:rsid w:val="006F2FE5"/>
    <w:rsid w:val="006F3460"/>
    <w:rsid w:val="006F34FE"/>
    <w:rsid w:val="006F3615"/>
    <w:rsid w:val="006F3FA3"/>
    <w:rsid w:val="006F48BA"/>
    <w:rsid w:val="006F4AF9"/>
    <w:rsid w:val="006F54EB"/>
    <w:rsid w:val="006F5CC1"/>
    <w:rsid w:val="006F67A5"/>
    <w:rsid w:val="006F762D"/>
    <w:rsid w:val="006F7D87"/>
    <w:rsid w:val="00700492"/>
    <w:rsid w:val="007009AC"/>
    <w:rsid w:val="0070167E"/>
    <w:rsid w:val="00701E1B"/>
    <w:rsid w:val="00702C1F"/>
    <w:rsid w:val="00702ED0"/>
    <w:rsid w:val="00703C09"/>
    <w:rsid w:val="0070434A"/>
    <w:rsid w:val="007048C4"/>
    <w:rsid w:val="00704CC4"/>
    <w:rsid w:val="00705345"/>
    <w:rsid w:val="0070638D"/>
    <w:rsid w:val="00706DBF"/>
    <w:rsid w:val="00707A59"/>
    <w:rsid w:val="0071046B"/>
    <w:rsid w:val="00710AC6"/>
    <w:rsid w:val="00710C1D"/>
    <w:rsid w:val="007110A3"/>
    <w:rsid w:val="00711108"/>
    <w:rsid w:val="00711213"/>
    <w:rsid w:val="007112A1"/>
    <w:rsid w:val="00711587"/>
    <w:rsid w:val="00711996"/>
    <w:rsid w:val="00711B3B"/>
    <w:rsid w:val="00711BA3"/>
    <w:rsid w:val="00711C9D"/>
    <w:rsid w:val="00712B71"/>
    <w:rsid w:val="00712E55"/>
    <w:rsid w:val="00713023"/>
    <w:rsid w:val="0071322C"/>
    <w:rsid w:val="00713779"/>
    <w:rsid w:val="00713989"/>
    <w:rsid w:val="00713DCF"/>
    <w:rsid w:val="00714004"/>
    <w:rsid w:val="0071458E"/>
    <w:rsid w:val="007145C9"/>
    <w:rsid w:val="00714631"/>
    <w:rsid w:val="00714B6E"/>
    <w:rsid w:val="0071512F"/>
    <w:rsid w:val="007169AC"/>
    <w:rsid w:val="007169DD"/>
    <w:rsid w:val="00717679"/>
    <w:rsid w:val="00717B67"/>
    <w:rsid w:val="007206A2"/>
    <w:rsid w:val="00720B38"/>
    <w:rsid w:val="00720CA7"/>
    <w:rsid w:val="0072147B"/>
    <w:rsid w:val="00721770"/>
    <w:rsid w:val="0072181E"/>
    <w:rsid w:val="00722267"/>
    <w:rsid w:val="0072285E"/>
    <w:rsid w:val="00722C62"/>
    <w:rsid w:val="0072321F"/>
    <w:rsid w:val="00723295"/>
    <w:rsid w:val="007238E2"/>
    <w:rsid w:val="007239B4"/>
    <w:rsid w:val="00724446"/>
    <w:rsid w:val="00724584"/>
    <w:rsid w:val="00724AA1"/>
    <w:rsid w:val="00724D39"/>
    <w:rsid w:val="00725A19"/>
    <w:rsid w:val="00726356"/>
    <w:rsid w:val="007267B0"/>
    <w:rsid w:val="007268C7"/>
    <w:rsid w:val="00726AAB"/>
    <w:rsid w:val="00727077"/>
    <w:rsid w:val="00730A79"/>
    <w:rsid w:val="00730EA6"/>
    <w:rsid w:val="00731C15"/>
    <w:rsid w:val="00732045"/>
    <w:rsid w:val="007322A0"/>
    <w:rsid w:val="00732C1A"/>
    <w:rsid w:val="00733CDC"/>
    <w:rsid w:val="00734B9A"/>
    <w:rsid w:val="00735695"/>
    <w:rsid w:val="007359AE"/>
    <w:rsid w:val="007360CB"/>
    <w:rsid w:val="0073739E"/>
    <w:rsid w:val="00737566"/>
    <w:rsid w:val="00737A05"/>
    <w:rsid w:val="00741BA2"/>
    <w:rsid w:val="00741CF4"/>
    <w:rsid w:val="00741DCC"/>
    <w:rsid w:val="00741DE2"/>
    <w:rsid w:val="007421A1"/>
    <w:rsid w:val="007427FE"/>
    <w:rsid w:val="00742C51"/>
    <w:rsid w:val="00743445"/>
    <w:rsid w:val="00743F6A"/>
    <w:rsid w:val="00745E01"/>
    <w:rsid w:val="00745FB4"/>
    <w:rsid w:val="0074666B"/>
    <w:rsid w:val="007468D6"/>
    <w:rsid w:val="00746BFF"/>
    <w:rsid w:val="007473E1"/>
    <w:rsid w:val="00747897"/>
    <w:rsid w:val="00747E47"/>
    <w:rsid w:val="007500A2"/>
    <w:rsid w:val="00750192"/>
    <w:rsid w:val="007504E1"/>
    <w:rsid w:val="00750544"/>
    <w:rsid w:val="00750804"/>
    <w:rsid w:val="007509AB"/>
    <w:rsid w:val="00751689"/>
    <w:rsid w:val="007524AA"/>
    <w:rsid w:val="00753744"/>
    <w:rsid w:val="00753A93"/>
    <w:rsid w:val="007553C1"/>
    <w:rsid w:val="00755663"/>
    <w:rsid w:val="007557EB"/>
    <w:rsid w:val="00756386"/>
    <w:rsid w:val="00756603"/>
    <w:rsid w:val="007575C0"/>
    <w:rsid w:val="00757D2F"/>
    <w:rsid w:val="0076000E"/>
    <w:rsid w:val="007604D7"/>
    <w:rsid w:val="00760C00"/>
    <w:rsid w:val="007610E9"/>
    <w:rsid w:val="0076145F"/>
    <w:rsid w:val="00761728"/>
    <w:rsid w:val="00761AAF"/>
    <w:rsid w:val="00761C6C"/>
    <w:rsid w:val="00761D77"/>
    <w:rsid w:val="00762B72"/>
    <w:rsid w:val="00763CCB"/>
    <w:rsid w:val="007642B4"/>
    <w:rsid w:val="00764C45"/>
    <w:rsid w:val="00764C7F"/>
    <w:rsid w:val="00766277"/>
    <w:rsid w:val="0076656A"/>
    <w:rsid w:val="00766701"/>
    <w:rsid w:val="00766911"/>
    <w:rsid w:val="00767601"/>
    <w:rsid w:val="00767793"/>
    <w:rsid w:val="007679D8"/>
    <w:rsid w:val="007705B3"/>
    <w:rsid w:val="00770803"/>
    <w:rsid w:val="00771319"/>
    <w:rsid w:val="007713E8"/>
    <w:rsid w:val="00771794"/>
    <w:rsid w:val="00771CCF"/>
    <w:rsid w:val="00771F7D"/>
    <w:rsid w:val="00772C3E"/>
    <w:rsid w:val="007736E8"/>
    <w:rsid w:val="00774400"/>
    <w:rsid w:val="00774AA1"/>
    <w:rsid w:val="00774ACE"/>
    <w:rsid w:val="00774B23"/>
    <w:rsid w:val="00775823"/>
    <w:rsid w:val="00775F57"/>
    <w:rsid w:val="00776584"/>
    <w:rsid w:val="007769EF"/>
    <w:rsid w:val="00776D4F"/>
    <w:rsid w:val="00776DDC"/>
    <w:rsid w:val="007770F9"/>
    <w:rsid w:val="00777179"/>
    <w:rsid w:val="00777945"/>
    <w:rsid w:val="00777D40"/>
    <w:rsid w:val="00780B8D"/>
    <w:rsid w:val="00780B8E"/>
    <w:rsid w:val="00781649"/>
    <w:rsid w:val="007823D6"/>
    <w:rsid w:val="0078254E"/>
    <w:rsid w:val="00782628"/>
    <w:rsid w:val="007826AB"/>
    <w:rsid w:val="007836E4"/>
    <w:rsid w:val="00783C94"/>
    <w:rsid w:val="007840E2"/>
    <w:rsid w:val="0078569F"/>
    <w:rsid w:val="00785803"/>
    <w:rsid w:val="00785EB4"/>
    <w:rsid w:val="0078609A"/>
    <w:rsid w:val="00786F85"/>
    <w:rsid w:val="0078731A"/>
    <w:rsid w:val="00787487"/>
    <w:rsid w:val="0079056D"/>
    <w:rsid w:val="007906F1"/>
    <w:rsid w:val="00790EDA"/>
    <w:rsid w:val="007912EC"/>
    <w:rsid w:val="00791349"/>
    <w:rsid w:val="00791581"/>
    <w:rsid w:val="00791D85"/>
    <w:rsid w:val="00791DAF"/>
    <w:rsid w:val="007924CA"/>
    <w:rsid w:val="007934B2"/>
    <w:rsid w:val="00794CBF"/>
    <w:rsid w:val="00795365"/>
    <w:rsid w:val="0079567E"/>
    <w:rsid w:val="007961D5"/>
    <w:rsid w:val="00796A6F"/>
    <w:rsid w:val="00796C5D"/>
    <w:rsid w:val="00797B06"/>
    <w:rsid w:val="00797B9C"/>
    <w:rsid w:val="007A0254"/>
    <w:rsid w:val="007A0483"/>
    <w:rsid w:val="007A1065"/>
    <w:rsid w:val="007A1D86"/>
    <w:rsid w:val="007A2A97"/>
    <w:rsid w:val="007A2CDC"/>
    <w:rsid w:val="007A371B"/>
    <w:rsid w:val="007A3832"/>
    <w:rsid w:val="007A3A0F"/>
    <w:rsid w:val="007A3E60"/>
    <w:rsid w:val="007A407D"/>
    <w:rsid w:val="007A42C3"/>
    <w:rsid w:val="007A464F"/>
    <w:rsid w:val="007A4BF9"/>
    <w:rsid w:val="007A50FC"/>
    <w:rsid w:val="007A5E62"/>
    <w:rsid w:val="007A6196"/>
    <w:rsid w:val="007A63D5"/>
    <w:rsid w:val="007A689A"/>
    <w:rsid w:val="007A68EA"/>
    <w:rsid w:val="007A6B7D"/>
    <w:rsid w:val="007A7629"/>
    <w:rsid w:val="007B1027"/>
    <w:rsid w:val="007B1691"/>
    <w:rsid w:val="007B174F"/>
    <w:rsid w:val="007B1863"/>
    <w:rsid w:val="007B22E0"/>
    <w:rsid w:val="007B28CA"/>
    <w:rsid w:val="007B358D"/>
    <w:rsid w:val="007B376A"/>
    <w:rsid w:val="007B5401"/>
    <w:rsid w:val="007B5D4D"/>
    <w:rsid w:val="007B5FB4"/>
    <w:rsid w:val="007B6B2B"/>
    <w:rsid w:val="007B7597"/>
    <w:rsid w:val="007B7949"/>
    <w:rsid w:val="007B7D30"/>
    <w:rsid w:val="007C0F03"/>
    <w:rsid w:val="007C0FA9"/>
    <w:rsid w:val="007C2016"/>
    <w:rsid w:val="007C2413"/>
    <w:rsid w:val="007C25AE"/>
    <w:rsid w:val="007C3152"/>
    <w:rsid w:val="007C333B"/>
    <w:rsid w:val="007C3914"/>
    <w:rsid w:val="007C3CEA"/>
    <w:rsid w:val="007C3D92"/>
    <w:rsid w:val="007C3E98"/>
    <w:rsid w:val="007C48E3"/>
    <w:rsid w:val="007C5A8F"/>
    <w:rsid w:val="007C5B38"/>
    <w:rsid w:val="007C5C38"/>
    <w:rsid w:val="007C6ED2"/>
    <w:rsid w:val="007C76E8"/>
    <w:rsid w:val="007D01E6"/>
    <w:rsid w:val="007D035E"/>
    <w:rsid w:val="007D0396"/>
    <w:rsid w:val="007D0644"/>
    <w:rsid w:val="007D1801"/>
    <w:rsid w:val="007D1FE0"/>
    <w:rsid w:val="007D20BB"/>
    <w:rsid w:val="007D261E"/>
    <w:rsid w:val="007D2F61"/>
    <w:rsid w:val="007D3004"/>
    <w:rsid w:val="007D3389"/>
    <w:rsid w:val="007D3D0E"/>
    <w:rsid w:val="007D3D33"/>
    <w:rsid w:val="007D41C2"/>
    <w:rsid w:val="007D4F02"/>
    <w:rsid w:val="007D674C"/>
    <w:rsid w:val="007D6B7B"/>
    <w:rsid w:val="007D6CF1"/>
    <w:rsid w:val="007D710F"/>
    <w:rsid w:val="007D7131"/>
    <w:rsid w:val="007D7BEC"/>
    <w:rsid w:val="007D7CE3"/>
    <w:rsid w:val="007E051A"/>
    <w:rsid w:val="007E0798"/>
    <w:rsid w:val="007E1B72"/>
    <w:rsid w:val="007E20AC"/>
    <w:rsid w:val="007E2D5B"/>
    <w:rsid w:val="007E3EE3"/>
    <w:rsid w:val="007E5119"/>
    <w:rsid w:val="007E57DE"/>
    <w:rsid w:val="007E5902"/>
    <w:rsid w:val="007E6719"/>
    <w:rsid w:val="007E68ED"/>
    <w:rsid w:val="007E69ED"/>
    <w:rsid w:val="007E7B2D"/>
    <w:rsid w:val="007F0221"/>
    <w:rsid w:val="007F034B"/>
    <w:rsid w:val="007F07B9"/>
    <w:rsid w:val="007F0928"/>
    <w:rsid w:val="007F0F4E"/>
    <w:rsid w:val="007F15CE"/>
    <w:rsid w:val="007F1E88"/>
    <w:rsid w:val="007F2CD7"/>
    <w:rsid w:val="007F3568"/>
    <w:rsid w:val="007F3DE9"/>
    <w:rsid w:val="007F422D"/>
    <w:rsid w:val="007F4DBA"/>
    <w:rsid w:val="007F519C"/>
    <w:rsid w:val="007F534D"/>
    <w:rsid w:val="007F54A2"/>
    <w:rsid w:val="007F54FE"/>
    <w:rsid w:val="007F5535"/>
    <w:rsid w:val="007F5D32"/>
    <w:rsid w:val="007F72DC"/>
    <w:rsid w:val="007F795F"/>
    <w:rsid w:val="0080069C"/>
    <w:rsid w:val="008006FD"/>
    <w:rsid w:val="0080148D"/>
    <w:rsid w:val="0080156B"/>
    <w:rsid w:val="00801A3A"/>
    <w:rsid w:val="00804114"/>
    <w:rsid w:val="00804634"/>
    <w:rsid w:val="008047E8"/>
    <w:rsid w:val="0080531E"/>
    <w:rsid w:val="0080538E"/>
    <w:rsid w:val="00805C3D"/>
    <w:rsid w:val="00806F1D"/>
    <w:rsid w:val="008077ED"/>
    <w:rsid w:val="00807B6F"/>
    <w:rsid w:val="00807E93"/>
    <w:rsid w:val="00810172"/>
    <w:rsid w:val="00810762"/>
    <w:rsid w:val="00810858"/>
    <w:rsid w:val="00810EFF"/>
    <w:rsid w:val="00811314"/>
    <w:rsid w:val="00811A39"/>
    <w:rsid w:val="0081291B"/>
    <w:rsid w:val="00813093"/>
    <w:rsid w:val="00813622"/>
    <w:rsid w:val="00813DCF"/>
    <w:rsid w:val="00813FAB"/>
    <w:rsid w:val="0081498C"/>
    <w:rsid w:val="00814AE1"/>
    <w:rsid w:val="00815D31"/>
    <w:rsid w:val="0081601F"/>
    <w:rsid w:val="00816064"/>
    <w:rsid w:val="008174B2"/>
    <w:rsid w:val="008174C9"/>
    <w:rsid w:val="00817CFF"/>
    <w:rsid w:val="0082000D"/>
    <w:rsid w:val="0082037E"/>
    <w:rsid w:val="00820C9C"/>
    <w:rsid w:val="00820F55"/>
    <w:rsid w:val="00821572"/>
    <w:rsid w:val="00822310"/>
    <w:rsid w:val="00823210"/>
    <w:rsid w:val="00823255"/>
    <w:rsid w:val="00823794"/>
    <w:rsid w:val="008237F4"/>
    <w:rsid w:val="00823F67"/>
    <w:rsid w:val="00824022"/>
    <w:rsid w:val="0082483A"/>
    <w:rsid w:val="00824A81"/>
    <w:rsid w:val="008257B8"/>
    <w:rsid w:val="008260ED"/>
    <w:rsid w:val="0082699D"/>
    <w:rsid w:val="00826E38"/>
    <w:rsid w:val="00826E6B"/>
    <w:rsid w:val="008275FD"/>
    <w:rsid w:val="00830BA1"/>
    <w:rsid w:val="00830EB2"/>
    <w:rsid w:val="00831652"/>
    <w:rsid w:val="0083191E"/>
    <w:rsid w:val="0083202E"/>
    <w:rsid w:val="0083304F"/>
    <w:rsid w:val="008334C9"/>
    <w:rsid w:val="00834122"/>
    <w:rsid w:val="008352C5"/>
    <w:rsid w:val="008356B7"/>
    <w:rsid w:val="00835855"/>
    <w:rsid w:val="008358A6"/>
    <w:rsid w:val="008359FB"/>
    <w:rsid w:val="00835C56"/>
    <w:rsid w:val="008360FC"/>
    <w:rsid w:val="00836E81"/>
    <w:rsid w:val="00837340"/>
    <w:rsid w:val="008377C1"/>
    <w:rsid w:val="00837B26"/>
    <w:rsid w:val="00837C90"/>
    <w:rsid w:val="00837EB1"/>
    <w:rsid w:val="0084010A"/>
    <w:rsid w:val="0084042B"/>
    <w:rsid w:val="008409BB"/>
    <w:rsid w:val="00841034"/>
    <w:rsid w:val="0084184A"/>
    <w:rsid w:val="008423F2"/>
    <w:rsid w:val="00842A30"/>
    <w:rsid w:val="00842F71"/>
    <w:rsid w:val="00843179"/>
    <w:rsid w:val="0084386A"/>
    <w:rsid w:val="00843E0E"/>
    <w:rsid w:val="008442EA"/>
    <w:rsid w:val="00844589"/>
    <w:rsid w:val="00844794"/>
    <w:rsid w:val="00844FE7"/>
    <w:rsid w:val="00845969"/>
    <w:rsid w:val="00845F37"/>
    <w:rsid w:val="00845FF5"/>
    <w:rsid w:val="00846001"/>
    <w:rsid w:val="0084615D"/>
    <w:rsid w:val="0084642A"/>
    <w:rsid w:val="008465C4"/>
    <w:rsid w:val="00846710"/>
    <w:rsid w:val="008478ED"/>
    <w:rsid w:val="0085087F"/>
    <w:rsid w:val="00851728"/>
    <w:rsid w:val="00851DFF"/>
    <w:rsid w:val="00852C23"/>
    <w:rsid w:val="00853084"/>
    <w:rsid w:val="00853142"/>
    <w:rsid w:val="008540A6"/>
    <w:rsid w:val="00854420"/>
    <w:rsid w:val="00854481"/>
    <w:rsid w:val="008555EF"/>
    <w:rsid w:val="00855728"/>
    <w:rsid w:val="00857591"/>
    <w:rsid w:val="00857E88"/>
    <w:rsid w:val="0086028A"/>
    <w:rsid w:val="008612DB"/>
    <w:rsid w:val="00861B57"/>
    <w:rsid w:val="00862222"/>
    <w:rsid w:val="00862AC4"/>
    <w:rsid w:val="008633AC"/>
    <w:rsid w:val="008634E3"/>
    <w:rsid w:val="00864627"/>
    <w:rsid w:val="00864635"/>
    <w:rsid w:val="00864678"/>
    <w:rsid w:val="00864C1A"/>
    <w:rsid w:val="00865217"/>
    <w:rsid w:val="008658AA"/>
    <w:rsid w:val="00865CBD"/>
    <w:rsid w:val="00866E37"/>
    <w:rsid w:val="00866F9E"/>
    <w:rsid w:val="008672E2"/>
    <w:rsid w:val="0086793D"/>
    <w:rsid w:val="00867B1C"/>
    <w:rsid w:val="008713D6"/>
    <w:rsid w:val="00871643"/>
    <w:rsid w:val="0087281D"/>
    <w:rsid w:val="008732D8"/>
    <w:rsid w:val="00873377"/>
    <w:rsid w:val="00873577"/>
    <w:rsid w:val="00873C63"/>
    <w:rsid w:val="0087405D"/>
    <w:rsid w:val="0087409F"/>
    <w:rsid w:val="00874D58"/>
    <w:rsid w:val="008750D2"/>
    <w:rsid w:val="008751E2"/>
    <w:rsid w:val="00875AB5"/>
    <w:rsid w:val="00875C91"/>
    <w:rsid w:val="00875F85"/>
    <w:rsid w:val="00876703"/>
    <w:rsid w:val="00876C6B"/>
    <w:rsid w:val="00876DC9"/>
    <w:rsid w:val="00877125"/>
    <w:rsid w:val="00877194"/>
    <w:rsid w:val="008777C2"/>
    <w:rsid w:val="0088036F"/>
    <w:rsid w:val="0088063B"/>
    <w:rsid w:val="00881511"/>
    <w:rsid w:val="00882204"/>
    <w:rsid w:val="00882448"/>
    <w:rsid w:val="00882F1D"/>
    <w:rsid w:val="00883A4D"/>
    <w:rsid w:val="00883B21"/>
    <w:rsid w:val="00883F8F"/>
    <w:rsid w:val="00884235"/>
    <w:rsid w:val="00885285"/>
    <w:rsid w:val="00885985"/>
    <w:rsid w:val="00886699"/>
    <w:rsid w:val="0088709A"/>
    <w:rsid w:val="0089199F"/>
    <w:rsid w:val="00891C32"/>
    <w:rsid w:val="00891D7F"/>
    <w:rsid w:val="00892265"/>
    <w:rsid w:val="0089233E"/>
    <w:rsid w:val="0089330E"/>
    <w:rsid w:val="00893A8E"/>
    <w:rsid w:val="00893E27"/>
    <w:rsid w:val="008945F7"/>
    <w:rsid w:val="0089463D"/>
    <w:rsid w:val="0089554F"/>
    <w:rsid w:val="008955E6"/>
    <w:rsid w:val="00895B5F"/>
    <w:rsid w:val="0089637C"/>
    <w:rsid w:val="00896712"/>
    <w:rsid w:val="00896870"/>
    <w:rsid w:val="008969BD"/>
    <w:rsid w:val="008A13BD"/>
    <w:rsid w:val="008A1596"/>
    <w:rsid w:val="008A1EDF"/>
    <w:rsid w:val="008A2695"/>
    <w:rsid w:val="008A2DC9"/>
    <w:rsid w:val="008A2FF1"/>
    <w:rsid w:val="008A32D4"/>
    <w:rsid w:val="008A367F"/>
    <w:rsid w:val="008A37AF"/>
    <w:rsid w:val="008A3D62"/>
    <w:rsid w:val="008A448D"/>
    <w:rsid w:val="008A4A55"/>
    <w:rsid w:val="008A506F"/>
    <w:rsid w:val="008A528A"/>
    <w:rsid w:val="008A5298"/>
    <w:rsid w:val="008A535A"/>
    <w:rsid w:val="008A5A3E"/>
    <w:rsid w:val="008A720F"/>
    <w:rsid w:val="008A7498"/>
    <w:rsid w:val="008A7C72"/>
    <w:rsid w:val="008B04F2"/>
    <w:rsid w:val="008B0D0E"/>
    <w:rsid w:val="008B12BB"/>
    <w:rsid w:val="008B1411"/>
    <w:rsid w:val="008B17A2"/>
    <w:rsid w:val="008B25F2"/>
    <w:rsid w:val="008B2643"/>
    <w:rsid w:val="008B2FAE"/>
    <w:rsid w:val="008B3317"/>
    <w:rsid w:val="008B414B"/>
    <w:rsid w:val="008B4E0E"/>
    <w:rsid w:val="008B4FB9"/>
    <w:rsid w:val="008B5715"/>
    <w:rsid w:val="008B5A2D"/>
    <w:rsid w:val="008B5BC2"/>
    <w:rsid w:val="008B5E54"/>
    <w:rsid w:val="008B60BB"/>
    <w:rsid w:val="008B6732"/>
    <w:rsid w:val="008B68EC"/>
    <w:rsid w:val="008B711E"/>
    <w:rsid w:val="008C042F"/>
    <w:rsid w:val="008C057B"/>
    <w:rsid w:val="008C0CAC"/>
    <w:rsid w:val="008C13B4"/>
    <w:rsid w:val="008C1557"/>
    <w:rsid w:val="008C1B8C"/>
    <w:rsid w:val="008C1E96"/>
    <w:rsid w:val="008C2306"/>
    <w:rsid w:val="008C26D1"/>
    <w:rsid w:val="008C2812"/>
    <w:rsid w:val="008C2B7F"/>
    <w:rsid w:val="008C36AC"/>
    <w:rsid w:val="008C4953"/>
    <w:rsid w:val="008C4E44"/>
    <w:rsid w:val="008C6255"/>
    <w:rsid w:val="008C684B"/>
    <w:rsid w:val="008C6ABD"/>
    <w:rsid w:val="008C6F18"/>
    <w:rsid w:val="008C7685"/>
    <w:rsid w:val="008C772A"/>
    <w:rsid w:val="008D007A"/>
    <w:rsid w:val="008D07DE"/>
    <w:rsid w:val="008D0831"/>
    <w:rsid w:val="008D0E40"/>
    <w:rsid w:val="008D1E7F"/>
    <w:rsid w:val="008D2367"/>
    <w:rsid w:val="008D427A"/>
    <w:rsid w:val="008D4DD5"/>
    <w:rsid w:val="008D5657"/>
    <w:rsid w:val="008D6752"/>
    <w:rsid w:val="008D69E7"/>
    <w:rsid w:val="008D6FC1"/>
    <w:rsid w:val="008E0140"/>
    <w:rsid w:val="008E0688"/>
    <w:rsid w:val="008E0BEF"/>
    <w:rsid w:val="008E103C"/>
    <w:rsid w:val="008E266D"/>
    <w:rsid w:val="008E2F0C"/>
    <w:rsid w:val="008E3E23"/>
    <w:rsid w:val="008E3E3A"/>
    <w:rsid w:val="008E4517"/>
    <w:rsid w:val="008E547B"/>
    <w:rsid w:val="008E5DF8"/>
    <w:rsid w:val="008E6AC2"/>
    <w:rsid w:val="008E77A8"/>
    <w:rsid w:val="008F0250"/>
    <w:rsid w:val="008F11F4"/>
    <w:rsid w:val="008F1952"/>
    <w:rsid w:val="008F254D"/>
    <w:rsid w:val="008F310B"/>
    <w:rsid w:val="008F322B"/>
    <w:rsid w:val="008F34CB"/>
    <w:rsid w:val="008F3519"/>
    <w:rsid w:val="008F3AD3"/>
    <w:rsid w:val="008F3CA7"/>
    <w:rsid w:val="008F443F"/>
    <w:rsid w:val="008F5DE5"/>
    <w:rsid w:val="008F5E42"/>
    <w:rsid w:val="008F63B1"/>
    <w:rsid w:val="008F6973"/>
    <w:rsid w:val="008F6E6A"/>
    <w:rsid w:val="008F7AA7"/>
    <w:rsid w:val="008F7F94"/>
    <w:rsid w:val="00900947"/>
    <w:rsid w:val="00900EB8"/>
    <w:rsid w:val="00900FBA"/>
    <w:rsid w:val="00901471"/>
    <w:rsid w:val="0090240E"/>
    <w:rsid w:val="00902B33"/>
    <w:rsid w:val="00902E5B"/>
    <w:rsid w:val="00903FD9"/>
    <w:rsid w:val="00904B01"/>
    <w:rsid w:val="00904CF5"/>
    <w:rsid w:val="00905259"/>
    <w:rsid w:val="0090556C"/>
    <w:rsid w:val="00905633"/>
    <w:rsid w:val="00905CBB"/>
    <w:rsid w:val="00905EAE"/>
    <w:rsid w:val="009060C4"/>
    <w:rsid w:val="00906C91"/>
    <w:rsid w:val="00906C95"/>
    <w:rsid w:val="00907656"/>
    <w:rsid w:val="00907E47"/>
    <w:rsid w:val="009115EF"/>
    <w:rsid w:val="009116DD"/>
    <w:rsid w:val="00912D1C"/>
    <w:rsid w:val="00913019"/>
    <w:rsid w:val="00913F1E"/>
    <w:rsid w:val="00913FB2"/>
    <w:rsid w:val="009140C4"/>
    <w:rsid w:val="009144A9"/>
    <w:rsid w:val="0091468B"/>
    <w:rsid w:val="009149A2"/>
    <w:rsid w:val="0091526F"/>
    <w:rsid w:val="009153D2"/>
    <w:rsid w:val="009153E9"/>
    <w:rsid w:val="00915EE6"/>
    <w:rsid w:val="00916286"/>
    <w:rsid w:val="00916595"/>
    <w:rsid w:val="00916C47"/>
    <w:rsid w:val="009171A6"/>
    <w:rsid w:val="009171AD"/>
    <w:rsid w:val="009171B5"/>
    <w:rsid w:val="00917569"/>
    <w:rsid w:val="00920174"/>
    <w:rsid w:val="009219D2"/>
    <w:rsid w:val="00921A4E"/>
    <w:rsid w:val="00921E37"/>
    <w:rsid w:val="00922511"/>
    <w:rsid w:val="00922F07"/>
    <w:rsid w:val="00923463"/>
    <w:rsid w:val="00925238"/>
    <w:rsid w:val="00925ACF"/>
    <w:rsid w:val="0092615D"/>
    <w:rsid w:val="00926546"/>
    <w:rsid w:val="009265A1"/>
    <w:rsid w:val="00926E9C"/>
    <w:rsid w:val="00927700"/>
    <w:rsid w:val="00927DAF"/>
    <w:rsid w:val="0093036E"/>
    <w:rsid w:val="00931224"/>
    <w:rsid w:val="009315F3"/>
    <w:rsid w:val="0093264C"/>
    <w:rsid w:val="009333D3"/>
    <w:rsid w:val="009339B6"/>
    <w:rsid w:val="00933B4C"/>
    <w:rsid w:val="00933DC4"/>
    <w:rsid w:val="0093431B"/>
    <w:rsid w:val="009346D6"/>
    <w:rsid w:val="00934743"/>
    <w:rsid w:val="0093487E"/>
    <w:rsid w:val="00934E90"/>
    <w:rsid w:val="00934FFE"/>
    <w:rsid w:val="009352F9"/>
    <w:rsid w:val="00936405"/>
    <w:rsid w:val="00936B64"/>
    <w:rsid w:val="009379C4"/>
    <w:rsid w:val="0094041A"/>
    <w:rsid w:val="00940D32"/>
    <w:rsid w:val="009411CD"/>
    <w:rsid w:val="0094190D"/>
    <w:rsid w:val="00942354"/>
    <w:rsid w:val="00942681"/>
    <w:rsid w:val="00943A7E"/>
    <w:rsid w:val="00943E42"/>
    <w:rsid w:val="00943E5D"/>
    <w:rsid w:val="00943FBD"/>
    <w:rsid w:val="00944728"/>
    <w:rsid w:val="009453E8"/>
    <w:rsid w:val="00945664"/>
    <w:rsid w:val="00945AD1"/>
    <w:rsid w:val="00946638"/>
    <w:rsid w:val="00946ECB"/>
    <w:rsid w:val="009471A4"/>
    <w:rsid w:val="00947268"/>
    <w:rsid w:val="0094750E"/>
    <w:rsid w:val="00947C94"/>
    <w:rsid w:val="009507C8"/>
    <w:rsid w:val="00950C6C"/>
    <w:rsid w:val="0095115E"/>
    <w:rsid w:val="0095118A"/>
    <w:rsid w:val="00952468"/>
    <w:rsid w:val="00954767"/>
    <w:rsid w:val="0095487A"/>
    <w:rsid w:val="009548FB"/>
    <w:rsid w:val="0095538B"/>
    <w:rsid w:val="0095642C"/>
    <w:rsid w:val="00956E21"/>
    <w:rsid w:val="009575B9"/>
    <w:rsid w:val="00957AF7"/>
    <w:rsid w:val="00960ACA"/>
    <w:rsid w:val="00960C4F"/>
    <w:rsid w:val="0096217C"/>
    <w:rsid w:val="00962441"/>
    <w:rsid w:val="00963277"/>
    <w:rsid w:val="00964B53"/>
    <w:rsid w:val="00964BDC"/>
    <w:rsid w:val="00964C3F"/>
    <w:rsid w:val="00964C6C"/>
    <w:rsid w:val="00965176"/>
    <w:rsid w:val="00965240"/>
    <w:rsid w:val="00965847"/>
    <w:rsid w:val="00965A3E"/>
    <w:rsid w:val="00965C48"/>
    <w:rsid w:val="00966D9D"/>
    <w:rsid w:val="00966E4A"/>
    <w:rsid w:val="00967041"/>
    <w:rsid w:val="00970918"/>
    <w:rsid w:val="0097099E"/>
    <w:rsid w:val="00971761"/>
    <w:rsid w:val="0097216F"/>
    <w:rsid w:val="00972C3B"/>
    <w:rsid w:val="00972E0E"/>
    <w:rsid w:val="00973057"/>
    <w:rsid w:val="00973F3C"/>
    <w:rsid w:val="00974D50"/>
    <w:rsid w:val="00975073"/>
    <w:rsid w:val="009751AF"/>
    <w:rsid w:val="00975326"/>
    <w:rsid w:val="00975DEA"/>
    <w:rsid w:val="00977CDF"/>
    <w:rsid w:val="0098043F"/>
    <w:rsid w:val="00981038"/>
    <w:rsid w:val="0098106E"/>
    <w:rsid w:val="00981511"/>
    <w:rsid w:val="00981D1C"/>
    <w:rsid w:val="00981E1C"/>
    <w:rsid w:val="00982118"/>
    <w:rsid w:val="009824E7"/>
    <w:rsid w:val="00982C62"/>
    <w:rsid w:val="00982C91"/>
    <w:rsid w:val="00982F76"/>
    <w:rsid w:val="00982FA3"/>
    <w:rsid w:val="009840FD"/>
    <w:rsid w:val="00984701"/>
    <w:rsid w:val="00984847"/>
    <w:rsid w:val="00984BEC"/>
    <w:rsid w:val="0098571B"/>
    <w:rsid w:val="00985EB8"/>
    <w:rsid w:val="00985FB3"/>
    <w:rsid w:val="00986566"/>
    <w:rsid w:val="00986CC1"/>
    <w:rsid w:val="00986F4E"/>
    <w:rsid w:val="00987191"/>
    <w:rsid w:val="00987A5A"/>
    <w:rsid w:val="00987CB4"/>
    <w:rsid w:val="00990083"/>
    <w:rsid w:val="0099097E"/>
    <w:rsid w:val="009921FC"/>
    <w:rsid w:val="00992719"/>
    <w:rsid w:val="0099272B"/>
    <w:rsid w:val="00992A0E"/>
    <w:rsid w:val="0099399E"/>
    <w:rsid w:val="0099413C"/>
    <w:rsid w:val="00994230"/>
    <w:rsid w:val="0099479E"/>
    <w:rsid w:val="00994E40"/>
    <w:rsid w:val="009951D8"/>
    <w:rsid w:val="00995355"/>
    <w:rsid w:val="0099586F"/>
    <w:rsid w:val="00996982"/>
    <w:rsid w:val="00996CB5"/>
    <w:rsid w:val="0099719E"/>
    <w:rsid w:val="00997A9B"/>
    <w:rsid w:val="009A0169"/>
    <w:rsid w:val="009A1B56"/>
    <w:rsid w:val="009A2A8A"/>
    <w:rsid w:val="009A3C93"/>
    <w:rsid w:val="009A3FD0"/>
    <w:rsid w:val="009A51C7"/>
    <w:rsid w:val="009A59EC"/>
    <w:rsid w:val="009A5C56"/>
    <w:rsid w:val="009A5CA8"/>
    <w:rsid w:val="009A6ED0"/>
    <w:rsid w:val="009A706A"/>
    <w:rsid w:val="009A71AB"/>
    <w:rsid w:val="009A7745"/>
    <w:rsid w:val="009A7C3D"/>
    <w:rsid w:val="009B014E"/>
    <w:rsid w:val="009B0156"/>
    <w:rsid w:val="009B0295"/>
    <w:rsid w:val="009B05BA"/>
    <w:rsid w:val="009B1B0E"/>
    <w:rsid w:val="009B2596"/>
    <w:rsid w:val="009B32DA"/>
    <w:rsid w:val="009B41DA"/>
    <w:rsid w:val="009B42B6"/>
    <w:rsid w:val="009B42CC"/>
    <w:rsid w:val="009B43D6"/>
    <w:rsid w:val="009B5081"/>
    <w:rsid w:val="009B6985"/>
    <w:rsid w:val="009B69B3"/>
    <w:rsid w:val="009B7011"/>
    <w:rsid w:val="009B71E4"/>
    <w:rsid w:val="009B7334"/>
    <w:rsid w:val="009B794C"/>
    <w:rsid w:val="009C007D"/>
    <w:rsid w:val="009C0229"/>
    <w:rsid w:val="009C04EE"/>
    <w:rsid w:val="009C0CD4"/>
    <w:rsid w:val="009C1133"/>
    <w:rsid w:val="009C15E7"/>
    <w:rsid w:val="009C17C8"/>
    <w:rsid w:val="009C2F97"/>
    <w:rsid w:val="009C37F5"/>
    <w:rsid w:val="009C385B"/>
    <w:rsid w:val="009C3E3C"/>
    <w:rsid w:val="009C4353"/>
    <w:rsid w:val="009C49C2"/>
    <w:rsid w:val="009C4E2D"/>
    <w:rsid w:val="009C5827"/>
    <w:rsid w:val="009C62C0"/>
    <w:rsid w:val="009C6A88"/>
    <w:rsid w:val="009C765D"/>
    <w:rsid w:val="009C7ADA"/>
    <w:rsid w:val="009D000A"/>
    <w:rsid w:val="009D1A86"/>
    <w:rsid w:val="009D1E12"/>
    <w:rsid w:val="009D2DA9"/>
    <w:rsid w:val="009D2E93"/>
    <w:rsid w:val="009D2EA9"/>
    <w:rsid w:val="009D3038"/>
    <w:rsid w:val="009D34C0"/>
    <w:rsid w:val="009D35FB"/>
    <w:rsid w:val="009D4BBE"/>
    <w:rsid w:val="009D4E16"/>
    <w:rsid w:val="009D5522"/>
    <w:rsid w:val="009D5893"/>
    <w:rsid w:val="009D6620"/>
    <w:rsid w:val="009D6C54"/>
    <w:rsid w:val="009D72B0"/>
    <w:rsid w:val="009D77CE"/>
    <w:rsid w:val="009D7CA5"/>
    <w:rsid w:val="009D7DE3"/>
    <w:rsid w:val="009E004A"/>
    <w:rsid w:val="009E066B"/>
    <w:rsid w:val="009E1515"/>
    <w:rsid w:val="009E1CFF"/>
    <w:rsid w:val="009E1FEE"/>
    <w:rsid w:val="009E23EA"/>
    <w:rsid w:val="009E2D24"/>
    <w:rsid w:val="009E2EA0"/>
    <w:rsid w:val="009E305F"/>
    <w:rsid w:val="009E36FF"/>
    <w:rsid w:val="009E37D3"/>
    <w:rsid w:val="009E5028"/>
    <w:rsid w:val="009E50FB"/>
    <w:rsid w:val="009E5280"/>
    <w:rsid w:val="009E5386"/>
    <w:rsid w:val="009E5DD1"/>
    <w:rsid w:val="009E60AD"/>
    <w:rsid w:val="009E68C8"/>
    <w:rsid w:val="009E6AB5"/>
    <w:rsid w:val="009E6DAB"/>
    <w:rsid w:val="009E6F4B"/>
    <w:rsid w:val="009E703C"/>
    <w:rsid w:val="009E7E4C"/>
    <w:rsid w:val="009F08F5"/>
    <w:rsid w:val="009F0956"/>
    <w:rsid w:val="009F0EE5"/>
    <w:rsid w:val="009F1264"/>
    <w:rsid w:val="009F1D7F"/>
    <w:rsid w:val="009F245B"/>
    <w:rsid w:val="009F25E6"/>
    <w:rsid w:val="009F2BE8"/>
    <w:rsid w:val="009F2F09"/>
    <w:rsid w:val="009F39A7"/>
    <w:rsid w:val="009F40B7"/>
    <w:rsid w:val="009F4188"/>
    <w:rsid w:val="009F4302"/>
    <w:rsid w:val="009F4393"/>
    <w:rsid w:val="009F4BE9"/>
    <w:rsid w:val="009F62D3"/>
    <w:rsid w:val="00A00112"/>
    <w:rsid w:val="00A008B5"/>
    <w:rsid w:val="00A017B4"/>
    <w:rsid w:val="00A01C53"/>
    <w:rsid w:val="00A01D38"/>
    <w:rsid w:val="00A02414"/>
    <w:rsid w:val="00A025B9"/>
    <w:rsid w:val="00A0355C"/>
    <w:rsid w:val="00A03A13"/>
    <w:rsid w:val="00A03F0C"/>
    <w:rsid w:val="00A040CD"/>
    <w:rsid w:val="00A04429"/>
    <w:rsid w:val="00A06446"/>
    <w:rsid w:val="00A06697"/>
    <w:rsid w:val="00A06C40"/>
    <w:rsid w:val="00A102A6"/>
    <w:rsid w:val="00A10586"/>
    <w:rsid w:val="00A10A48"/>
    <w:rsid w:val="00A10C37"/>
    <w:rsid w:val="00A10FFD"/>
    <w:rsid w:val="00A110DA"/>
    <w:rsid w:val="00A1132B"/>
    <w:rsid w:val="00A11930"/>
    <w:rsid w:val="00A11B54"/>
    <w:rsid w:val="00A11CDC"/>
    <w:rsid w:val="00A1238C"/>
    <w:rsid w:val="00A1263D"/>
    <w:rsid w:val="00A12AF2"/>
    <w:rsid w:val="00A12D8A"/>
    <w:rsid w:val="00A12E6C"/>
    <w:rsid w:val="00A136D0"/>
    <w:rsid w:val="00A13D1A"/>
    <w:rsid w:val="00A1447F"/>
    <w:rsid w:val="00A14DC2"/>
    <w:rsid w:val="00A14DD6"/>
    <w:rsid w:val="00A15D5E"/>
    <w:rsid w:val="00A161F8"/>
    <w:rsid w:val="00A169FA"/>
    <w:rsid w:val="00A1766A"/>
    <w:rsid w:val="00A200F4"/>
    <w:rsid w:val="00A206C9"/>
    <w:rsid w:val="00A20C27"/>
    <w:rsid w:val="00A20E7D"/>
    <w:rsid w:val="00A216BC"/>
    <w:rsid w:val="00A22585"/>
    <w:rsid w:val="00A23931"/>
    <w:rsid w:val="00A23D86"/>
    <w:rsid w:val="00A23F92"/>
    <w:rsid w:val="00A23FD6"/>
    <w:rsid w:val="00A2464B"/>
    <w:rsid w:val="00A25317"/>
    <w:rsid w:val="00A25706"/>
    <w:rsid w:val="00A25D84"/>
    <w:rsid w:val="00A26029"/>
    <w:rsid w:val="00A262E4"/>
    <w:rsid w:val="00A268EA"/>
    <w:rsid w:val="00A31CE0"/>
    <w:rsid w:val="00A31FA9"/>
    <w:rsid w:val="00A3303F"/>
    <w:rsid w:val="00A333BF"/>
    <w:rsid w:val="00A33825"/>
    <w:rsid w:val="00A3398F"/>
    <w:rsid w:val="00A35583"/>
    <w:rsid w:val="00A35E17"/>
    <w:rsid w:val="00A363EF"/>
    <w:rsid w:val="00A36596"/>
    <w:rsid w:val="00A36697"/>
    <w:rsid w:val="00A36DFE"/>
    <w:rsid w:val="00A3700A"/>
    <w:rsid w:val="00A370FD"/>
    <w:rsid w:val="00A3798C"/>
    <w:rsid w:val="00A37DD9"/>
    <w:rsid w:val="00A40ED7"/>
    <w:rsid w:val="00A40F83"/>
    <w:rsid w:val="00A412BA"/>
    <w:rsid w:val="00A41416"/>
    <w:rsid w:val="00A4200D"/>
    <w:rsid w:val="00A424BF"/>
    <w:rsid w:val="00A4258E"/>
    <w:rsid w:val="00A42F9D"/>
    <w:rsid w:val="00A432D1"/>
    <w:rsid w:val="00A43716"/>
    <w:rsid w:val="00A442C5"/>
    <w:rsid w:val="00A44712"/>
    <w:rsid w:val="00A44AF5"/>
    <w:rsid w:val="00A44AFC"/>
    <w:rsid w:val="00A44B8B"/>
    <w:rsid w:val="00A45050"/>
    <w:rsid w:val="00A45EC4"/>
    <w:rsid w:val="00A47212"/>
    <w:rsid w:val="00A474EA"/>
    <w:rsid w:val="00A501B2"/>
    <w:rsid w:val="00A5034A"/>
    <w:rsid w:val="00A50A8A"/>
    <w:rsid w:val="00A50FFA"/>
    <w:rsid w:val="00A539D1"/>
    <w:rsid w:val="00A5467A"/>
    <w:rsid w:val="00A54DAE"/>
    <w:rsid w:val="00A56D3B"/>
    <w:rsid w:val="00A57450"/>
    <w:rsid w:val="00A57479"/>
    <w:rsid w:val="00A57C08"/>
    <w:rsid w:val="00A600D9"/>
    <w:rsid w:val="00A604CD"/>
    <w:rsid w:val="00A637A0"/>
    <w:rsid w:val="00A63ECD"/>
    <w:rsid w:val="00A64093"/>
    <w:rsid w:val="00A640EB"/>
    <w:rsid w:val="00A64815"/>
    <w:rsid w:val="00A648FA"/>
    <w:rsid w:val="00A65043"/>
    <w:rsid w:val="00A66DF9"/>
    <w:rsid w:val="00A704E4"/>
    <w:rsid w:val="00A7136A"/>
    <w:rsid w:val="00A71C44"/>
    <w:rsid w:val="00A72296"/>
    <w:rsid w:val="00A727B7"/>
    <w:rsid w:val="00A732E5"/>
    <w:rsid w:val="00A7388E"/>
    <w:rsid w:val="00A73C33"/>
    <w:rsid w:val="00A73F11"/>
    <w:rsid w:val="00A74544"/>
    <w:rsid w:val="00A74548"/>
    <w:rsid w:val="00A74DF2"/>
    <w:rsid w:val="00A74E4D"/>
    <w:rsid w:val="00A75633"/>
    <w:rsid w:val="00A7592E"/>
    <w:rsid w:val="00A76C1F"/>
    <w:rsid w:val="00A803FC"/>
    <w:rsid w:val="00A8071A"/>
    <w:rsid w:val="00A80DD9"/>
    <w:rsid w:val="00A80FCA"/>
    <w:rsid w:val="00A81CBC"/>
    <w:rsid w:val="00A82506"/>
    <w:rsid w:val="00A837CE"/>
    <w:rsid w:val="00A83DB5"/>
    <w:rsid w:val="00A83FBA"/>
    <w:rsid w:val="00A84636"/>
    <w:rsid w:val="00A84FE1"/>
    <w:rsid w:val="00A85080"/>
    <w:rsid w:val="00A85337"/>
    <w:rsid w:val="00A8626D"/>
    <w:rsid w:val="00A86406"/>
    <w:rsid w:val="00A86853"/>
    <w:rsid w:val="00A86B75"/>
    <w:rsid w:val="00A86E6E"/>
    <w:rsid w:val="00A86E75"/>
    <w:rsid w:val="00A86F33"/>
    <w:rsid w:val="00A87AF0"/>
    <w:rsid w:val="00A9005A"/>
    <w:rsid w:val="00A903DF"/>
    <w:rsid w:val="00A9065F"/>
    <w:rsid w:val="00A90B0E"/>
    <w:rsid w:val="00A9198B"/>
    <w:rsid w:val="00A91AA1"/>
    <w:rsid w:val="00A91C8C"/>
    <w:rsid w:val="00A91F0D"/>
    <w:rsid w:val="00A9235A"/>
    <w:rsid w:val="00A92FF7"/>
    <w:rsid w:val="00A93069"/>
    <w:rsid w:val="00A9468F"/>
    <w:rsid w:val="00A9498D"/>
    <w:rsid w:val="00A950FE"/>
    <w:rsid w:val="00A95335"/>
    <w:rsid w:val="00A9566B"/>
    <w:rsid w:val="00A9657F"/>
    <w:rsid w:val="00A9797D"/>
    <w:rsid w:val="00AA0082"/>
    <w:rsid w:val="00AA015F"/>
    <w:rsid w:val="00AA04D4"/>
    <w:rsid w:val="00AA0C3A"/>
    <w:rsid w:val="00AA1723"/>
    <w:rsid w:val="00AA190D"/>
    <w:rsid w:val="00AA1FDD"/>
    <w:rsid w:val="00AA22C3"/>
    <w:rsid w:val="00AA230D"/>
    <w:rsid w:val="00AA25C5"/>
    <w:rsid w:val="00AA3837"/>
    <w:rsid w:val="00AA44FF"/>
    <w:rsid w:val="00AA4941"/>
    <w:rsid w:val="00AA49E9"/>
    <w:rsid w:val="00AA5475"/>
    <w:rsid w:val="00AA5876"/>
    <w:rsid w:val="00AA5C24"/>
    <w:rsid w:val="00AA6935"/>
    <w:rsid w:val="00AA6A8A"/>
    <w:rsid w:val="00AA6DD8"/>
    <w:rsid w:val="00AA6FA3"/>
    <w:rsid w:val="00AA70BB"/>
    <w:rsid w:val="00AA757C"/>
    <w:rsid w:val="00AA7903"/>
    <w:rsid w:val="00AA7F10"/>
    <w:rsid w:val="00AB0391"/>
    <w:rsid w:val="00AB0838"/>
    <w:rsid w:val="00AB2151"/>
    <w:rsid w:val="00AB2C59"/>
    <w:rsid w:val="00AB2C8A"/>
    <w:rsid w:val="00AB42B6"/>
    <w:rsid w:val="00AB4D67"/>
    <w:rsid w:val="00AB545D"/>
    <w:rsid w:val="00AB54D7"/>
    <w:rsid w:val="00AB57D3"/>
    <w:rsid w:val="00AB6886"/>
    <w:rsid w:val="00AB6AE4"/>
    <w:rsid w:val="00AB6B0B"/>
    <w:rsid w:val="00AB6E00"/>
    <w:rsid w:val="00AB6F37"/>
    <w:rsid w:val="00AB769E"/>
    <w:rsid w:val="00AB7D55"/>
    <w:rsid w:val="00AC0681"/>
    <w:rsid w:val="00AC154B"/>
    <w:rsid w:val="00AC1B72"/>
    <w:rsid w:val="00AC26FE"/>
    <w:rsid w:val="00AC350D"/>
    <w:rsid w:val="00AC3568"/>
    <w:rsid w:val="00AC3CF2"/>
    <w:rsid w:val="00AC47EC"/>
    <w:rsid w:val="00AC4E5D"/>
    <w:rsid w:val="00AC568A"/>
    <w:rsid w:val="00AC6C53"/>
    <w:rsid w:val="00AC6E85"/>
    <w:rsid w:val="00AC7284"/>
    <w:rsid w:val="00AC7CE6"/>
    <w:rsid w:val="00AD0611"/>
    <w:rsid w:val="00AD0828"/>
    <w:rsid w:val="00AD0B13"/>
    <w:rsid w:val="00AD0E69"/>
    <w:rsid w:val="00AD103D"/>
    <w:rsid w:val="00AD159C"/>
    <w:rsid w:val="00AD17FA"/>
    <w:rsid w:val="00AD19EC"/>
    <w:rsid w:val="00AD22B2"/>
    <w:rsid w:val="00AD264D"/>
    <w:rsid w:val="00AD2717"/>
    <w:rsid w:val="00AD3DC4"/>
    <w:rsid w:val="00AD4FF4"/>
    <w:rsid w:val="00AD531D"/>
    <w:rsid w:val="00AD600C"/>
    <w:rsid w:val="00AD63D6"/>
    <w:rsid w:val="00AD6CD5"/>
    <w:rsid w:val="00AD733B"/>
    <w:rsid w:val="00AD7CA7"/>
    <w:rsid w:val="00AE0040"/>
    <w:rsid w:val="00AE13D4"/>
    <w:rsid w:val="00AE184D"/>
    <w:rsid w:val="00AE1C03"/>
    <w:rsid w:val="00AE23E3"/>
    <w:rsid w:val="00AE2F65"/>
    <w:rsid w:val="00AE317E"/>
    <w:rsid w:val="00AE35A5"/>
    <w:rsid w:val="00AE437B"/>
    <w:rsid w:val="00AE4E2A"/>
    <w:rsid w:val="00AE5CF9"/>
    <w:rsid w:val="00AE5DB6"/>
    <w:rsid w:val="00AE6C3C"/>
    <w:rsid w:val="00AE702E"/>
    <w:rsid w:val="00AE7076"/>
    <w:rsid w:val="00AE73E0"/>
    <w:rsid w:val="00AF0165"/>
    <w:rsid w:val="00AF01A5"/>
    <w:rsid w:val="00AF03C0"/>
    <w:rsid w:val="00AF10D1"/>
    <w:rsid w:val="00AF166F"/>
    <w:rsid w:val="00AF1C03"/>
    <w:rsid w:val="00AF39AF"/>
    <w:rsid w:val="00AF3E3B"/>
    <w:rsid w:val="00AF3E5A"/>
    <w:rsid w:val="00AF46FE"/>
    <w:rsid w:val="00AF486F"/>
    <w:rsid w:val="00AF548B"/>
    <w:rsid w:val="00AF55E0"/>
    <w:rsid w:val="00AF5666"/>
    <w:rsid w:val="00AF5870"/>
    <w:rsid w:val="00AF6619"/>
    <w:rsid w:val="00AF6CFD"/>
    <w:rsid w:val="00AF7DC1"/>
    <w:rsid w:val="00B000AE"/>
    <w:rsid w:val="00B0040B"/>
    <w:rsid w:val="00B00830"/>
    <w:rsid w:val="00B009DB"/>
    <w:rsid w:val="00B00AB5"/>
    <w:rsid w:val="00B00CC0"/>
    <w:rsid w:val="00B00F5C"/>
    <w:rsid w:val="00B019C1"/>
    <w:rsid w:val="00B01C12"/>
    <w:rsid w:val="00B0236E"/>
    <w:rsid w:val="00B02506"/>
    <w:rsid w:val="00B02ACE"/>
    <w:rsid w:val="00B03913"/>
    <w:rsid w:val="00B042D5"/>
    <w:rsid w:val="00B04CEA"/>
    <w:rsid w:val="00B04D5B"/>
    <w:rsid w:val="00B04D6B"/>
    <w:rsid w:val="00B04E2A"/>
    <w:rsid w:val="00B05607"/>
    <w:rsid w:val="00B05A08"/>
    <w:rsid w:val="00B05F14"/>
    <w:rsid w:val="00B06737"/>
    <w:rsid w:val="00B06C09"/>
    <w:rsid w:val="00B0784C"/>
    <w:rsid w:val="00B07CE9"/>
    <w:rsid w:val="00B101D5"/>
    <w:rsid w:val="00B10633"/>
    <w:rsid w:val="00B10B08"/>
    <w:rsid w:val="00B11A78"/>
    <w:rsid w:val="00B11CFB"/>
    <w:rsid w:val="00B12111"/>
    <w:rsid w:val="00B13B57"/>
    <w:rsid w:val="00B13E18"/>
    <w:rsid w:val="00B14109"/>
    <w:rsid w:val="00B14410"/>
    <w:rsid w:val="00B1486D"/>
    <w:rsid w:val="00B150D6"/>
    <w:rsid w:val="00B15373"/>
    <w:rsid w:val="00B15416"/>
    <w:rsid w:val="00B15639"/>
    <w:rsid w:val="00B15D15"/>
    <w:rsid w:val="00B15E42"/>
    <w:rsid w:val="00B15EEE"/>
    <w:rsid w:val="00B16198"/>
    <w:rsid w:val="00B16A2C"/>
    <w:rsid w:val="00B16D12"/>
    <w:rsid w:val="00B16FB6"/>
    <w:rsid w:val="00B17022"/>
    <w:rsid w:val="00B21736"/>
    <w:rsid w:val="00B218B1"/>
    <w:rsid w:val="00B21A33"/>
    <w:rsid w:val="00B22272"/>
    <w:rsid w:val="00B224AA"/>
    <w:rsid w:val="00B22998"/>
    <w:rsid w:val="00B229FE"/>
    <w:rsid w:val="00B2302B"/>
    <w:rsid w:val="00B23A66"/>
    <w:rsid w:val="00B24363"/>
    <w:rsid w:val="00B2456E"/>
    <w:rsid w:val="00B24979"/>
    <w:rsid w:val="00B24D1E"/>
    <w:rsid w:val="00B250A5"/>
    <w:rsid w:val="00B254BD"/>
    <w:rsid w:val="00B25651"/>
    <w:rsid w:val="00B26309"/>
    <w:rsid w:val="00B26937"/>
    <w:rsid w:val="00B30243"/>
    <w:rsid w:val="00B30421"/>
    <w:rsid w:val="00B30DC8"/>
    <w:rsid w:val="00B315BB"/>
    <w:rsid w:val="00B31977"/>
    <w:rsid w:val="00B3235A"/>
    <w:rsid w:val="00B333FE"/>
    <w:rsid w:val="00B3382B"/>
    <w:rsid w:val="00B33D85"/>
    <w:rsid w:val="00B35094"/>
    <w:rsid w:val="00B350F0"/>
    <w:rsid w:val="00B357AC"/>
    <w:rsid w:val="00B35992"/>
    <w:rsid w:val="00B35E4B"/>
    <w:rsid w:val="00B35FCC"/>
    <w:rsid w:val="00B36518"/>
    <w:rsid w:val="00B378AE"/>
    <w:rsid w:val="00B378CC"/>
    <w:rsid w:val="00B41615"/>
    <w:rsid w:val="00B41D70"/>
    <w:rsid w:val="00B41FD8"/>
    <w:rsid w:val="00B420DF"/>
    <w:rsid w:val="00B428E2"/>
    <w:rsid w:val="00B42A2C"/>
    <w:rsid w:val="00B42A5C"/>
    <w:rsid w:val="00B42A98"/>
    <w:rsid w:val="00B42C17"/>
    <w:rsid w:val="00B42C64"/>
    <w:rsid w:val="00B42ED1"/>
    <w:rsid w:val="00B4444C"/>
    <w:rsid w:val="00B448EF"/>
    <w:rsid w:val="00B46718"/>
    <w:rsid w:val="00B47493"/>
    <w:rsid w:val="00B474C8"/>
    <w:rsid w:val="00B474DF"/>
    <w:rsid w:val="00B47915"/>
    <w:rsid w:val="00B47E9A"/>
    <w:rsid w:val="00B50E18"/>
    <w:rsid w:val="00B50EB6"/>
    <w:rsid w:val="00B51019"/>
    <w:rsid w:val="00B513A9"/>
    <w:rsid w:val="00B51568"/>
    <w:rsid w:val="00B51610"/>
    <w:rsid w:val="00B5167B"/>
    <w:rsid w:val="00B520E3"/>
    <w:rsid w:val="00B52336"/>
    <w:rsid w:val="00B5388C"/>
    <w:rsid w:val="00B540D7"/>
    <w:rsid w:val="00B55CED"/>
    <w:rsid w:val="00B55D57"/>
    <w:rsid w:val="00B55E9D"/>
    <w:rsid w:val="00B55F80"/>
    <w:rsid w:val="00B56480"/>
    <w:rsid w:val="00B565D6"/>
    <w:rsid w:val="00B57417"/>
    <w:rsid w:val="00B576A4"/>
    <w:rsid w:val="00B57998"/>
    <w:rsid w:val="00B57CD0"/>
    <w:rsid w:val="00B57DA9"/>
    <w:rsid w:val="00B60177"/>
    <w:rsid w:val="00B60639"/>
    <w:rsid w:val="00B623E0"/>
    <w:rsid w:val="00B626CA"/>
    <w:rsid w:val="00B62F16"/>
    <w:rsid w:val="00B6308E"/>
    <w:rsid w:val="00B63D58"/>
    <w:rsid w:val="00B64E8A"/>
    <w:rsid w:val="00B65588"/>
    <w:rsid w:val="00B658D1"/>
    <w:rsid w:val="00B66064"/>
    <w:rsid w:val="00B66995"/>
    <w:rsid w:val="00B671A1"/>
    <w:rsid w:val="00B675A6"/>
    <w:rsid w:val="00B6794D"/>
    <w:rsid w:val="00B67B55"/>
    <w:rsid w:val="00B67C6C"/>
    <w:rsid w:val="00B70C61"/>
    <w:rsid w:val="00B70E5A"/>
    <w:rsid w:val="00B7220D"/>
    <w:rsid w:val="00B749B6"/>
    <w:rsid w:val="00B74BBF"/>
    <w:rsid w:val="00B7509A"/>
    <w:rsid w:val="00B7613E"/>
    <w:rsid w:val="00B766C1"/>
    <w:rsid w:val="00B76966"/>
    <w:rsid w:val="00B76B96"/>
    <w:rsid w:val="00B76CBB"/>
    <w:rsid w:val="00B76EA8"/>
    <w:rsid w:val="00B76EFB"/>
    <w:rsid w:val="00B77129"/>
    <w:rsid w:val="00B77C37"/>
    <w:rsid w:val="00B807BF"/>
    <w:rsid w:val="00B809B1"/>
    <w:rsid w:val="00B82543"/>
    <w:rsid w:val="00B82998"/>
    <w:rsid w:val="00B834B0"/>
    <w:rsid w:val="00B837F6"/>
    <w:rsid w:val="00B83DAE"/>
    <w:rsid w:val="00B83E29"/>
    <w:rsid w:val="00B84FB4"/>
    <w:rsid w:val="00B86F2A"/>
    <w:rsid w:val="00B8756E"/>
    <w:rsid w:val="00B87DF9"/>
    <w:rsid w:val="00B91951"/>
    <w:rsid w:val="00B91A58"/>
    <w:rsid w:val="00B91EAD"/>
    <w:rsid w:val="00B920B9"/>
    <w:rsid w:val="00B930D2"/>
    <w:rsid w:val="00B937CD"/>
    <w:rsid w:val="00B938BC"/>
    <w:rsid w:val="00B93997"/>
    <w:rsid w:val="00B93C98"/>
    <w:rsid w:val="00B9501F"/>
    <w:rsid w:val="00B976BB"/>
    <w:rsid w:val="00BA01A7"/>
    <w:rsid w:val="00BA0224"/>
    <w:rsid w:val="00BA05C8"/>
    <w:rsid w:val="00BA09AA"/>
    <w:rsid w:val="00BA0AD5"/>
    <w:rsid w:val="00BA0CA0"/>
    <w:rsid w:val="00BA0E3C"/>
    <w:rsid w:val="00BA1F74"/>
    <w:rsid w:val="00BA1FE7"/>
    <w:rsid w:val="00BA2B1D"/>
    <w:rsid w:val="00BA3D14"/>
    <w:rsid w:val="00BA435A"/>
    <w:rsid w:val="00BA54BA"/>
    <w:rsid w:val="00BA5603"/>
    <w:rsid w:val="00BA56D9"/>
    <w:rsid w:val="00BA6194"/>
    <w:rsid w:val="00BA62C6"/>
    <w:rsid w:val="00BA7EEE"/>
    <w:rsid w:val="00BB2008"/>
    <w:rsid w:val="00BB29DF"/>
    <w:rsid w:val="00BB2CFC"/>
    <w:rsid w:val="00BB34DC"/>
    <w:rsid w:val="00BB35D0"/>
    <w:rsid w:val="00BB3AC4"/>
    <w:rsid w:val="00BB4999"/>
    <w:rsid w:val="00BB4BCD"/>
    <w:rsid w:val="00BB52EB"/>
    <w:rsid w:val="00BB56C7"/>
    <w:rsid w:val="00BB5B62"/>
    <w:rsid w:val="00BB6502"/>
    <w:rsid w:val="00BB6BCD"/>
    <w:rsid w:val="00BB70F9"/>
    <w:rsid w:val="00BB7C9B"/>
    <w:rsid w:val="00BC1527"/>
    <w:rsid w:val="00BC2306"/>
    <w:rsid w:val="00BC2F31"/>
    <w:rsid w:val="00BC4036"/>
    <w:rsid w:val="00BC4F0A"/>
    <w:rsid w:val="00BC509F"/>
    <w:rsid w:val="00BC51D2"/>
    <w:rsid w:val="00BC64BE"/>
    <w:rsid w:val="00BC7155"/>
    <w:rsid w:val="00BC7550"/>
    <w:rsid w:val="00BC7A37"/>
    <w:rsid w:val="00BC7A64"/>
    <w:rsid w:val="00BC7F37"/>
    <w:rsid w:val="00BD0B72"/>
    <w:rsid w:val="00BD110D"/>
    <w:rsid w:val="00BD2668"/>
    <w:rsid w:val="00BD3924"/>
    <w:rsid w:val="00BD450F"/>
    <w:rsid w:val="00BD4512"/>
    <w:rsid w:val="00BD45E0"/>
    <w:rsid w:val="00BD52AA"/>
    <w:rsid w:val="00BD52E7"/>
    <w:rsid w:val="00BD78D0"/>
    <w:rsid w:val="00BE1061"/>
    <w:rsid w:val="00BE1321"/>
    <w:rsid w:val="00BE2893"/>
    <w:rsid w:val="00BE2EB4"/>
    <w:rsid w:val="00BE2F5A"/>
    <w:rsid w:val="00BE37D3"/>
    <w:rsid w:val="00BE522A"/>
    <w:rsid w:val="00BE57B5"/>
    <w:rsid w:val="00BE7A7C"/>
    <w:rsid w:val="00BF0A44"/>
    <w:rsid w:val="00BF0CEC"/>
    <w:rsid w:val="00BF0D41"/>
    <w:rsid w:val="00BF1473"/>
    <w:rsid w:val="00BF1A44"/>
    <w:rsid w:val="00BF1EDF"/>
    <w:rsid w:val="00BF487A"/>
    <w:rsid w:val="00BF4D3D"/>
    <w:rsid w:val="00BF5B8C"/>
    <w:rsid w:val="00BF66B7"/>
    <w:rsid w:val="00BF6A68"/>
    <w:rsid w:val="00BF6FC6"/>
    <w:rsid w:val="00BF7152"/>
    <w:rsid w:val="00BF73F0"/>
    <w:rsid w:val="00BF75B1"/>
    <w:rsid w:val="00BF75C9"/>
    <w:rsid w:val="00BF7BD3"/>
    <w:rsid w:val="00C00352"/>
    <w:rsid w:val="00C00572"/>
    <w:rsid w:val="00C007CE"/>
    <w:rsid w:val="00C00A22"/>
    <w:rsid w:val="00C00F18"/>
    <w:rsid w:val="00C01C4B"/>
    <w:rsid w:val="00C01D39"/>
    <w:rsid w:val="00C01F22"/>
    <w:rsid w:val="00C0200C"/>
    <w:rsid w:val="00C020A8"/>
    <w:rsid w:val="00C034A4"/>
    <w:rsid w:val="00C03A54"/>
    <w:rsid w:val="00C03DD0"/>
    <w:rsid w:val="00C04445"/>
    <w:rsid w:val="00C04705"/>
    <w:rsid w:val="00C04A7F"/>
    <w:rsid w:val="00C04E2B"/>
    <w:rsid w:val="00C051AA"/>
    <w:rsid w:val="00C060A0"/>
    <w:rsid w:val="00C07187"/>
    <w:rsid w:val="00C075C9"/>
    <w:rsid w:val="00C07FAD"/>
    <w:rsid w:val="00C106C4"/>
    <w:rsid w:val="00C10B6A"/>
    <w:rsid w:val="00C111EA"/>
    <w:rsid w:val="00C119AD"/>
    <w:rsid w:val="00C1228D"/>
    <w:rsid w:val="00C13FED"/>
    <w:rsid w:val="00C14E7D"/>
    <w:rsid w:val="00C15722"/>
    <w:rsid w:val="00C16897"/>
    <w:rsid w:val="00C16A35"/>
    <w:rsid w:val="00C200C9"/>
    <w:rsid w:val="00C21799"/>
    <w:rsid w:val="00C218FD"/>
    <w:rsid w:val="00C21D8E"/>
    <w:rsid w:val="00C22525"/>
    <w:rsid w:val="00C23DBB"/>
    <w:rsid w:val="00C23FE1"/>
    <w:rsid w:val="00C2410D"/>
    <w:rsid w:val="00C242B2"/>
    <w:rsid w:val="00C24BAF"/>
    <w:rsid w:val="00C25F8B"/>
    <w:rsid w:val="00C25FB5"/>
    <w:rsid w:val="00C265C0"/>
    <w:rsid w:val="00C26A05"/>
    <w:rsid w:val="00C26B9E"/>
    <w:rsid w:val="00C272EF"/>
    <w:rsid w:val="00C2732B"/>
    <w:rsid w:val="00C2753F"/>
    <w:rsid w:val="00C276A8"/>
    <w:rsid w:val="00C27975"/>
    <w:rsid w:val="00C300BC"/>
    <w:rsid w:val="00C306F1"/>
    <w:rsid w:val="00C318F7"/>
    <w:rsid w:val="00C319D2"/>
    <w:rsid w:val="00C31F85"/>
    <w:rsid w:val="00C32534"/>
    <w:rsid w:val="00C326EE"/>
    <w:rsid w:val="00C32951"/>
    <w:rsid w:val="00C32C02"/>
    <w:rsid w:val="00C33235"/>
    <w:rsid w:val="00C33677"/>
    <w:rsid w:val="00C34137"/>
    <w:rsid w:val="00C3476B"/>
    <w:rsid w:val="00C35240"/>
    <w:rsid w:val="00C368B3"/>
    <w:rsid w:val="00C36F07"/>
    <w:rsid w:val="00C37214"/>
    <w:rsid w:val="00C372E8"/>
    <w:rsid w:val="00C3782D"/>
    <w:rsid w:val="00C409DC"/>
    <w:rsid w:val="00C40B1B"/>
    <w:rsid w:val="00C40E88"/>
    <w:rsid w:val="00C416A3"/>
    <w:rsid w:val="00C41785"/>
    <w:rsid w:val="00C41FC1"/>
    <w:rsid w:val="00C427E2"/>
    <w:rsid w:val="00C434C2"/>
    <w:rsid w:val="00C43940"/>
    <w:rsid w:val="00C44342"/>
    <w:rsid w:val="00C44694"/>
    <w:rsid w:val="00C44744"/>
    <w:rsid w:val="00C457C1"/>
    <w:rsid w:val="00C46625"/>
    <w:rsid w:val="00C46870"/>
    <w:rsid w:val="00C46CDB"/>
    <w:rsid w:val="00C47545"/>
    <w:rsid w:val="00C47593"/>
    <w:rsid w:val="00C47748"/>
    <w:rsid w:val="00C47A68"/>
    <w:rsid w:val="00C5044B"/>
    <w:rsid w:val="00C506BD"/>
    <w:rsid w:val="00C50E55"/>
    <w:rsid w:val="00C51426"/>
    <w:rsid w:val="00C51622"/>
    <w:rsid w:val="00C516A2"/>
    <w:rsid w:val="00C51716"/>
    <w:rsid w:val="00C51FB3"/>
    <w:rsid w:val="00C5223C"/>
    <w:rsid w:val="00C52A35"/>
    <w:rsid w:val="00C53213"/>
    <w:rsid w:val="00C53917"/>
    <w:rsid w:val="00C541DE"/>
    <w:rsid w:val="00C54C11"/>
    <w:rsid w:val="00C54C67"/>
    <w:rsid w:val="00C54E65"/>
    <w:rsid w:val="00C56324"/>
    <w:rsid w:val="00C5653B"/>
    <w:rsid w:val="00C565A3"/>
    <w:rsid w:val="00C577F7"/>
    <w:rsid w:val="00C60667"/>
    <w:rsid w:val="00C61AB9"/>
    <w:rsid w:val="00C61F84"/>
    <w:rsid w:val="00C62FF7"/>
    <w:rsid w:val="00C63135"/>
    <w:rsid w:val="00C637DC"/>
    <w:rsid w:val="00C63EE8"/>
    <w:rsid w:val="00C6432E"/>
    <w:rsid w:val="00C64DB0"/>
    <w:rsid w:val="00C65718"/>
    <w:rsid w:val="00C65C81"/>
    <w:rsid w:val="00C666DE"/>
    <w:rsid w:val="00C666F2"/>
    <w:rsid w:val="00C66772"/>
    <w:rsid w:val="00C66BFA"/>
    <w:rsid w:val="00C66D2B"/>
    <w:rsid w:val="00C67580"/>
    <w:rsid w:val="00C6781C"/>
    <w:rsid w:val="00C67EA1"/>
    <w:rsid w:val="00C70AEE"/>
    <w:rsid w:val="00C70B84"/>
    <w:rsid w:val="00C71D15"/>
    <w:rsid w:val="00C7234D"/>
    <w:rsid w:val="00C7244E"/>
    <w:rsid w:val="00C726C9"/>
    <w:rsid w:val="00C72801"/>
    <w:rsid w:val="00C72C0A"/>
    <w:rsid w:val="00C73E67"/>
    <w:rsid w:val="00C73FAD"/>
    <w:rsid w:val="00C748D7"/>
    <w:rsid w:val="00C74AE1"/>
    <w:rsid w:val="00C757B8"/>
    <w:rsid w:val="00C764CA"/>
    <w:rsid w:val="00C76906"/>
    <w:rsid w:val="00C76B7C"/>
    <w:rsid w:val="00C76CC7"/>
    <w:rsid w:val="00C76F81"/>
    <w:rsid w:val="00C776A4"/>
    <w:rsid w:val="00C77800"/>
    <w:rsid w:val="00C77A56"/>
    <w:rsid w:val="00C77F95"/>
    <w:rsid w:val="00C800DD"/>
    <w:rsid w:val="00C80920"/>
    <w:rsid w:val="00C80B03"/>
    <w:rsid w:val="00C81E68"/>
    <w:rsid w:val="00C8243F"/>
    <w:rsid w:val="00C8289B"/>
    <w:rsid w:val="00C82D54"/>
    <w:rsid w:val="00C82F3B"/>
    <w:rsid w:val="00C837C4"/>
    <w:rsid w:val="00C83829"/>
    <w:rsid w:val="00C83EDD"/>
    <w:rsid w:val="00C84BF1"/>
    <w:rsid w:val="00C84CA2"/>
    <w:rsid w:val="00C85A36"/>
    <w:rsid w:val="00C85CD1"/>
    <w:rsid w:val="00C86C56"/>
    <w:rsid w:val="00C8773E"/>
    <w:rsid w:val="00C87CE0"/>
    <w:rsid w:val="00C87EDA"/>
    <w:rsid w:val="00C90601"/>
    <w:rsid w:val="00C90D16"/>
    <w:rsid w:val="00C9116A"/>
    <w:rsid w:val="00C912BA"/>
    <w:rsid w:val="00C922AE"/>
    <w:rsid w:val="00C9265D"/>
    <w:rsid w:val="00C92803"/>
    <w:rsid w:val="00C92824"/>
    <w:rsid w:val="00C937BA"/>
    <w:rsid w:val="00C93C7C"/>
    <w:rsid w:val="00C949FC"/>
    <w:rsid w:val="00C960CF"/>
    <w:rsid w:val="00C96672"/>
    <w:rsid w:val="00C96678"/>
    <w:rsid w:val="00C96772"/>
    <w:rsid w:val="00C968E8"/>
    <w:rsid w:val="00C96CFA"/>
    <w:rsid w:val="00C96E5A"/>
    <w:rsid w:val="00C96EB5"/>
    <w:rsid w:val="00C97913"/>
    <w:rsid w:val="00CA0257"/>
    <w:rsid w:val="00CA0917"/>
    <w:rsid w:val="00CA102B"/>
    <w:rsid w:val="00CA1434"/>
    <w:rsid w:val="00CA1BEA"/>
    <w:rsid w:val="00CA283D"/>
    <w:rsid w:val="00CA29D1"/>
    <w:rsid w:val="00CA2DD6"/>
    <w:rsid w:val="00CA3247"/>
    <w:rsid w:val="00CA3752"/>
    <w:rsid w:val="00CA3999"/>
    <w:rsid w:val="00CA39C0"/>
    <w:rsid w:val="00CA5AD3"/>
    <w:rsid w:val="00CA62DD"/>
    <w:rsid w:val="00CA69BA"/>
    <w:rsid w:val="00CA7DE6"/>
    <w:rsid w:val="00CA7F8C"/>
    <w:rsid w:val="00CB0339"/>
    <w:rsid w:val="00CB110E"/>
    <w:rsid w:val="00CB11F8"/>
    <w:rsid w:val="00CB225B"/>
    <w:rsid w:val="00CB2EF5"/>
    <w:rsid w:val="00CB33E4"/>
    <w:rsid w:val="00CB4230"/>
    <w:rsid w:val="00CB431B"/>
    <w:rsid w:val="00CB4A77"/>
    <w:rsid w:val="00CB4EA5"/>
    <w:rsid w:val="00CB557F"/>
    <w:rsid w:val="00CB592B"/>
    <w:rsid w:val="00CB5C5F"/>
    <w:rsid w:val="00CB600E"/>
    <w:rsid w:val="00CB65B8"/>
    <w:rsid w:val="00CB6CDF"/>
    <w:rsid w:val="00CB7264"/>
    <w:rsid w:val="00CB730F"/>
    <w:rsid w:val="00CB761C"/>
    <w:rsid w:val="00CB76B5"/>
    <w:rsid w:val="00CB7AD6"/>
    <w:rsid w:val="00CC0495"/>
    <w:rsid w:val="00CC110F"/>
    <w:rsid w:val="00CC11B8"/>
    <w:rsid w:val="00CC1AF9"/>
    <w:rsid w:val="00CC20E0"/>
    <w:rsid w:val="00CC2348"/>
    <w:rsid w:val="00CC24CD"/>
    <w:rsid w:val="00CC2818"/>
    <w:rsid w:val="00CC2F7A"/>
    <w:rsid w:val="00CC3A70"/>
    <w:rsid w:val="00CC4033"/>
    <w:rsid w:val="00CC40B8"/>
    <w:rsid w:val="00CC4653"/>
    <w:rsid w:val="00CC5444"/>
    <w:rsid w:val="00CC5631"/>
    <w:rsid w:val="00CC62A6"/>
    <w:rsid w:val="00CC676C"/>
    <w:rsid w:val="00CC7A11"/>
    <w:rsid w:val="00CD04A8"/>
    <w:rsid w:val="00CD051B"/>
    <w:rsid w:val="00CD1DB1"/>
    <w:rsid w:val="00CD210F"/>
    <w:rsid w:val="00CD22B5"/>
    <w:rsid w:val="00CD22F4"/>
    <w:rsid w:val="00CD25E1"/>
    <w:rsid w:val="00CD367C"/>
    <w:rsid w:val="00CD454A"/>
    <w:rsid w:val="00CD4F54"/>
    <w:rsid w:val="00CD4FFE"/>
    <w:rsid w:val="00CD57FA"/>
    <w:rsid w:val="00CD5A6E"/>
    <w:rsid w:val="00CD711F"/>
    <w:rsid w:val="00CD74A7"/>
    <w:rsid w:val="00CD79B2"/>
    <w:rsid w:val="00CE0F82"/>
    <w:rsid w:val="00CE1040"/>
    <w:rsid w:val="00CE157C"/>
    <w:rsid w:val="00CE1AF6"/>
    <w:rsid w:val="00CE21E0"/>
    <w:rsid w:val="00CE2298"/>
    <w:rsid w:val="00CE3064"/>
    <w:rsid w:val="00CE39E4"/>
    <w:rsid w:val="00CE4282"/>
    <w:rsid w:val="00CE54E1"/>
    <w:rsid w:val="00CE55B6"/>
    <w:rsid w:val="00CE5856"/>
    <w:rsid w:val="00CE5BDE"/>
    <w:rsid w:val="00CE6A6D"/>
    <w:rsid w:val="00CE774C"/>
    <w:rsid w:val="00CF012E"/>
    <w:rsid w:val="00CF04D4"/>
    <w:rsid w:val="00CF0B4C"/>
    <w:rsid w:val="00CF148E"/>
    <w:rsid w:val="00CF1680"/>
    <w:rsid w:val="00CF1BD7"/>
    <w:rsid w:val="00CF21A5"/>
    <w:rsid w:val="00CF24AB"/>
    <w:rsid w:val="00CF2518"/>
    <w:rsid w:val="00CF2DDE"/>
    <w:rsid w:val="00CF344A"/>
    <w:rsid w:val="00CF39A0"/>
    <w:rsid w:val="00CF3D1C"/>
    <w:rsid w:val="00CF4713"/>
    <w:rsid w:val="00CF4826"/>
    <w:rsid w:val="00CF4B12"/>
    <w:rsid w:val="00CF58FE"/>
    <w:rsid w:val="00CF5EBE"/>
    <w:rsid w:val="00CF6C97"/>
    <w:rsid w:val="00CF783B"/>
    <w:rsid w:val="00CF7D97"/>
    <w:rsid w:val="00CF7EEC"/>
    <w:rsid w:val="00D001C2"/>
    <w:rsid w:val="00D00779"/>
    <w:rsid w:val="00D009D8"/>
    <w:rsid w:val="00D012E1"/>
    <w:rsid w:val="00D01318"/>
    <w:rsid w:val="00D01665"/>
    <w:rsid w:val="00D01D1E"/>
    <w:rsid w:val="00D01DD6"/>
    <w:rsid w:val="00D02580"/>
    <w:rsid w:val="00D03BF7"/>
    <w:rsid w:val="00D03F1E"/>
    <w:rsid w:val="00D0428E"/>
    <w:rsid w:val="00D04426"/>
    <w:rsid w:val="00D0482F"/>
    <w:rsid w:val="00D04A33"/>
    <w:rsid w:val="00D05892"/>
    <w:rsid w:val="00D06824"/>
    <w:rsid w:val="00D06C03"/>
    <w:rsid w:val="00D06DE4"/>
    <w:rsid w:val="00D1037A"/>
    <w:rsid w:val="00D10459"/>
    <w:rsid w:val="00D10D09"/>
    <w:rsid w:val="00D113C2"/>
    <w:rsid w:val="00D1163E"/>
    <w:rsid w:val="00D12362"/>
    <w:rsid w:val="00D12A4F"/>
    <w:rsid w:val="00D13C72"/>
    <w:rsid w:val="00D1467B"/>
    <w:rsid w:val="00D14C15"/>
    <w:rsid w:val="00D15589"/>
    <w:rsid w:val="00D15CB3"/>
    <w:rsid w:val="00D15F51"/>
    <w:rsid w:val="00D16ED5"/>
    <w:rsid w:val="00D202B1"/>
    <w:rsid w:val="00D205C2"/>
    <w:rsid w:val="00D20662"/>
    <w:rsid w:val="00D21291"/>
    <w:rsid w:val="00D21C8A"/>
    <w:rsid w:val="00D2297E"/>
    <w:rsid w:val="00D22DE5"/>
    <w:rsid w:val="00D233BD"/>
    <w:rsid w:val="00D233D7"/>
    <w:rsid w:val="00D23CBB"/>
    <w:rsid w:val="00D23DA6"/>
    <w:rsid w:val="00D25806"/>
    <w:rsid w:val="00D25E9D"/>
    <w:rsid w:val="00D25F1C"/>
    <w:rsid w:val="00D26DE6"/>
    <w:rsid w:val="00D26EE7"/>
    <w:rsid w:val="00D27B1E"/>
    <w:rsid w:val="00D3034B"/>
    <w:rsid w:val="00D30718"/>
    <w:rsid w:val="00D322FB"/>
    <w:rsid w:val="00D32475"/>
    <w:rsid w:val="00D32EF4"/>
    <w:rsid w:val="00D33F81"/>
    <w:rsid w:val="00D34279"/>
    <w:rsid w:val="00D34850"/>
    <w:rsid w:val="00D35060"/>
    <w:rsid w:val="00D369D4"/>
    <w:rsid w:val="00D36AD7"/>
    <w:rsid w:val="00D373E9"/>
    <w:rsid w:val="00D37C61"/>
    <w:rsid w:val="00D403FF"/>
    <w:rsid w:val="00D404C4"/>
    <w:rsid w:val="00D40C02"/>
    <w:rsid w:val="00D40CE9"/>
    <w:rsid w:val="00D42115"/>
    <w:rsid w:val="00D42EFD"/>
    <w:rsid w:val="00D456F6"/>
    <w:rsid w:val="00D457D1"/>
    <w:rsid w:val="00D458AA"/>
    <w:rsid w:val="00D46338"/>
    <w:rsid w:val="00D46BA2"/>
    <w:rsid w:val="00D47234"/>
    <w:rsid w:val="00D47281"/>
    <w:rsid w:val="00D47581"/>
    <w:rsid w:val="00D50295"/>
    <w:rsid w:val="00D5069A"/>
    <w:rsid w:val="00D50AFC"/>
    <w:rsid w:val="00D50D7B"/>
    <w:rsid w:val="00D50E43"/>
    <w:rsid w:val="00D51469"/>
    <w:rsid w:val="00D526EF"/>
    <w:rsid w:val="00D52B45"/>
    <w:rsid w:val="00D530EB"/>
    <w:rsid w:val="00D53393"/>
    <w:rsid w:val="00D5341C"/>
    <w:rsid w:val="00D535B6"/>
    <w:rsid w:val="00D55235"/>
    <w:rsid w:val="00D55D78"/>
    <w:rsid w:val="00D56916"/>
    <w:rsid w:val="00D572B2"/>
    <w:rsid w:val="00D57F53"/>
    <w:rsid w:val="00D6019A"/>
    <w:rsid w:val="00D60CAB"/>
    <w:rsid w:val="00D610FD"/>
    <w:rsid w:val="00D612AF"/>
    <w:rsid w:val="00D619F3"/>
    <w:rsid w:val="00D62A5B"/>
    <w:rsid w:val="00D62B43"/>
    <w:rsid w:val="00D62ECD"/>
    <w:rsid w:val="00D63748"/>
    <w:rsid w:val="00D639F0"/>
    <w:rsid w:val="00D63C1B"/>
    <w:rsid w:val="00D63D76"/>
    <w:rsid w:val="00D646AF"/>
    <w:rsid w:val="00D64BFF"/>
    <w:rsid w:val="00D64DE1"/>
    <w:rsid w:val="00D64E3F"/>
    <w:rsid w:val="00D653D0"/>
    <w:rsid w:val="00D6692A"/>
    <w:rsid w:val="00D66E55"/>
    <w:rsid w:val="00D674E9"/>
    <w:rsid w:val="00D6799A"/>
    <w:rsid w:val="00D67E6D"/>
    <w:rsid w:val="00D7009C"/>
    <w:rsid w:val="00D70F17"/>
    <w:rsid w:val="00D712DA"/>
    <w:rsid w:val="00D719EF"/>
    <w:rsid w:val="00D72327"/>
    <w:rsid w:val="00D727E0"/>
    <w:rsid w:val="00D72B87"/>
    <w:rsid w:val="00D72C72"/>
    <w:rsid w:val="00D73C1B"/>
    <w:rsid w:val="00D74160"/>
    <w:rsid w:val="00D74B93"/>
    <w:rsid w:val="00D74C5D"/>
    <w:rsid w:val="00D75D22"/>
    <w:rsid w:val="00D75DA5"/>
    <w:rsid w:val="00D76C58"/>
    <w:rsid w:val="00D76CF2"/>
    <w:rsid w:val="00D76E7C"/>
    <w:rsid w:val="00D80B40"/>
    <w:rsid w:val="00D8110C"/>
    <w:rsid w:val="00D813CD"/>
    <w:rsid w:val="00D8155B"/>
    <w:rsid w:val="00D816D5"/>
    <w:rsid w:val="00D8198E"/>
    <w:rsid w:val="00D81E79"/>
    <w:rsid w:val="00D81FEA"/>
    <w:rsid w:val="00D825A5"/>
    <w:rsid w:val="00D825B7"/>
    <w:rsid w:val="00D8290E"/>
    <w:rsid w:val="00D82AD1"/>
    <w:rsid w:val="00D82E6E"/>
    <w:rsid w:val="00D83040"/>
    <w:rsid w:val="00D8323B"/>
    <w:rsid w:val="00D833F0"/>
    <w:rsid w:val="00D83489"/>
    <w:rsid w:val="00D835DC"/>
    <w:rsid w:val="00D83D13"/>
    <w:rsid w:val="00D841AC"/>
    <w:rsid w:val="00D8589D"/>
    <w:rsid w:val="00D85A81"/>
    <w:rsid w:val="00D86466"/>
    <w:rsid w:val="00D86997"/>
    <w:rsid w:val="00D870E8"/>
    <w:rsid w:val="00D8716B"/>
    <w:rsid w:val="00D87423"/>
    <w:rsid w:val="00D87452"/>
    <w:rsid w:val="00D87485"/>
    <w:rsid w:val="00D87503"/>
    <w:rsid w:val="00D907CB"/>
    <w:rsid w:val="00D915FF"/>
    <w:rsid w:val="00D91BF2"/>
    <w:rsid w:val="00D91F52"/>
    <w:rsid w:val="00D93322"/>
    <w:rsid w:val="00D93C1C"/>
    <w:rsid w:val="00D94026"/>
    <w:rsid w:val="00D94120"/>
    <w:rsid w:val="00D951DD"/>
    <w:rsid w:val="00D952ED"/>
    <w:rsid w:val="00D957FA"/>
    <w:rsid w:val="00D9664C"/>
    <w:rsid w:val="00D97404"/>
    <w:rsid w:val="00D975A3"/>
    <w:rsid w:val="00D979D0"/>
    <w:rsid w:val="00DA08CA"/>
    <w:rsid w:val="00DA0F37"/>
    <w:rsid w:val="00DA101A"/>
    <w:rsid w:val="00DA122C"/>
    <w:rsid w:val="00DA1A06"/>
    <w:rsid w:val="00DA2FD5"/>
    <w:rsid w:val="00DA4630"/>
    <w:rsid w:val="00DA4838"/>
    <w:rsid w:val="00DA491B"/>
    <w:rsid w:val="00DA4989"/>
    <w:rsid w:val="00DA5721"/>
    <w:rsid w:val="00DA6173"/>
    <w:rsid w:val="00DA6967"/>
    <w:rsid w:val="00DA7477"/>
    <w:rsid w:val="00DA7573"/>
    <w:rsid w:val="00DA7BD4"/>
    <w:rsid w:val="00DB0191"/>
    <w:rsid w:val="00DB0359"/>
    <w:rsid w:val="00DB0EF6"/>
    <w:rsid w:val="00DB0F8A"/>
    <w:rsid w:val="00DB1991"/>
    <w:rsid w:val="00DB203C"/>
    <w:rsid w:val="00DB26A8"/>
    <w:rsid w:val="00DB27CF"/>
    <w:rsid w:val="00DB324C"/>
    <w:rsid w:val="00DB3FD3"/>
    <w:rsid w:val="00DB5F2A"/>
    <w:rsid w:val="00DB6A2B"/>
    <w:rsid w:val="00DB6F45"/>
    <w:rsid w:val="00DB72B7"/>
    <w:rsid w:val="00DB7546"/>
    <w:rsid w:val="00DB782D"/>
    <w:rsid w:val="00DC04C0"/>
    <w:rsid w:val="00DC0624"/>
    <w:rsid w:val="00DC0FC3"/>
    <w:rsid w:val="00DC1A58"/>
    <w:rsid w:val="00DC1AC0"/>
    <w:rsid w:val="00DC1CDD"/>
    <w:rsid w:val="00DC1D8E"/>
    <w:rsid w:val="00DC20C3"/>
    <w:rsid w:val="00DC227A"/>
    <w:rsid w:val="00DC2360"/>
    <w:rsid w:val="00DC26E4"/>
    <w:rsid w:val="00DC2BAE"/>
    <w:rsid w:val="00DC2CEE"/>
    <w:rsid w:val="00DC3257"/>
    <w:rsid w:val="00DC3279"/>
    <w:rsid w:val="00DC3BF1"/>
    <w:rsid w:val="00DC3CFC"/>
    <w:rsid w:val="00DC4D1D"/>
    <w:rsid w:val="00DC4D87"/>
    <w:rsid w:val="00DC54EB"/>
    <w:rsid w:val="00DC5799"/>
    <w:rsid w:val="00DC580A"/>
    <w:rsid w:val="00DC5B50"/>
    <w:rsid w:val="00DC5FD3"/>
    <w:rsid w:val="00DC66BC"/>
    <w:rsid w:val="00DC727F"/>
    <w:rsid w:val="00DC7E78"/>
    <w:rsid w:val="00DD0493"/>
    <w:rsid w:val="00DD0924"/>
    <w:rsid w:val="00DD0CBF"/>
    <w:rsid w:val="00DD1071"/>
    <w:rsid w:val="00DD12FD"/>
    <w:rsid w:val="00DD1576"/>
    <w:rsid w:val="00DD1D31"/>
    <w:rsid w:val="00DD2893"/>
    <w:rsid w:val="00DD3C9A"/>
    <w:rsid w:val="00DD3CE4"/>
    <w:rsid w:val="00DD4717"/>
    <w:rsid w:val="00DD4F74"/>
    <w:rsid w:val="00DD531F"/>
    <w:rsid w:val="00DD556C"/>
    <w:rsid w:val="00DD5737"/>
    <w:rsid w:val="00DD5E81"/>
    <w:rsid w:val="00DD64E1"/>
    <w:rsid w:val="00DD6C46"/>
    <w:rsid w:val="00DD6C7A"/>
    <w:rsid w:val="00DD6F44"/>
    <w:rsid w:val="00DD7CCA"/>
    <w:rsid w:val="00DE0BDE"/>
    <w:rsid w:val="00DE10CF"/>
    <w:rsid w:val="00DE1270"/>
    <w:rsid w:val="00DE1E1E"/>
    <w:rsid w:val="00DE223E"/>
    <w:rsid w:val="00DE2299"/>
    <w:rsid w:val="00DE2D33"/>
    <w:rsid w:val="00DE34EB"/>
    <w:rsid w:val="00DE3592"/>
    <w:rsid w:val="00DE3E78"/>
    <w:rsid w:val="00DE41F8"/>
    <w:rsid w:val="00DE4AD3"/>
    <w:rsid w:val="00DE4B9D"/>
    <w:rsid w:val="00DE50EA"/>
    <w:rsid w:val="00DE51B0"/>
    <w:rsid w:val="00DE545C"/>
    <w:rsid w:val="00DE5C9F"/>
    <w:rsid w:val="00DE734E"/>
    <w:rsid w:val="00DE74DB"/>
    <w:rsid w:val="00DE7887"/>
    <w:rsid w:val="00DE7BF8"/>
    <w:rsid w:val="00DF0DC3"/>
    <w:rsid w:val="00DF14F9"/>
    <w:rsid w:val="00DF1669"/>
    <w:rsid w:val="00DF1C2D"/>
    <w:rsid w:val="00DF1FAE"/>
    <w:rsid w:val="00DF23FE"/>
    <w:rsid w:val="00DF27A1"/>
    <w:rsid w:val="00DF2AD9"/>
    <w:rsid w:val="00DF54D0"/>
    <w:rsid w:val="00DF551B"/>
    <w:rsid w:val="00DF580C"/>
    <w:rsid w:val="00DF5C1A"/>
    <w:rsid w:val="00DF6BCB"/>
    <w:rsid w:val="00DF6D45"/>
    <w:rsid w:val="00DF7042"/>
    <w:rsid w:val="00DF78FD"/>
    <w:rsid w:val="00DF7EFE"/>
    <w:rsid w:val="00E00E15"/>
    <w:rsid w:val="00E00F63"/>
    <w:rsid w:val="00E01210"/>
    <w:rsid w:val="00E01549"/>
    <w:rsid w:val="00E01D50"/>
    <w:rsid w:val="00E02177"/>
    <w:rsid w:val="00E02664"/>
    <w:rsid w:val="00E02C4D"/>
    <w:rsid w:val="00E031A5"/>
    <w:rsid w:val="00E0341B"/>
    <w:rsid w:val="00E0348F"/>
    <w:rsid w:val="00E035A6"/>
    <w:rsid w:val="00E038F5"/>
    <w:rsid w:val="00E03D67"/>
    <w:rsid w:val="00E04510"/>
    <w:rsid w:val="00E04784"/>
    <w:rsid w:val="00E04C11"/>
    <w:rsid w:val="00E05569"/>
    <w:rsid w:val="00E05A6C"/>
    <w:rsid w:val="00E05F59"/>
    <w:rsid w:val="00E0655D"/>
    <w:rsid w:val="00E068F6"/>
    <w:rsid w:val="00E1024A"/>
    <w:rsid w:val="00E10B17"/>
    <w:rsid w:val="00E10B67"/>
    <w:rsid w:val="00E12742"/>
    <w:rsid w:val="00E12AB9"/>
    <w:rsid w:val="00E12B67"/>
    <w:rsid w:val="00E137A5"/>
    <w:rsid w:val="00E141D3"/>
    <w:rsid w:val="00E14941"/>
    <w:rsid w:val="00E1526B"/>
    <w:rsid w:val="00E1534B"/>
    <w:rsid w:val="00E15408"/>
    <w:rsid w:val="00E15743"/>
    <w:rsid w:val="00E1581D"/>
    <w:rsid w:val="00E15C52"/>
    <w:rsid w:val="00E15EDA"/>
    <w:rsid w:val="00E15F0B"/>
    <w:rsid w:val="00E160E8"/>
    <w:rsid w:val="00E16199"/>
    <w:rsid w:val="00E16311"/>
    <w:rsid w:val="00E1702C"/>
    <w:rsid w:val="00E17E08"/>
    <w:rsid w:val="00E206B0"/>
    <w:rsid w:val="00E20CC5"/>
    <w:rsid w:val="00E20D1B"/>
    <w:rsid w:val="00E21ACA"/>
    <w:rsid w:val="00E22B80"/>
    <w:rsid w:val="00E22C0E"/>
    <w:rsid w:val="00E22CFF"/>
    <w:rsid w:val="00E231CD"/>
    <w:rsid w:val="00E231E1"/>
    <w:rsid w:val="00E23888"/>
    <w:rsid w:val="00E239BF"/>
    <w:rsid w:val="00E23B9C"/>
    <w:rsid w:val="00E23CE3"/>
    <w:rsid w:val="00E23CF7"/>
    <w:rsid w:val="00E23E76"/>
    <w:rsid w:val="00E249DB"/>
    <w:rsid w:val="00E253A3"/>
    <w:rsid w:val="00E25402"/>
    <w:rsid w:val="00E259B0"/>
    <w:rsid w:val="00E25AF8"/>
    <w:rsid w:val="00E26A3D"/>
    <w:rsid w:val="00E26AEC"/>
    <w:rsid w:val="00E273E5"/>
    <w:rsid w:val="00E2757B"/>
    <w:rsid w:val="00E276EE"/>
    <w:rsid w:val="00E2792D"/>
    <w:rsid w:val="00E30828"/>
    <w:rsid w:val="00E30B37"/>
    <w:rsid w:val="00E30C3B"/>
    <w:rsid w:val="00E3109C"/>
    <w:rsid w:val="00E311D1"/>
    <w:rsid w:val="00E31C2D"/>
    <w:rsid w:val="00E32432"/>
    <w:rsid w:val="00E33122"/>
    <w:rsid w:val="00E33B1E"/>
    <w:rsid w:val="00E34277"/>
    <w:rsid w:val="00E3621B"/>
    <w:rsid w:val="00E36F43"/>
    <w:rsid w:val="00E375E7"/>
    <w:rsid w:val="00E37F0C"/>
    <w:rsid w:val="00E40ADF"/>
    <w:rsid w:val="00E418E3"/>
    <w:rsid w:val="00E423DE"/>
    <w:rsid w:val="00E42F07"/>
    <w:rsid w:val="00E42F69"/>
    <w:rsid w:val="00E4370F"/>
    <w:rsid w:val="00E4441D"/>
    <w:rsid w:val="00E453AB"/>
    <w:rsid w:val="00E456E1"/>
    <w:rsid w:val="00E462E6"/>
    <w:rsid w:val="00E463A0"/>
    <w:rsid w:val="00E47839"/>
    <w:rsid w:val="00E50756"/>
    <w:rsid w:val="00E51CDE"/>
    <w:rsid w:val="00E5210B"/>
    <w:rsid w:val="00E53631"/>
    <w:rsid w:val="00E5388F"/>
    <w:rsid w:val="00E54239"/>
    <w:rsid w:val="00E54272"/>
    <w:rsid w:val="00E542BC"/>
    <w:rsid w:val="00E54521"/>
    <w:rsid w:val="00E54617"/>
    <w:rsid w:val="00E5484B"/>
    <w:rsid w:val="00E56023"/>
    <w:rsid w:val="00E56D6E"/>
    <w:rsid w:val="00E56FEF"/>
    <w:rsid w:val="00E577F9"/>
    <w:rsid w:val="00E57FB5"/>
    <w:rsid w:val="00E60F14"/>
    <w:rsid w:val="00E61B23"/>
    <w:rsid w:val="00E625BE"/>
    <w:rsid w:val="00E6284B"/>
    <w:rsid w:val="00E628CA"/>
    <w:rsid w:val="00E62D07"/>
    <w:rsid w:val="00E62DF6"/>
    <w:rsid w:val="00E63A22"/>
    <w:rsid w:val="00E63B8F"/>
    <w:rsid w:val="00E646B5"/>
    <w:rsid w:val="00E65427"/>
    <w:rsid w:val="00E6543F"/>
    <w:rsid w:val="00E661C0"/>
    <w:rsid w:val="00E663F5"/>
    <w:rsid w:val="00E66E97"/>
    <w:rsid w:val="00E70BD6"/>
    <w:rsid w:val="00E71305"/>
    <w:rsid w:val="00E72383"/>
    <w:rsid w:val="00E724D2"/>
    <w:rsid w:val="00E72D9F"/>
    <w:rsid w:val="00E73C41"/>
    <w:rsid w:val="00E747D0"/>
    <w:rsid w:val="00E74933"/>
    <w:rsid w:val="00E74EDC"/>
    <w:rsid w:val="00E75737"/>
    <w:rsid w:val="00E75875"/>
    <w:rsid w:val="00E75886"/>
    <w:rsid w:val="00E759F1"/>
    <w:rsid w:val="00E75D6E"/>
    <w:rsid w:val="00E76007"/>
    <w:rsid w:val="00E76181"/>
    <w:rsid w:val="00E770F2"/>
    <w:rsid w:val="00E77EAC"/>
    <w:rsid w:val="00E81069"/>
    <w:rsid w:val="00E817AD"/>
    <w:rsid w:val="00E817EF"/>
    <w:rsid w:val="00E8184F"/>
    <w:rsid w:val="00E828D5"/>
    <w:rsid w:val="00E82D81"/>
    <w:rsid w:val="00E83259"/>
    <w:rsid w:val="00E83391"/>
    <w:rsid w:val="00E839BE"/>
    <w:rsid w:val="00E83CAC"/>
    <w:rsid w:val="00E84C89"/>
    <w:rsid w:val="00E85E56"/>
    <w:rsid w:val="00E860DD"/>
    <w:rsid w:val="00E8713D"/>
    <w:rsid w:val="00E90329"/>
    <w:rsid w:val="00E9074F"/>
    <w:rsid w:val="00E9107B"/>
    <w:rsid w:val="00E910D5"/>
    <w:rsid w:val="00E922C4"/>
    <w:rsid w:val="00E9391C"/>
    <w:rsid w:val="00E943AE"/>
    <w:rsid w:val="00E947B0"/>
    <w:rsid w:val="00E95890"/>
    <w:rsid w:val="00E95D82"/>
    <w:rsid w:val="00E95F21"/>
    <w:rsid w:val="00E961BE"/>
    <w:rsid w:val="00E96273"/>
    <w:rsid w:val="00E96E97"/>
    <w:rsid w:val="00E97D49"/>
    <w:rsid w:val="00EA0251"/>
    <w:rsid w:val="00EA1065"/>
    <w:rsid w:val="00EA1434"/>
    <w:rsid w:val="00EA3C3E"/>
    <w:rsid w:val="00EA4694"/>
    <w:rsid w:val="00EA48D3"/>
    <w:rsid w:val="00EA546B"/>
    <w:rsid w:val="00EA57C5"/>
    <w:rsid w:val="00EA5D7E"/>
    <w:rsid w:val="00EA5F31"/>
    <w:rsid w:val="00EA5F92"/>
    <w:rsid w:val="00EA64B4"/>
    <w:rsid w:val="00EA65F1"/>
    <w:rsid w:val="00EA6665"/>
    <w:rsid w:val="00EA6935"/>
    <w:rsid w:val="00EA6967"/>
    <w:rsid w:val="00EA6F44"/>
    <w:rsid w:val="00EA7613"/>
    <w:rsid w:val="00EA793B"/>
    <w:rsid w:val="00EA7A7E"/>
    <w:rsid w:val="00EB05DA"/>
    <w:rsid w:val="00EB190F"/>
    <w:rsid w:val="00EB235B"/>
    <w:rsid w:val="00EB31A3"/>
    <w:rsid w:val="00EB325B"/>
    <w:rsid w:val="00EB3E22"/>
    <w:rsid w:val="00EB468B"/>
    <w:rsid w:val="00EB5DE6"/>
    <w:rsid w:val="00EB693B"/>
    <w:rsid w:val="00EB7BA9"/>
    <w:rsid w:val="00EB7D75"/>
    <w:rsid w:val="00EC0B20"/>
    <w:rsid w:val="00EC0EE7"/>
    <w:rsid w:val="00EC1C3A"/>
    <w:rsid w:val="00EC1F51"/>
    <w:rsid w:val="00EC2B1D"/>
    <w:rsid w:val="00EC4233"/>
    <w:rsid w:val="00EC4544"/>
    <w:rsid w:val="00EC4A85"/>
    <w:rsid w:val="00EC57B2"/>
    <w:rsid w:val="00EC58F4"/>
    <w:rsid w:val="00EC650B"/>
    <w:rsid w:val="00EC755C"/>
    <w:rsid w:val="00EC7808"/>
    <w:rsid w:val="00EC7BFA"/>
    <w:rsid w:val="00ED042E"/>
    <w:rsid w:val="00ED1295"/>
    <w:rsid w:val="00ED2725"/>
    <w:rsid w:val="00ED34D1"/>
    <w:rsid w:val="00ED367F"/>
    <w:rsid w:val="00ED4206"/>
    <w:rsid w:val="00ED58A2"/>
    <w:rsid w:val="00ED58C3"/>
    <w:rsid w:val="00ED5C71"/>
    <w:rsid w:val="00ED5EEE"/>
    <w:rsid w:val="00ED5FA0"/>
    <w:rsid w:val="00ED667C"/>
    <w:rsid w:val="00ED6D1A"/>
    <w:rsid w:val="00ED74DB"/>
    <w:rsid w:val="00ED7966"/>
    <w:rsid w:val="00EE01CC"/>
    <w:rsid w:val="00EE04EE"/>
    <w:rsid w:val="00EE1760"/>
    <w:rsid w:val="00EE287D"/>
    <w:rsid w:val="00EE3B32"/>
    <w:rsid w:val="00EE3CFF"/>
    <w:rsid w:val="00EE3F39"/>
    <w:rsid w:val="00EE414C"/>
    <w:rsid w:val="00EE44FE"/>
    <w:rsid w:val="00EE4CF3"/>
    <w:rsid w:val="00EE5406"/>
    <w:rsid w:val="00EE5EF8"/>
    <w:rsid w:val="00EE61F5"/>
    <w:rsid w:val="00EE6964"/>
    <w:rsid w:val="00EE6A1D"/>
    <w:rsid w:val="00EE6D18"/>
    <w:rsid w:val="00EE7E7A"/>
    <w:rsid w:val="00EF1230"/>
    <w:rsid w:val="00EF223B"/>
    <w:rsid w:val="00EF2250"/>
    <w:rsid w:val="00EF29DE"/>
    <w:rsid w:val="00EF372C"/>
    <w:rsid w:val="00EF3978"/>
    <w:rsid w:val="00EF3AAC"/>
    <w:rsid w:val="00EF4284"/>
    <w:rsid w:val="00EF4519"/>
    <w:rsid w:val="00EF4D42"/>
    <w:rsid w:val="00EF4FD1"/>
    <w:rsid w:val="00EF5318"/>
    <w:rsid w:val="00EF67AB"/>
    <w:rsid w:val="00EF708A"/>
    <w:rsid w:val="00EF72C3"/>
    <w:rsid w:val="00EF796A"/>
    <w:rsid w:val="00EF79CE"/>
    <w:rsid w:val="00F00152"/>
    <w:rsid w:val="00F00352"/>
    <w:rsid w:val="00F00B1B"/>
    <w:rsid w:val="00F00E37"/>
    <w:rsid w:val="00F00E60"/>
    <w:rsid w:val="00F010EE"/>
    <w:rsid w:val="00F01383"/>
    <w:rsid w:val="00F0167D"/>
    <w:rsid w:val="00F0177A"/>
    <w:rsid w:val="00F019D5"/>
    <w:rsid w:val="00F02500"/>
    <w:rsid w:val="00F032D8"/>
    <w:rsid w:val="00F032E2"/>
    <w:rsid w:val="00F037E3"/>
    <w:rsid w:val="00F03FF2"/>
    <w:rsid w:val="00F04F9E"/>
    <w:rsid w:val="00F055AB"/>
    <w:rsid w:val="00F06A47"/>
    <w:rsid w:val="00F06E0B"/>
    <w:rsid w:val="00F0717F"/>
    <w:rsid w:val="00F0747A"/>
    <w:rsid w:val="00F07849"/>
    <w:rsid w:val="00F07882"/>
    <w:rsid w:val="00F07883"/>
    <w:rsid w:val="00F10177"/>
    <w:rsid w:val="00F10D83"/>
    <w:rsid w:val="00F1196B"/>
    <w:rsid w:val="00F11A6A"/>
    <w:rsid w:val="00F126BD"/>
    <w:rsid w:val="00F13433"/>
    <w:rsid w:val="00F134FC"/>
    <w:rsid w:val="00F1350E"/>
    <w:rsid w:val="00F14419"/>
    <w:rsid w:val="00F1470E"/>
    <w:rsid w:val="00F147A5"/>
    <w:rsid w:val="00F14AA7"/>
    <w:rsid w:val="00F15884"/>
    <w:rsid w:val="00F15B8E"/>
    <w:rsid w:val="00F15F12"/>
    <w:rsid w:val="00F16665"/>
    <w:rsid w:val="00F16FB0"/>
    <w:rsid w:val="00F1733B"/>
    <w:rsid w:val="00F17474"/>
    <w:rsid w:val="00F201CC"/>
    <w:rsid w:val="00F20487"/>
    <w:rsid w:val="00F20F65"/>
    <w:rsid w:val="00F2106D"/>
    <w:rsid w:val="00F22337"/>
    <w:rsid w:val="00F22D65"/>
    <w:rsid w:val="00F23175"/>
    <w:rsid w:val="00F23632"/>
    <w:rsid w:val="00F23FB0"/>
    <w:rsid w:val="00F2480A"/>
    <w:rsid w:val="00F24891"/>
    <w:rsid w:val="00F24B9F"/>
    <w:rsid w:val="00F24CA6"/>
    <w:rsid w:val="00F24EB7"/>
    <w:rsid w:val="00F256AE"/>
    <w:rsid w:val="00F25773"/>
    <w:rsid w:val="00F257FA"/>
    <w:rsid w:val="00F26004"/>
    <w:rsid w:val="00F2638A"/>
    <w:rsid w:val="00F26A75"/>
    <w:rsid w:val="00F270E8"/>
    <w:rsid w:val="00F27E5C"/>
    <w:rsid w:val="00F27E5E"/>
    <w:rsid w:val="00F27EF5"/>
    <w:rsid w:val="00F27FDB"/>
    <w:rsid w:val="00F30251"/>
    <w:rsid w:val="00F305CC"/>
    <w:rsid w:val="00F3179A"/>
    <w:rsid w:val="00F31D54"/>
    <w:rsid w:val="00F32357"/>
    <w:rsid w:val="00F32C70"/>
    <w:rsid w:val="00F34A58"/>
    <w:rsid w:val="00F34E02"/>
    <w:rsid w:val="00F3549E"/>
    <w:rsid w:val="00F365A7"/>
    <w:rsid w:val="00F3681C"/>
    <w:rsid w:val="00F3769D"/>
    <w:rsid w:val="00F404F4"/>
    <w:rsid w:val="00F4143E"/>
    <w:rsid w:val="00F41CC5"/>
    <w:rsid w:val="00F41D25"/>
    <w:rsid w:val="00F42307"/>
    <w:rsid w:val="00F423C2"/>
    <w:rsid w:val="00F42D51"/>
    <w:rsid w:val="00F433F8"/>
    <w:rsid w:val="00F433FE"/>
    <w:rsid w:val="00F435CE"/>
    <w:rsid w:val="00F43627"/>
    <w:rsid w:val="00F43781"/>
    <w:rsid w:val="00F438B5"/>
    <w:rsid w:val="00F4463C"/>
    <w:rsid w:val="00F473A5"/>
    <w:rsid w:val="00F473F3"/>
    <w:rsid w:val="00F474B8"/>
    <w:rsid w:val="00F478CA"/>
    <w:rsid w:val="00F47CE2"/>
    <w:rsid w:val="00F501F3"/>
    <w:rsid w:val="00F50A98"/>
    <w:rsid w:val="00F50E5F"/>
    <w:rsid w:val="00F51460"/>
    <w:rsid w:val="00F51667"/>
    <w:rsid w:val="00F521DC"/>
    <w:rsid w:val="00F53199"/>
    <w:rsid w:val="00F541A1"/>
    <w:rsid w:val="00F54B09"/>
    <w:rsid w:val="00F54BEA"/>
    <w:rsid w:val="00F54E8A"/>
    <w:rsid w:val="00F559A8"/>
    <w:rsid w:val="00F55C21"/>
    <w:rsid w:val="00F55E5F"/>
    <w:rsid w:val="00F55F6D"/>
    <w:rsid w:val="00F56E6B"/>
    <w:rsid w:val="00F5736B"/>
    <w:rsid w:val="00F57880"/>
    <w:rsid w:val="00F57FBC"/>
    <w:rsid w:val="00F608AB"/>
    <w:rsid w:val="00F60BE7"/>
    <w:rsid w:val="00F6159C"/>
    <w:rsid w:val="00F61714"/>
    <w:rsid w:val="00F6238F"/>
    <w:rsid w:val="00F63E59"/>
    <w:rsid w:val="00F64BE0"/>
    <w:rsid w:val="00F65B68"/>
    <w:rsid w:val="00F673B7"/>
    <w:rsid w:val="00F67846"/>
    <w:rsid w:val="00F67B42"/>
    <w:rsid w:val="00F7093A"/>
    <w:rsid w:val="00F70B72"/>
    <w:rsid w:val="00F70DEF"/>
    <w:rsid w:val="00F70EA3"/>
    <w:rsid w:val="00F71398"/>
    <w:rsid w:val="00F7294C"/>
    <w:rsid w:val="00F72C5F"/>
    <w:rsid w:val="00F73549"/>
    <w:rsid w:val="00F753AE"/>
    <w:rsid w:val="00F75768"/>
    <w:rsid w:val="00F75782"/>
    <w:rsid w:val="00F76D52"/>
    <w:rsid w:val="00F775BA"/>
    <w:rsid w:val="00F77706"/>
    <w:rsid w:val="00F80C1D"/>
    <w:rsid w:val="00F81130"/>
    <w:rsid w:val="00F81555"/>
    <w:rsid w:val="00F818F7"/>
    <w:rsid w:val="00F81C5F"/>
    <w:rsid w:val="00F8325D"/>
    <w:rsid w:val="00F832A9"/>
    <w:rsid w:val="00F832B0"/>
    <w:rsid w:val="00F83307"/>
    <w:rsid w:val="00F833A5"/>
    <w:rsid w:val="00F844D3"/>
    <w:rsid w:val="00F84629"/>
    <w:rsid w:val="00F84B71"/>
    <w:rsid w:val="00F84C27"/>
    <w:rsid w:val="00F84F0E"/>
    <w:rsid w:val="00F8519E"/>
    <w:rsid w:val="00F85FF5"/>
    <w:rsid w:val="00F864E1"/>
    <w:rsid w:val="00F86BB4"/>
    <w:rsid w:val="00F870F5"/>
    <w:rsid w:val="00F902D2"/>
    <w:rsid w:val="00F90B12"/>
    <w:rsid w:val="00F90BEE"/>
    <w:rsid w:val="00F90CBD"/>
    <w:rsid w:val="00F9109E"/>
    <w:rsid w:val="00F9177E"/>
    <w:rsid w:val="00F91E4F"/>
    <w:rsid w:val="00F91FDF"/>
    <w:rsid w:val="00F92AA1"/>
    <w:rsid w:val="00F92FDC"/>
    <w:rsid w:val="00F931D2"/>
    <w:rsid w:val="00F93431"/>
    <w:rsid w:val="00F93A4A"/>
    <w:rsid w:val="00F93D27"/>
    <w:rsid w:val="00F95DD6"/>
    <w:rsid w:val="00F96370"/>
    <w:rsid w:val="00F97940"/>
    <w:rsid w:val="00F97BA3"/>
    <w:rsid w:val="00F97EA2"/>
    <w:rsid w:val="00F97F0D"/>
    <w:rsid w:val="00FA0105"/>
    <w:rsid w:val="00FA0B0A"/>
    <w:rsid w:val="00FA121C"/>
    <w:rsid w:val="00FA1407"/>
    <w:rsid w:val="00FA1A68"/>
    <w:rsid w:val="00FA1B1A"/>
    <w:rsid w:val="00FA26B4"/>
    <w:rsid w:val="00FA2747"/>
    <w:rsid w:val="00FA2A33"/>
    <w:rsid w:val="00FA2C8F"/>
    <w:rsid w:val="00FA2CF7"/>
    <w:rsid w:val="00FA3410"/>
    <w:rsid w:val="00FA360B"/>
    <w:rsid w:val="00FA3860"/>
    <w:rsid w:val="00FA3A50"/>
    <w:rsid w:val="00FA4763"/>
    <w:rsid w:val="00FA4830"/>
    <w:rsid w:val="00FA5032"/>
    <w:rsid w:val="00FA5F79"/>
    <w:rsid w:val="00FA6980"/>
    <w:rsid w:val="00FA6CDF"/>
    <w:rsid w:val="00FA7192"/>
    <w:rsid w:val="00FA7699"/>
    <w:rsid w:val="00FA7BB5"/>
    <w:rsid w:val="00FA7C85"/>
    <w:rsid w:val="00FB0E38"/>
    <w:rsid w:val="00FB12D8"/>
    <w:rsid w:val="00FB176A"/>
    <w:rsid w:val="00FB1CDC"/>
    <w:rsid w:val="00FB238A"/>
    <w:rsid w:val="00FB2446"/>
    <w:rsid w:val="00FB2C81"/>
    <w:rsid w:val="00FB3BC4"/>
    <w:rsid w:val="00FB3F9C"/>
    <w:rsid w:val="00FB3FDE"/>
    <w:rsid w:val="00FB4676"/>
    <w:rsid w:val="00FB5552"/>
    <w:rsid w:val="00FB5789"/>
    <w:rsid w:val="00FB5F3A"/>
    <w:rsid w:val="00FB6382"/>
    <w:rsid w:val="00FB6AA9"/>
    <w:rsid w:val="00FB6AAF"/>
    <w:rsid w:val="00FB6AD4"/>
    <w:rsid w:val="00FB7F22"/>
    <w:rsid w:val="00FC00F3"/>
    <w:rsid w:val="00FC021E"/>
    <w:rsid w:val="00FC0A33"/>
    <w:rsid w:val="00FC1416"/>
    <w:rsid w:val="00FC14B2"/>
    <w:rsid w:val="00FC1823"/>
    <w:rsid w:val="00FC1EA7"/>
    <w:rsid w:val="00FC2198"/>
    <w:rsid w:val="00FC26A4"/>
    <w:rsid w:val="00FC2C93"/>
    <w:rsid w:val="00FC325A"/>
    <w:rsid w:val="00FC33ED"/>
    <w:rsid w:val="00FC401D"/>
    <w:rsid w:val="00FC43AD"/>
    <w:rsid w:val="00FC4E7E"/>
    <w:rsid w:val="00FC5876"/>
    <w:rsid w:val="00FC62F5"/>
    <w:rsid w:val="00FC6808"/>
    <w:rsid w:val="00FC731E"/>
    <w:rsid w:val="00FD035A"/>
    <w:rsid w:val="00FD19F1"/>
    <w:rsid w:val="00FD1A7E"/>
    <w:rsid w:val="00FD2CC3"/>
    <w:rsid w:val="00FD2DC3"/>
    <w:rsid w:val="00FD31BF"/>
    <w:rsid w:val="00FD32DA"/>
    <w:rsid w:val="00FD3CC7"/>
    <w:rsid w:val="00FD4148"/>
    <w:rsid w:val="00FD45B2"/>
    <w:rsid w:val="00FD4D5B"/>
    <w:rsid w:val="00FD6453"/>
    <w:rsid w:val="00FD67FD"/>
    <w:rsid w:val="00FD7CB2"/>
    <w:rsid w:val="00FD7CC2"/>
    <w:rsid w:val="00FD7D46"/>
    <w:rsid w:val="00FD7D8B"/>
    <w:rsid w:val="00FE0491"/>
    <w:rsid w:val="00FE0AF2"/>
    <w:rsid w:val="00FE1C47"/>
    <w:rsid w:val="00FE204A"/>
    <w:rsid w:val="00FE22DD"/>
    <w:rsid w:val="00FE2CFB"/>
    <w:rsid w:val="00FE35C1"/>
    <w:rsid w:val="00FE4A60"/>
    <w:rsid w:val="00FE51B8"/>
    <w:rsid w:val="00FE54E0"/>
    <w:rsid w:val="00FE55F0"/>
    <w:rsid w:val="00FE6331"/>
    <w:rsid w:val="00FE685B"/>
    <w:rsid w:val="00FE695F"/>
    <w:rsid w:val="00FE6C12"/>
    <w:rsid w:val="00FE7894"/>
    <w:rsid w:val="00FF01FA"/>
    <w:rsid w:val="00FF077A"/>
    <w:rsid w:val="00FF199B"/>
    <w:rsid w:val="00FF21B5"/>
    <w:rsid w:val="00FF21C3"/>
    <w:rsid w:val="00FF2A11"/>
    <w:rsid w:val="00FF2AA0"/>
    <w:rsid w:val="00FF3F6C"/>
    <w:rsid w:val="00FF4603"/>
    <w:rsid w:val="00FF4AA5"/>
    <w:rsid w:val="00FF4B07"/>
    <w:rsid w:val="00FF4BFC"/>
    <w:rsid w:val="00FF4C11"/>
    <w:rsid w:val="00FF4CF5"/>
    <w:rsid w:val="00FF56B9"/>
    <w:rsid w:val="00FF57E8"/>
    <w:rsid w:val="00FF58C0"/>
    <w:rsid w:val="00FF5948"/>
    <w:rsid w:val="00FF6B71"/>
    <w:rsid w:val="00FF6EDF"/>
    <w:rsid w:val="00FF6EEA"/>
    <w:rsid w:val="00FF77DF"/>
    <w:rsid w:val="00FF7ABB"/>
    <w:rsid w:val="00FF7B99"/>
    <w:rsid w:val="181350F6"/>
    <w:rsid w:val="1B0698FC"/>
    <w:rsid w:val="575A0692"/>
    <w:rsid w:val="6572D6DC"/>
    <w:rsid w:val="6F3EFC96"/>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B86E3F2"/>
  <w14:defaultImageDpi w14:val="330"/>
  <w15:docId w15:val="{810F8B03-A0D7-46F9-88E0-DC52909279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iPriority="0"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qFormat/>
    <w:rsid w:val="008555EF"/>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585FD0"/>
    <w:pPr>
      <w:keepNext/>
      <w:tabs>
        <w:tab w:val="left" w:pos="851"/>
      </w:tabs>
      <w:spacing w:before="0" w:after="360" w:line="600" w:lineRule="atLeast"/>
      <w:jc w:val="lef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66352E"/>
    <w:pPr>
      <w:keepNext/>
      <w:tabs>
        <w:tab w:val="left" w:pos="851"/>
      </w:tabs>
      <w:spacing w:before="360" w:after="0" w:line="440" w:lineRule="exact"/>
      <w:jc w:val="lef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9A2A8A"/>
    <w:pPr>
      <w:keepNext/>
      <w:tabs>
        <w:tab w:val="left" w:pos="851"/>
      </w:tabs>
      <w:spacing w:before="360" w:after="0" w:line="360" w:lineRule="exact"/>
      <w:jc w:val="lef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9F1D7F"/>
    <w:pPr>
      <w:outlineLvl w:val="3"/>
    </w:pPr>
    <w:rPr>
      <w:sz w:val="24"/>
    </w:rPr>
  </w:style>
  <w:style w:type="paragraph" w:styleId="Heading5">
    <w:name w:val="heading 5"/>
    <w:basedOn w:val="Normal"/>
    <w:next w:val="BodyText"/>
    <w:link w:val="Heading5Char"/>
    <w:qFormat/>
    <w:rsid w:val="00DD3C9A"/>
    <w:pPr>
      <w:keepNext/>
      <w:spacing w:before="24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85FD0"/>
    <w:rPr>
      <w:rFonts w:ascii="Georgia" w:eastAsiaTheme="majorEastAsia" w:hAnsi="Georgia" w:cstheme="majorBidi"/>
      <w:b/>
      <w:bCs/>
      <w:color w:val="1B556B"/>
      <w:sz w:val="48"/>
      <w:szCs w:val="28"/>
      <w:lang w:eastAsia="en-NZ"/>
    </w:rPr>
  </w:style>
  <w:style w:type="character" w:customStyle="1" w:styleId="Heading2Char">
    <w:name w:val="Heading 2 Char"/>
    <w:basedOn w:val="DefaultParagraphFont"/>
    <w:link w:val="Heading2"/>
    <w:rsid w:val="0066352E"/>
    <w:rPr>
      <w:rFonts w:ascii="Georgia" w:eastAsiaTheme="majorEastAsia" w:hAnsi="Georgia" w:cstheme="majorBidi"/>
      <w:b/>
      <w:bCs/>
      <w:color w:val="1B556B"/>
      <w:sz w:val="36"/>
      <w:szCs w:val="26"/>
      <w:lang w:eastAsia="en-NZ"/>
    </w:rPr>
  </w:style>
  <w:style w:type="character" w:customStyle="1" w:styleId="Heading3Char">
    <w:name w:val="Heading 3 Char"/>
    <w:basedOn w:val="DefaultParagraphFont"/>
    <w:link w:val="Heading3"/>
    <w:rsid w:val="009A2A8A"/>
    <w:rPr>
      <w:rFonts w:ascii="Georgia" w:eastAsiaTheme="majorEastAsia" w:hAnsi="Georgia" w:cstheme="majorBidi"/>
      <w:b/>
      <w:bCs/>
      <w:sz w:val="28"/>
      <w:lang w:eastAsia="en-NZ"/>
    </w:rPr>
  </w:style>
  <w:style w:type="character" w:customStyle="1" w:styleId="Heading4Char">
    <w:name w:val="Heading 4 Char"/>
    <w:basedOn w:val="DefaultParagraphFont"/>
    <w:link w:val="Heading4"/>
    <w:rsid w:val="009F1D7F"/>
    <w:rPr>
      <w:rFonts w:ascii="Georgia" w:eastAsiaTheme="majorEastAsia" w:hAnsi="Georgia" w:cstheme="majorBidi"/>
      <w:b/>
      <w:bCs/>
      <w:sz w:val="24"/>
      <w:lang w:eastAsia="en-NZ"/>
    </w:rPr>
  </w:style>
  <w:style w:type="character" w:customStyle="1" w:styleId="Heading5Char">
    <w:name w:val="Heading 5 Char"/>
    <w:basedOn w:val="DefaultParagraphFont"/>
    <w:link w:val="Heading5"/>
    <w:rsid w:val="00DD3C9A"/>
    <w:rPr>
      <w:rFonts w:ascii="Calibri" w:eastAsiaTheme="majorEastAsia" w:hAnsi="Calibri" w:cstheme="majorBidi"/>
      <w:i/>
      <w:sz w:val="24"/>
      <w:lang w:eastAsia="en-NZ"/>
    </w:rPr>
  </w:style>
  <w:style w:type="paragraph" w:styleId="BodyText">
    <w:name w:val="Body Text"/>
    <w:basedOn w:val="Normal"/>
    <w:link w:val="BodyTextChar"/>
    <w:qFormat/>
    <w:rsid w:val="00EA64B4"/>
    <w:pPr>
      <w:jc w:val="left"/>
    </w:pPr>
  </w:style>
  <w:style w:type="character" w:customStyle="1" w:styleId="BodyTextChar">
    <w:name w:val="Body Text Char"/>
    <w:basedOn w:val="DefaultParagraphFont"/>
    <w:link w:val="BodyText"/>
    <w:rsid w:val="00EA64B4"/>
    <w:rPr>
      <w:rFonts w:ascii="Calibri" w:eastAsiaTheme="minorEastAsia" w:hAnsi="Calibri"/>
      <w:lang w:eastAsia="en-NZ"/>
    </w:rPr>
  </w:style>
  <w:style w:type="table" w:styleId="TableGrid">
    <w:name w:val="Table Grid"/>
    <w:basedOn w:val="TableNormal"/>
    <w:uiPriority w:val="5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styleId="Quote">
    <w:name w:val="Quote"/>
    <w:basedOn w:val="Normal"/>
    <w:next w:val="BodyText"/>
    <w:link w:val="QuoteChar"/>
    <w:uiPriority w:val="1"/>
    <w:qFormat/>
    <w:rsid w:val="00684D9B"/>
    <w:pPr>
      <w:spacing w:before="60" w:after="60"/>
      <w:ind w:left="567" w:right="567"/>
      <w:jc w:val="left"/>
    </w:pPr>
    <w:rPr>
      <w:sz w:val="20"/>
    </w:rPr>
  </w:style>
  <w:style w:type="character" w:customStyle="1" w:styleId="QuoteChar">
    <w:name w:val="Quote Char"/>
    <w:basedOn w:val="DefaultParagraphFont"/>
    <w:link w:val="Quote"/>
    <w:uiPriority w:val="1"/>
    <w:rsid w:val="00684D9B"/>
    <w:rPr>
      <w:rFonts w:ascii="Calibri" w:eastAsiaTheme="minorEastAsia" w:hAnsi="Calibri"/>
      <w:sz w:val="20"/>
      <w:lang w:eastAsia="en-NZ"/>
    </w:rPr>
  </w:style>
  <w:style w:type="paragraph" w:customStyle="1" w:styleId="Bullet">
    <w:name w:val="Bullet"/>
    <w:basedOn w:val="Normal"/>
    <w:link w:val="BulletChar"/>
    <w:qFormat/>
    <w:rsid w:val="000A109B"/>
    <w:pPr>
      <w:numPr>
        <w:numId w:val="34"/>
      </w:numPr>
      <w:tabs>
        <w:tab w:val="clear" w:pos="1247"/>
        <w:tab w:val="left" w:pos="397"/>
      </w:tabs>
      <w:spacing w:before="0"/>
      <w:ind w:left="397"/>
      <w:jc w:val="left"/>
    </w:pPr>
    <w:rPr>
      <w:rFonts w:eastAsia="Times New Roman" w:cs="Times New Roman"/>
      <w:szCs w:val="20"/>
    </w:rPr>
  </w:style>
  <w:style w:type="paragraph" w:customStyle="1" w:styleId="Heading">
    <w:name w:val="Heading"/>
    <w:basedOn w:val="Heading1"/>
    <w:next w:val="Normal"/>
    <w:uiPriority w:val="3"/>
    <w:rsid w:val="00F06E0B"/>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2A533C"/>
    <w:pPr>
      <w:numPr>
        <w:numId w:val="4"/>
      </w:numPr>
      <w:tabs>
        <w:tab w:val="clear" w:pos="397"/>
        <w:tab w:val="left" w:pos="794"/>
      </w:tabs>
      <w:spacing w:before="0"/>
      <w:ind w:left="794" w:hanging="397"/>
      <w:jc w:val="left"/>
    </w:pPr>
  </w:style>
  <w:style w:type="paragraph" w:customStyle="1" w:styleId="Figureheading">
    <w:name w:val="Figure heading"/>
    <w:basedOn w:val="Normal"/>
    <w:next w:val="BodyText"/>
    <w:qFormat/>
    <w:rsid w:val="00EA64B4"/>
    <w:pPr>
      <w:keepNext/>
      <w:ind w:left="1134" w:hanging="1134"/>
      <w:jc w:val="left"/>
    </w:pPr>
    <w:rPr>
      <w:b/>
      <w:sz w:val="20"/>
    </w:rPr>
  </w:style>
  <w:style w:type="character" w:styleId="FootnoteReference">
    <w:name w:val="footnote reference"/>
    <w:semiHidden/>
    <w:rsid w:val="00EA64B4"/>
    <w:rPr>
      <w:rFonts w:ascii="Calibri" w:hAnsi="Calibri"/>
      <w:color w:val="183C47"/>
      <w:sz w:val="22"/>
      <w:vertAlign w:val="superscript"/>
    </w:rPr>
  </w:style>
  <w:style w:type="paragraph" w:styleId="FootnoteText">
    <w:name w:val="footnote text"/>
    <w:basedOn w:val="Normal"/>
    <w:link w:val="FootnoteTextChar"/>
    <w:uiPriority w:val="99"/>
    <w:rsid w:val="00EA64B4"/>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rsid w:val="00EA64B4"/>
    <w:pPr>
      <w:jc w:val="left"/>
    </w:pPr>
  </w:style>
  <w:style w:type="paragraph" w:customStyle="1" w:styleId="Note">
    <w:name w:val="Note"/>
    <w:basedOn w:val="BodyText"/>
    <w:next w:val="Normal"/>
    <w:uiPriority w:val="1"/>
    <w:qFormat/>
    <w:rsid w:val="00EA64B4"/>
    <w:rPr>
      <w:sz w:val="18"/>
    </w:rPr>
  </w:style>
  <w:style w:type="paragraph" w:customStyle="1" w:styleId="References">
    <w:name w:val="References"/>
    <w:basedOn w:val="Normal"/>
    <w:uiPriority w:val="1"/>
    <w:qFormat/>
    <w:rsid w:val="00554B30"/>
    <w:pPr>
      <w:spacing w:before="0" w:line="260" w:lineRule="atLeast"/>
      <w:jc w:val="left"/>
    </w:pPr>
    <w:rPr>
      <w:sz w:val="20"/>
    </w:rPr>
  </w:style>
  <w:style w:type="paragraph" w:customStyle="1" w:styleId="Source">
    <w:name w:val="Source"/>
    <w:basedOn w:val="Normal"/>
    <w:next w:val="Normal"/>
    <w:uiPriority w:val="1"/>
    <w:qFormat/>
    <w:rsid w:val="00EA64B4"/>
    <w:pPr>
      <w:tabs>
        <w:tab w:val="left" w:pos="680"/>
      </w:tabs>
      <w:jc w:val="left"/>
    </w:pPr>
    <w:rPr>
      <w:sz w:val="18"/>
    </w:rPr>
  </w:style>
  <w:style w:type="paragraph" w:styleId="Title">
    <w:name w:val="Title"/>
    <w:basedOn w:val="Normal"/>
    <w:link w:val="TitleChar"/>
    <w:uiPriority w:val="2"/>
    <w:rsid w:val="004A3CC2"/>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2"/>
    <w:rsid w:val="004A3CC2"/>
    <w:rPr>
      <w:rFonts w:ascii="Georgia" w:eastAsiaTheme="minorEastAsia" w:hAnsi="Georgia"/>
      <w:b/>
      <w:color w:val="1B556B"/>
      <w:sz w:val="56"/>
      <w:lang w:eastAsia="en-NZ"/>
    </w:rPr>
  </w:style>
  <w:style w:type="paragraph" w:styleId="Subtitle">
    <w:name w:val="Subtitle"/>
    <w:basedOn w:val="Title"/>
    <w:link w:val="SubtitleChar"/>
    <w:uiPriority w:val="2"/>
    <w:rsid w:val="004A3CC2"/>
    <w:pPr>
      <w:spacing w:before="600" w:line="240" w:lineRule="auto"/>
    </w:pPr>
    <w:rPr>
      <w:sz w:val="36"/>
      <w:szCs w:val="36"/>
    </w:rPr>
  </w:style>
  <w:style w:type="character" w:customStyle="1" w:styleId="SubtitleChar">
    <w:name w:val="Subtitle Char"/>
    <w:basedOn w:val="DefaultParagraphFont"/>
    <w:link w:val="Subtitle"/>
    <w:uiPriority w:val="2"/>
    <w:rsid w:val="004A3CC2"/>
    <w:rPr>
      <w:rFonts w:ascii="Georgia" w:eastAsiaTheme="minorEastAsia" w:hAnsi="Georgia"/>
      <w:b/>
      <w:color w:val="1B556B"/>
      <w:sz w:val="36"/>
      <w:szCs w:val="36"/>
      <w:lang w:eastAsia="en-NZ"/>
    </w:rPr>
  </w:style>
  <w:style w:type="paragraph" w:customStyle="1" w:styleId="Tableheading">
    <w:name w:val="Table heading"/>
    <w:basedOn w:val="Normal"/>
    <w:next w:val="Normal"/>
    <w:qFormat/>
    <w:rsid w:val="00EA64B4"/>
    <w:pPr>
      <w:keepNext/>
      <w:ind w:left="1134" w:hanging="1134"/>
      <w:jc w:val="left"/>
    </w:pPr>
    <w:rPr>
      <w:b/>
      <w:sz w:val="20"/>
    </w:rPr>
  </w:style>
  <w:style w:type="paragraph" w:customStyle="1" w:styleId="TableText">
    <w:name w:val="TableText"/>
    <w:basedOn w:val="Normal"/>
    <w:qFormat/>
    <w:rsid w:val="00EA64B4"/>
    <w:pPr>
      <w:spacing w:before="60" w:after="60" w:line="240" w:lineRule="atLeast"/>
      <w:jc w:val="left"/>
    </w:pPr>
    <w:rPr>
      <w:sz w:val="18"/>
    </w:rPr>
  </w:style>
  <w:style w:type="paragraph" w:customStyle="1" w:styleId="TableTextbold">
    <w:name w:val="TableText bold"/>
    <w:basedOn w:val="TableText"/>
    <w:rsid w:val="00EA64B4"/>
    <w:rPr>
      <w:b/>
    </w:rPr>
  </w:style>
  <w:style w:type="paragraph" w:styleId="TOC1">
    <w:name w:val="toc 1"/>
    <w:basedOn w:val="Normal"/>
    <w:next w:val="Normal"/>
    <w:uiPriority w:val="39"/>
    <w:rsid w:val="00356C3D"/>
    <w:pPr>
      <w:tabs>
        <w:tab w:val="right" w:pos="8505"/>
      </w:tabs>
      <w:spacing w:before="280" w:after="0" w:line="240" w:lineRule="auto"/>
      <w:ind w:left="567" w:right="567" w:hanging="567"/>
      <w:jc w:val="left"/>
    </w:pPr>
  </w:style>
  <w:style w:type="paragraph" w:styleId="TOC2">
    <w:name w:val="toc 2"/>
    <w:basedOn w:val="Normal"/>
    <w:next w:val="Normal"/>
    <w:uiPriority w:val="39"/>
    <w:rsid w:val="00356C3D"/>
    <w:pPr>
      <w:tabs>
        <w:tab w:val="right" w:pos="8505"/>
      </w:tabs>
      <w:spacing w:before="60" w:after="60" w:line="240" w:lineRule="auto"/>
      <w:ind w:left="1134" w:right="567" w:hanging="567"/>
      <w:jc w:val="left"/>
    </w:p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jc w:val="left"/>
    </w:pPr>
  </w:style>
  <w:style w:type="paragraph" w:customStyle="1" w:styleId="Footerodd">
    <w:name w:val="Footer odd"/>
    <w:basedOn w:val="Normal"/>
    <w:uiPriority w:val="2"/>
    <w:rsid w:val="00EA64B4"/>
    <w:pPr>
      <w:tabs>
        <w:tab w:val="right" w:pos="7938"/>
        <w:tab w:val="right" w:pos="8505"/>
      </w:tabs>
      <w:jc w:val="left"/>
    </w:pPr>
    <w:rPr>
      <w:sz w:val="16"/>
    </w:rPr>
  </w:style>
  <w:style w:type="paragraph" w:customStyle="1" w:styleId="Footereven">
    <w:name w:val="Footer even"/>
    <w:basedOn w:val="Normal"/>
    <w:uiPriority w:val="2"/>
    <w:rsid w:val="00EA64B4"/>
    <w:pPr>
      <w:tabs>
        <w:tab w:val="left" w:pos="567"/>
      </w:tabs>
    </w:pPr>
    <w:rPr>
      <w:sz w:val="16"/>
    </w:rPr>
  </w:style>
  <w:style w:type="paragraph" w:customStyle="1" w:styleId="Numberedparagraph">
    <w:name w:val="Numbered paragraph"/>
    <w:basedOn w:val="Normal"/>
    <w:uiPriority w:val="1"/>
    <w:qFormat/>
    <w:rsid w:val="005B6698"/>
    <w:pPr>
      <w:numPr>
        <w:numId w:val="5"/>
      </w:numPr>
      <w:spacing w:before="0"/>
      <w:jc w:val="left"/>
    </w:pPr>
  </w:style>
  <w:style w:type="paragraph" w:customStyle="1" w:styleId="Sub-lista">
    <w:name w:val="Sub-list a"/>
    <w:aliases w:val="b"/>
    <w:basedOn w:val="Normal"/>
    <w:uiPriority w:val="2"/>
    <w:rsid w:val="00E21ACA"/>
    <w:pPr>
      <w:numPr>
        <w:numId w:val="6"/>
      </w:numPr>
      <w:spacing w:before="0"/>
      <w:ind w:left="794" w:hanging="397"/>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uiPriority w:val="39"/>
    <w:rsid w:val="00A73F11"/>
    <w:pPr>
      <w:tabs>
        <w:tab w:val="left" w:pos="1843"/>
        <w:tab w:val="right" w:pos="8495"/>
      </w:tabs>
      <w:spacing w:before="20" w:after="20"/>
      <w:ind w:left="1843" w:hanging="709"/>
    </w:pPr>
  </w:style>
  <w:style w:type="paragraph" w:styleId="TableofFigures">
    <w:name w:val="table of figures"/>
    <w:basedOn w:val="Normal"/>
    <w:next w:val="Normal"/>
    <w:uiPriority w:val="99"/>
    <w:rsid w:val="00356C3D"/>
    <w:pPr>
      <w:spacing w:before="0"/>
      <w:ind w:left="1134" w:right="567" w:hanging="1134"/>
      <w:jc w:val="left"/>
    </w:pPr>
  </w:style>
  <w:style w:type="paragraph" w:customStyle="1" w:styleId="Sub-listi">
    <w:name w:val="Sub-list i"/>
    <w:aliases w:val="ii"/>
    <w:basedOn w:val="BodyText"/>
    <w:semiHidden/>
    <w:rsid w:val="00EA64B4"/>
    <w:pPr>
      <w:numPr>
        <w:numId w:val="7"/>
      </w:numPr>
      <w:spacing w:before="60" w:after="60"/>
    </w:pPr>
  </w:style>
  <w:style w:type="paragraph" w:customStyle="1" w:styleId="TableBullet">
    <w:name w:val="TableBullet"/>
    <w:basedOn w:val="Normal"/>
    <w:qFormat/>
    <w:rsid w:val="00523DFA"/>
    <w:pPr>
      <w:numPr>
        <w:numId w:val="8"/>
      </w:numPr>
      <w:spacing w:before="0" w:after="60" w:line="240" w:lineRule="atLeast"/>
      <w:jc w:val="left"/>
    </w:pPr>
    <w:rPr>
      <w:rFonts w:cs="Arial"/>
      <w:sz w:val="18"/>
      <w:szCs w:val="16"/>
    </w:rPr>
  </w:style>
  <w:style w:type="paragraph" w:customStyle="1" w:styleId="TableDash">
    <w:name w:val="TableDash"/>
    <w:basedOn w:val="TableBullet"/>
    <w:qFormat/>
    <w:rsid w:val="005E3BCD"/>
    <w:pPr>
      <w:numPr>
        <w:numId w:val="9"/>
      </w:numPr>
      <w:ind w:left="568" w:hanging="284"/>
    </w:pPr>
  </w:style>
  <w:style w:type="paragraph" w:styleId="ListParagraph">
    <w:name w:val="List Paragraph"/>
    <w:basedOn w:val="Normal"/>
    <w:uiPriority w:val="34"/>
    <w:semiHidden/>
    <w:qFormat/>
    <w:rsid w:val="00EA64B4"/>
    <w:pPr>
      <w:spacing w:before="0"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paragraph" w:customStyle="1" w:styleId="Boxa">
    <w:name w:val="Box a"/>
    <w:aliases w:val="b list"/>
    <w:basedOn w:val="Sub-listi"/>
    <w:semiHidden/>
    <w:qFormat/>
    <w:rsid w:val="00EA64B4"/>
    <w:pPr>
      <w:numPr>
        <w:ilvl w:val="1"/>
        <w:numId w:val="10"/>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Normal"/>
    <w:semiHidden/>
    <w:rsid w:val="008B5E54"/>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jc w:val="left"/>
    </w:pPr>
    <w:rPr>
      <w:rFonts w:ascii="Arial" w:eastAsia="Times New Roman" w:hAnsi="Arial" w:cs="Times New Roman"/>
      <w:sz w:val="20"/>
      <w:szCs w:val="20"/>
      <w:lang w:eastAsia="en-GB"/>
    </w:rPr>
  </w:style>
  <w:style w:type="paragraph" w:customStyle="1" w:styleId="BoxHeading">
    <w:name w:val="BoxHeading"/>
    <w:basedOn w:val="Normal"/>
    <w:next w:val="Normal"/>
    <w:semiHidden/>
    <w:rsid w:val="008B5E54"/>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0A109B"/>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numbering" w:customStyle="1" w:styleId="Style1">
    <w:name w:val="Style1"/>
    <w:uiPriority w:val="99"/>
    <w:rsid w:val="00B07CE9"/>
    <w:pPr>
      <w:numPr>
        <w:numId w:val="13"/>
      </w:numPr>
    </w:pPr>
  </w:style>
  <w:style w:type="numbering" w:customStyle="1" w:styleId="Style2">
    <w:name w:val="Style2"/>
    <w:uiPriority w:val="99"/>
    <w:rsid w:val="008E0688"/>
    <w:pPr>
      <w:numPr>
        <w:numId w:val="19"/>
      </w:numPr>
    </w:pPr>
  </w:style>
  <w:style w:type="paragraph" w:customStyle="1" w:styleId="Greenbullet-casestudytables">
    <w:name w:val="Green bullet - case study tables"/>
    <w:basedOn w:val="Greentext-casestudytables"/>
    <w:uiPriority w:val="1"/>
    <w:semiHidden/>
    <w:rsid w:val="00C15722"/>
    <w:pPr>
      <w:numPr>
        <w:numId w:val="31"/>
      </w:numPr>
      <w:spacing w:before="0"/>
      <w:ind w:left="681"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33"/>
      </w:numPr>
    </w:pPr>
  </w:style>
  <w:style w:type="paragraph" w:customStyle="1" w:styleId="Boxtext">
    <w:name w:val="Box text"/>
    <w:basedOn w:val="Normal"/>
    <w:uiPriority w:val="1"/>
    <w:qFormat/>
    <w:rsid w:val="00DB6A2B"/>
    <w:pPr>
      <w:spacing w:line="260" w:lineRule="atLeast"/>
      <w:ind w:left="284" w:right="284"/>
      <w:jc w:val="left"/>
    </w:pPr>
    <w:rPr>
      <w:color w:val="1B556B"/>
      <w:sz w:val="20"/>
    </w:rPr>
  </w:style>
  <w:style w:type="paragraph" w:customStyle="1" w:styleId="Boxbullet">
    <w:name w:val="Box bullet"/>
    <w:basedOn w:val="Boxtext"/>
    <w:uiPriority w:val="1"/>
    <w:qFormat/>
    <w:rsid w:val="005D3242"/>
    <w:pPr>
      <w:numPr>
        <w:numId w:val="2"/>
      </w:numPr>
      <w:tabs>
        <w:tab w:val="left" w:pos="680"/>
      </w:tabs>
      <w:spacing w:before="0"/>
      <w:ind w:left="681" w:hanging="397"/>
    </w:pPr>
    <w:rPr>
      <w:rFonts w:cs="Times New Roman"/>
      <w:szCs w:val="20"/>
    </w:rPr>
  </w:style>
  <w:style w:type="paragraph" w:customStyle="1" w:styleId="Boxheading0">
    <w:name w:val="Box heading"/>
    <w:basedOn w:val="Boxtext"/>
    <w:next w:val="Boxtext"/>
    <w:uiPriority w:val="1"/>
    <w:qFormat/>
    <w:rsid w:val="00DB6A2B"/>
    <w:pPr>
      <w:keepNext/>
      <w:spacing w:before="240" w:after="0"/>
    </w:pPr>
    <w:rPr>
      <w:rFonts w:cs="Times New Roman"/>
      <w:b/>
      <w:sz w:val="22"/>
      <w:szCs w:val="20"/>
    </w:rPr>
  </w:style>
  <w:style w:type="paragraph" w:customStyle="1" w:styleId="Boxsub-bullet">
    <w:name w:val="Box sub-bullet"/>
    <w:basedOn w:val="Boxtext"/>
    <w:uiPriority w:val="1"/>
    <w:qFormat/>
    <w:rsid w:val="00DB6A2B"/>
    <w:pPr>
      <w:numPr>
        <w:numId w:val="36"/>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37"/>
      </w:numPr>
      <w:spacing w:before="0"/>
      <w:ind w:left="1077" w:hanging="397"/>
    </w:pPr>
  </w:style>
  <w:style w:type="character" w:styleId="UnresolvedMention">
    <w:name w:val="Unresolved Mention"/>
    <w:basedOn w:val="DefaultParagraphFont"/>
    <w:uiPriority w:val="99"/>
    <w:semiHidden/>
    <w:unhideWhenUsed/>
    <w:rsid w:val="00563317"/>
    <w:rPr>
      <w:color w:val="605E5C"/>
      <w:shd w:val="clear" w:color="auto" w:fill="E1DFDD"/>
    </w:rPr>
  </w:style>
  <w:style w:type="paragraph" w:styleId="CommentText">
    <w:name w:val="annotation text"/>
    <w:basedOn w:val="Normal"/>
    <w:link w:val="CommentTextChar"/>
    <w:uiPriority w:val="99"/>
    <w:semiHidden/>
    <w:rsid w:val="00456E90"/>
    <w:pPr>
      <w:spacing w:line="240" w:lineRule="auto"/>
    </w:pPr>
    <w:rPr>
      <w:sz w:val="20"/>
      <w:szCs w:val="20"/>
    </w:rPr>
  </w:style>
  <w:style w:type="character" w:customStyle="1" w:styleId="CommentTextChar">
    <w:name w:val="Comment Text Char"/>
    <w:basedOn w:val="DefaultParagraphFont"/>
    <w:link w:val="CommentText"/>
    <w:uiPriority w:val="99"/>
    <w:semiHidden/>
    <w:rsid w:val="00456E90"/>
    <w:rPr>
      <w:rFonts w:ascii="Calibri" w:eastAsiaTheme="minorEastAsia" w:hAnsi="Calibri"/>
      <w:sz w:val="20"/>
      <w:szCs w:val="20"/>
      <w:lang w:eastAsia="en-NZ"/>
    </w:rPr>
  </w:style>
  <w:style w:type="character" w:styleId="Mention">
    <w:name w:val="Mention"/>
    <w:basedOn w:val="DefaultParagraphFont"/>
    <w:uiPriority w:val="99"/>
    <w:unhideWhenUsed/>
    <w:rsid w:val="008356B7"/>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hyperlink" Target="https://environment.govt.nz/assets/publications/freshwater-policy/IWG-Factsheet-INFO1067-Update-August-22-FINAL.pdf" TargetMode="External"/><Relationship Id="rId39" Type="http://schemas.openxmlformats.org/officeDocument/2006/relationships/image" Target="media/image14.png"/><Relationship Id="rId21" Type="http://schemas.openxmlformats.org/officeDocument/2006/relationships/footer" Target="footer4.xml"/><Relationship Id="rId34" Type="http://schemas.openxmlformats.org/officeDocument/2006/relationships/hyperlink" Target="https://environment.govt.nz/publications/groundcovers-guidance-for-intensive-winter-grazing" TargetMode="External"/><Relationship Id="rId42" Type="http://schemas.openxmlformats.org/officeDocument/2006/relationships/image" Target="media/image16.jpeg"/><Relationship Id="rId47" Type="http://schemas.openxmlformats.org/officeDocument/2006/relationships/image" Target="media/image21.png"/><Relationship Id="rId50" Type="http://schemas.openxmlformats.org/officeDocument/2006/relationships/image" Target="media/image23.jpeg"/><Relationship Id="rId55"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image" Target="media/image7.jpeg"/><Relationship Id="rId11" Type="http://schemas.openxmlformats.org/officeDocument/2006/relationships/endnotes" Target="endnotes.xml"/><Relationship Id="rId24" Type="http://schemas.openxmlformats.org/officeDocument/2006/relationships/image" Target="media/image4.jpeg"/><Relationship Id="rId32" Type="http://schemas.openxmlformats.org/officeDocument/2006/relationships/image" Target="media/image10.png"/><Relationship Id="rId37" Type="http://schemas.openxmlformats.org/officeDocument/2006/relationships/image" Target="media/image12.jpeg"/><Relationship Id="rId40" Type="http://schemas.openxmlformats.org/officeDocument/2006/relationships/hyperlink" Target="https://environment.govt.nz/publications/pugging-guidance-for-intensive-winter-grazing" TargetMode="External"/><Relationship Id="rId45" Type="http://schemas.openxmlformats.org/officeDocument/2006/relationships/image" Target="media/image19.png"/><Relationship Id="rId53" Type="http://schemas.openxmlformats.org/officeDocument/2006/relationships/footer" Target="footer7.xml"/><Relationship Id="rId5" Type="http://schemas.openxmlformats.org/officeDocument/2006/relationships/customXml" Target="../customXml/item5.xml"/><Relationship Id="rId10" Type="http://schemas.openxmlformats.org/officeDocument/2006/relationships/footnotes" Target="footnotes.xml"/><Relationship Id="rId19" Type="http://schemas.openxmlformats.org/officeDocument/2006/relationships/header" Target="header4.xml"/><Relationship Id="rId31" Type="http://schemas.openxmlformats.org/officeDocument/2006/relationships/image" Target="media/image9.png"/><Relationship Id="rId44" Type="http://schemas.openxmlformats.org/officeDocument/2006/relationships/image" Target="media/image18.jpeg"/><Relationship Id="rId52" Type="http://schemas.openxmlformats.org/officeDocument/2006/relationships/footer" Target="footer6.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2.xml"/><Relationship Id="rId22" Type="http://schemas.openxmlformats.org/officeDocument/2006/relationships/footer" Target="footer5.xml"/><Relationship Id="rId27" Type="http://schemas.openxmlformats.org/officeDocument/2006/relationships/hyperlink" Target="https://environment.govt.nz/acts-and-regulations/freshwater-implementation-guidance/freshwater-farm-plans/" TargetMode="External"/><Relationship Id="rId30" Type="http://schemas.openxmlformats.org/officeDocument/2006/relationships/image" Target="media/image8.jpeg"/><Relationship Id="rId35" Type="http://schemas.openxmlformats.org/officeDocument/2006/relationships/hyperlink" Target="https://environment.govt.nz/publications/pugging-guidance-for-intensive-winter-grazing" TargetMode="External"/><Relationship Id="rId43" Type="http://schemas.openxmlformats.org/officeDocument/2006/relationships/image" Target="media/image17.png"/><Relationship Id="rId48" Type="http://schemas.openxmlformats.org/officeDocument/2006/relationships/image" Target="media/image22.png"/><Relationship Id="rId8" Type="http://schemas.openxmlformats.org/officeDocument/2006/relationships/settings" Target="settings.xml"/><Relationship Id="rId51" Type="http://schemas.openxmlformats.org/officeDocument/2006/relationships/image" Target="media/image24.jpeg"/><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header" Target="header3.xml"/><Relationship Id="rId25" Type="http://schemas.openxmlformats.org/officeDocument/2006/relationships/image" Target="media/image5.jpeg"/><Relationship Id="rId33" Type="http://schemas.openxmlformats.org/officeDocument/2006/relationships/image" Target="media/image11.jpeg"/><Relationship Id="rId38" Type="http://schemas.openxmlformats.org/officeDocument/2006/relationships/image" Target="media/image13.jpeg"/><Relationship Id="rId46" Type="http://schemas.openxmlformats.org/officeDocument/2006/relationships/image" Target="media/image20.png"/><Relationship Id="rId20" Type="http://schemas.openxmlformats.org/officeDocument/2006/relationships/header" Target="header5.xml"/><Relationship Id="rId41" Type="http://schemas.openxmlformats.org/officeDocument/2006/relationships/image" Target="media/image15.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3.png"/><Relationship Id="rId28" Type="http://schemas.openxmlformats.org/officeDocument/2006/relationships/image" Target="media/image6.jpeg"/><Relationship Id="rId36" Type="http://schemas.openxmlformats.org/officeDocument/2006/relationships/hyperlink" Target="https://environment.govt.nz/publications/groundcovers-guidance-for-intensive-winter-grazing" TargetMode="External"/><Relationship Id="rId49" Type="http://schemas.openxmlformats.org/officeDocument/2006/relationships/hyperlink" Target="https://www.mpi.govt.nz/agriculture/farm-management-the-environment-and-land-use/protecting-freshwater-health/intensive-winter-grazing/"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MF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3" ma:contentTypeDescription="Create a new document." ma:contentTypeScope="" ma:versionID="47b9c67e5e6210622ccaa916b2908ca0">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08f77810071e8ffec9d412bc41246377"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fth Edition"/>
</file>

<file path=customXml/item4.xml><?xml version="1.0" encoding="utf-8"?>
<p:properties xmlns:p="http://schemas.microsoft.com/office/2006/metadata/properties" xmlns:xsi="http://www.w3.org/2001/XMLSchema-instance" xmlns:pc="http://schemas.microsoft.com/office/infopath/2007/PartnerControls">
  <documentManagement>
    <Legacy_x0020_DocID xmlns="4a94300e-a927-4b92-9d3a-682523035cb6" xsi:nil="true"/>
    <Year xmlns="4a94300e-a927-4b92-9d3a-682523035cb6" xsi:nil="true"/>
    <_ip_UnifiedCompliancePolicyUIAction xmlns="http://schemas.microsoft.com/sharepoint/v3" xsi:nil="true"/>
    <Legacy_x0020_Version xmlns="4a94300e-a927-4b92-9d3a-682523035cb6" xsi:nil="true"/>
    <Sender_x0020_Date xmlns="4a94300e-a927-4b92-9d3a-682523035cb6" xsi:nil="true"/>
    <Library xmlns="4a94300e-a927-4b92-9d3a-682523035cb6" xsi:nil="true"/>
    <Class xmlns="4a94300e-a927-4b92-9d3a-682523035cb6" xsi:nil="true"/>
    <From xmlns="4a94300e-a927-4b92-9d3a-682523035cb6" xsi:nil="true"/>
    <Sender xmlns="4a94300e-a927-4b92-9d3a-682523035cb6" xsi:nil="true"/>
    <IconOverlay xmlns="http://schemas.microsoft.com/sharepoint/v4" xsi:nil="true"/>
    <Other_x0020_Details xmlns="4a94300e-a927-4b92-9d3a-682523035cb6" xsi:nil="true"/>
    <_ip_UnifiedCompliancePolicyProperties xmlns="http://schemas.microsoft.com/sharepoint/v3" xsi:nil="true"/>
    <Carbon_x0020_Copy xmlns="4a94300e-a927-4b92-9d3a-682523035cb6" xsi:nil="true"/>
    <Author0 xmlns="4a94300e-a927-4b92-9d3a-682523035cb6" xsi:nil="true"/>
    <Email_x0020_Table xmlns="4a94300e-a927-4b92-9d3a-682523035cb6" xsi:nil="true"/>
    <MTS_x0020_ID xmlns="4a94300e-a927-4b92-9d3a-682523035cb6" xsi:nil="true"/>
    <MTS_x0020_Type xmlns="4a94300e-a927-4b92-9d3a-682523035cb6" xsi:nil="true"/>
    <Receiver xmlns="4a94300e-a927-4b92-9d3a-682523035cb6" xsi:nil="true"/>
    <Other_x0020_Details_2 xmlns="4a94300e-a927-4b92-9d3a-682523035cb6" xsi:nil="true"/>
    <Sent_x002f_Received xmlns="4a94300e-a927-4b92-9d3a-682523035cb6" xsi:nil="true"/>
    <Other_x0020_Details_3 xmlns="4a94300e-a927-4b92-9d3a-682523035cb6" xsi:nil="true"/>
    <To xmlns="4a94300e-a927-4b92-9d3a-682523035cb6" xsi:nil="true"/>
    <Receiver_x0020_Date xmlns="4a94300e-a927-4b92-9d3a-682523035cb6" xsi:nil="true"/>
    <Status xmlns="4a94300e-a927-4b92-9d3a-682523035cb6" xsi:nil="true"/>
    <Document_x0020_Type xmlns="4a94300e-a927-4b92-9d3a-682523035cb6" xsi:nil="true"/>
    <_dlc_DocId xmlns="58a6f171-52cb-4404-b47d-af1c8daf8fd1">ECM-1122293896-92286</_dlc_DocId>
    <_dlc_DocIdUrl xmlns="58a6f171-52cb-4404-b47d-af1c8daf8fd1">
      <Url>https://ministryforenvironment.sharepoint.com/sites/ECM-ER-Comms/_layouts/15/DocIdRedir.aspx?ID=ECM-1122293896-92286</Url>
      <Description>ECM-1122293896-92286</Description>
    </_dlc_DocIdUrl>
    <lcf76f155ced4ddcb4097134ff3c332f xmlns="4a94300e-a927-4b92-9d3a-682523035cb6">
      <Terms xmlns="http://schemas.microsoft.com/office/infopath/2007/PartnerControls"/>
    </lcf76f155ced4ddcb4097134ff3c332f>
    <TaxCatchAll xmlns="58a6f171-52cb-4404-b47d-af1c8daf8fd1" xsi:nil="tru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915373F-630C-45C1-9D1D-0033FB98D60B}">
  <ds:schemaRefs>
    <ds:schemaRef ds:uri="http://schemas.microsoft.com/sharepoint/events"/>
  </ds:schemaRefs>
</ds:datastoreItem>
</file>

<file path=customXml/itemProps2.xml><?xml version="1.0" encoding="utf-8"?>
<ds:datastoreItem xmlns:ds="http://schemas.openxmlformats.org/officeDocument/2006/customXml" ds:itemID="{7E59834F-087D-4EFC-917F-13D523202C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http://schemas.microsoft.com/sharepoint/v4"/>
    <ds:schemaRef ds:uri="0a5b0190-e301-4766-933d-448c7c363f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0BE2C50-2E91-324A-8394-4049A2076AC5}">
  <ds:schemaRefs>
    <ds:schemaRef ds:uri="http://schemas.openxmlformats.org/officeDocument/2006/bibliography"/>
  </ds:schemaRefs>
</ds:datastoreItem>
</file>

<file path=customXml/itemProps4.xml><?xml version="1.0" encoding="utf-8"?>
<ds:datastoreItem xmlns:ds="http://schemas.openxmlformats.org/officeDocument/2006/customXml" ds:itemID="{A6ABE385-CC81-41C6-A3F2-1BC9449571F7}">
  <ds:schemaRefs>
    <ds:schemaRef ds:uri="http://www.w3.org/XML/1998/namespace"/>
    <ds:schemaRef ds:uri="http://purl.org/dc/dcmitype/"/>
    <ds:schemaRef ds:uri="http://schemas.microsoft.com/office/2006/documentManagement/types"/>
    <ds:schemaRef ds:uri="http://purl.org/dc/elements/1.1/"/>
    <ds:schemaRef ds:uri="http://schemas.microsoft.com/office/infopath/2007/PartnerControls"/>
    <ds:schemaRef ds:uri="http://schemas.openxmlformats.org/package/2006/metadata/core-properties"/>
    <ds:schemaRef ds:uri="http://purl.org/dc/terms/"/>
    <ds:schemaRef ds:uri="http://schemas.microsoft.com/office/2006/metadata/properties"/>
    <ds:schemaRef ds:uri="4a94300e-a927-4b92-9d3a-682523035cb6"/>
    <ds:schemaRef ds:uri="http://schemas.microsoft.com/sharepoint/v3"/>
    <ds:schemaRef ds:uri="0a5b0190-e301-4766-933d-448c7c363fce"/>
    <ds:schemaRef ds:uri="http://schemas.microsoft.com/sharepoint/v4"/>
    <ds:schemaRef ds:uri="58a6f171-52cb-4404-b47d-af1c8daf8fd1"/>
  </ds:schemaRefs>
</ds:datastoreItem>
</file>

<file path=customXml/itemProps5.xml><?xml version="1.0" encoding="utf-8"?>
<ds:datastoreItem xmlns:ds="http://schemas.openxmlformats.org/officeDocument/2006/customXml" ds:itemID="{4D0CDAC4-0417-4665-BFBD-38D6177B7AA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44</Pages>
  <Words>13289</Words>
  <Characters>73358</Characters>
  <Application>Microsoft Office Word</Application>
  <DocSecurity>0</DocSecurity>
  <Lines>1384</Lines>
  <Paragraphs>704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85943</CharactersWithSpaces>
  <SharedDoc>false</SharedDoc>
  <HLinks>
    <vt:vector size="516" baseType="variant">
      <vt:variant>
        <vt:i4>5767202</vt:i4>
      </vt:variant>
      <vt:variant>
        <vt:i4>369</vt:i4>
      </vt:variant>
      <vt:variant>
        <vt:i4>0</vt:i4>
      </vt:variant>
      <vt:variant>
        <vt:i4>5</vt:i4>
      </vt:variant>
      <vt:variant>
        <vt:lpwstr/>
      </vt:variant>
      <vt:variant>
        <vt:lpwstr>_6.2_Managing_critical</vt:lpwstr>
      </vt:variant>
      <vt:variant>
        <vt:i4>2490425</vt:i4>
      </vt:variant>
      <vt:variant>
        <vt:i4>366</vt:i4>
      </vt:variant>
      <vt:variant>
        <vt:i4>0</vt:i4>
      </vt:variant>
      <vt:variant>
        <vt:i4>5</vt:i4>
      </vt:variant>
      <vt:variant>
        <vt:lpwstr>https://www.mpi.govt.nz/agriculture/farm-management-the-environment-and-land-use/protecting-freshwater-health/intensive-winter-grazing/</vt:lpwstr>
      </vt:variant>
      <vt:variant>
        <vt:lpwstr/>
      </vt:variant>
      <vt:variant>
        <vt:i4>65642</vt:i4>
      </vt:variant>
      <vt:variant>
        <vt:i4>363</vt:i4>
      </vt:variant>
      <vt:variant>
        <vt:i4>0</vt:i4>
      </vt:variant>
      <vt:variant>
        <vt:i4>5</vt:i4>
      </vt:variant>
      <vt:variant>
        <vt:lpwstr/>
      </vt:variant>
      <vt:variant>
        <vt:lpwstr>_6.1.2_Walkover_surveys</vt:lpwstr>
      </vt:variant>
      <vt:variant>
        <vt:i4>65642</vt:i4>
      </vt:variant>
      <vt:variant>
        <vt:i4>360</vt:i4>
      </vt:variant>
      <vt:variant>
        <vt:i4>0</vt:i4>
      </vt:variant>
      <vt:variant>
        <vt:i4>5</vt:i4>
      </vt:variant>
      <vt:variant>
        <vt:lpwstr/>
      </vt:variant>
      <vt:variant>
        <vt:lpwstr>_6.1.2_Walkover_surveys</vt:lpwstr>
      </vt:variant>
      <vt:variant>
        <vt:i4>2162754</vt:i4>
      </vt:variant>
      <vt:variant>
        <vt:i4>357</vt:i4>
      </vt:variant>
      <vt:variant>
        <vt:i4>0</vt:i4>
      </vt:variant>
      <vt:variant>
        <vt:i4>5</vt:i4>
      </vt:variant>
      <vt:variant>
        <vt:lpwstr/>
      </vt:variant>
      <vt:variant>
        <vt:lpwstr>_5.1_Critical_sources</vt:lpwstr>
      </vt:variant>
      <vt:variant>
        <vt:i4>262242</vt:i4>
      </vt:variant>
      <vt:variant>
        <vt:i4>354</vt:i4>
      </vt:variant>
      <vt:variant>
        <vt:i4>0</vt:i4>
      </vt:variant>
      <vt:variant>
        <vt:i4>5</vt:i4>
      </vt:variant>
      <vt:variant>
        <vt:lpwstr/>
      </vt:variant>
      <vt:variant>
        <vt:lpwstr>_5.2_Intensive_winter</vt:lpwstr>
      </vt:variant>
      <vt:variant>
        <vt:i4>2228286</vt:i4>
      </vt:variant>
      <vt:variant>
        <vt:i4>351</vt:i4>
      </vt:variant>
      <vt:variant>
        <vt:i4>0</vt:i4>
      </vt:variant>
      <vt:variant>
        <vt:i4>5</vt:i4>
      </vt:variant>
      <vt:variant>
        <vt:lpwstr>https://environment.govt.nz/publications/pugging-guidance-for-intensive-winter-grazing</vt:lpwstr>
      </vt:variant>
      <vt:variant>
        <vt:lpwstr/>
      </vt:variant>
      <vt:variant>
        <vt:i4>7929971</vt:i4>
      </vt:variant>
      <vt:variant>
        <vt:i4>348</vt:i4>
      </vt:variant>
      <vt:variant>
        <vt:i4>0</vt:i4>
      </vt:variant>
      <vt:variant>
        <vt:i4>5</vt:i4>
      </vt:variant>
      <vt:variant>
        <vt:lpwstr/>
      </vt:variant>
      <vt:variant>
        <vt:lpwstr>Figure4</vt:lpwstr>
      </vt:variant>
      <vt:variant>
        <vt:i4>7733363</vt:i4>
      </vt:variant>
      <vt:variant>
        <vt:i4>345</vt:i4>
      </vt:variant>
      <vt:variant>
        <vt:i4>0</vt:i4>
      </vt:variant>
      <vt:variant>
        <vt:i4>5</vt:i4>
      </vt:variant>
      <vt:variant>
        <vt:lpwstr>https://environment.govt.nz/publications/groundcovers-guidance-for-intensive-winter-grazing</vt:lpwstr>
      </vt:variant>
      <vt:variant>
        <vt:lpwstr/>
      </vt:variant>
      <vt:variant>
        <vt:i4>2228286</vt:i4>
      </vt:variant>
      <vt:variant>
        <vt:i4>342</vt:i4>
      </vt:variant>
      <vt:variant>
        <vt:i4>0</vt:i4>
      </vt:variant>
      <vt:variant>
        <vt:i4>5</vt:i4>
      </vt:variant>
      <vt:variant>
        <vt:lpwstr>https://environment.govt.nz/publications/pugging-guidance-for-intensive-winter-grazing</vt:lpwstr>
      </vt:variant>
      <vt:variant>
        <vt:lpwstr/>
      </vt:variant>
      <vt:variant>
        <vt:i4>6422530</vt:i4>
      </vt:variant>
      <vt:variant>
        <vt:i4>339</vt:i4>
      </vt:variant>
      <vt:variant>
        <vt:i4>0</vt:i4>
      </vt:variant>
      <vt:variant>
        <vt:i4>5</vt:i4>
      </vt:variant>
      <vt:variant>
        <vt:lpwstr/>
      </vt:variant>
      <vt:variant>
        <vt:lpwstr>_6.2.1_Management_before</vt:lpwstr>
      </vt:variant>
      <vt:variant>
        <vt:i4>5767202</vt:i4>
      </vt:variant>
      <vt:variant>
        <vt:i4>336</vt:i4>
      </vt:variant>
      <vt:variant>
        <vt:i4>0</vt:i4>
      </vt:variant>
      <vt:variant>
        <vt:i4>5</vt:i4>
      </vt:variant>
      <vt:variant>
        <vt:lpwstr/>
      </vt:variant>
      <vt:variant>
        <vt:lpwstr>_6.2_Managing_critical</vt:lpwstr>
      </vt:variant>
      <vt:variant>
        <vt:i4>196653</vt:i4>
      </vt:variant>
      <vt:variant>
        <vt:i4>333</vt:i4>
      </vt:variant>
      <vt:variant>
        <vt:i4>0</vt:i4>
      </vt:variant>
      <vt:variant>
        <vt:i4>5</vt:i4>
      </vt:variant>
      <vt:variant>
        <vt:lpwstr/>
      </vt:variant>
      <vt:variant>
        <vt:lpwstr>_4._Regulation_requirements</vt:lpwstr>
      </vt:variant>
      <vt:variant>
        <vt:i4>6422596</vt:i4>
      </vt:variant>
      <vt:variant>
        <vt:i4>330</vt:i4>
      </vt:variant>
      <vt:variant>
        <vt:i4>0</vt:i4>
      </vt:variant>
      <vt:variant>
        <vt:i4>5</vt:i4>
      </vt:variant>
      <vt:variant>
        <vt:lpwstr/>
      </vt:variant>
      <vt:variant>
        <vt:lpwstr>_Appendix_1:_Walkover</vt:lpwstr>
      </vt:variant>
      <vt:variant>
        <vt:i4>7929863</vt:i4>
      </vt:variant>
      <vt:variant>
        <vt:i4>327</vt:i4>
      </vt:variant>
      <vt:variant>
        <vt:i4>0</vt:i4>
      </vt:variant>
      <vt:variant>
        <vt:i4>5</vt:i4>
      </vt:variant>
      <vt:variant>
        <vt:lpwstr/>
      </vt:variant>
      <vt:variant>
        <vt:lpwstr>_6.2.2_Management_between</vt:lpwstr>
      </vt:variant>
      <vt:variant>
        <vt:i4>7733363</vt:i4>
      </vt:variant>
      <vt:variant>
        <vt:i4>324</vt:i4>
      </vt:variant>
      <vt:variant>
        <vt:i4>0</vt:i4>
      </vt:variant>
      <vt:variant>
        <vt:i4>5</vt:i4>
      </vt:variant>
      <vt:variant>
        <vt:lpwstr>https://environment.govt.nz/publications/groundcovers-guidance-for-intensive-winter-grazing</vt:lpwstr>
      </vt:variant>
      <vt:variant>
        <vt:lpwstr/>
      </vt:variant>
      <vt:variant>
        <vt:i4>5767202</vt:i4>
      </vt:variant>
      <vt:variant>
        <vt:i4>321</vt:i4>
      </vt:variant>
      <vt:variant>
        <vt:i4>0</vt:i4>
      </vt:variant>
      <vt:variant>
        <vt:i4>5</vt:i4>
      </vt:variant>
      <vt:variant>
        <vt:lpwstr/>
      </vt:variant>
      <vt:variant>
        <vt:lpwstr>_6.2_Managing_critical</vt:lpwstr>
      </vt:variant>
      <vt:variant>
        <vt:i4>3801162</vt:i4>
      </vt:variant>
      <vt:variant>
        <vt:i4>318</vt:i4>
      </vt:variant>
      <vt:variant>
        <vt:i4>0</vt:i4>
      </vt:variant>
      <vt:variant>
        <vt:i4>5</vt:i4>
      </vt:variant>
      <vt:variant>
        <vt:lpwstr/>
      </vt:variant>
      <vt:variant>
        <vt:lpwstr>_4.2_Freshwater_farm</vt:lpwstr>
      </vt:variant>
      <vt:variant>
        <vt:i4>6094874</vt:i4>
      </vt:variant>
      <vt:variant>
        <vt:i4>315</vt:i4>
      </vt:variant>
      <vt:variant>
        <vt:i4>0</vt:i4>
      </vt:variant>
      <vt:variant>
        <vt:i4>5</vt:i4>
      </vt:variant>
      <vt:variant>
        <vt:lpwstr/>
      </vt:variant>
      <vt:variant>
        <vt:lpwstr>Box2</vt:lpwstr>
      </vt:variant>
      <vt:variant>
        <vt:i4>7929971</vt:i4>
      </vt:variant>
      <vt:variant>
        <vt:i4>312</vt:i4>
      </vt:variant>
      <vt:variant>
        <vt:i4>0</vt:i4>
      </vt:variant>
      <vt:variant>
        <vt:i4>5</vt:i4>
      </vt:variant>
      <vt:variant>
        <vt:lpwstr/>
      </vt:variant>
      <vt:variant>
        <vt:lpwstr>Figure4</vt:lpwstr>
      </vt:variant>
      <vt:variant>
        <vt:i4>7929971</vt:i4>
      </vt:variant>
      <vt:variant>
        <vt:i4>309</vt:i4>
      </vt:variant>
      <vt:variant>
        <vt:i4>0</vt:i4>
      </vt:variant>
      <vt:variant>
        <vt:i4>5</vt:i4>
      </vt:variant>
      <vt:variant>
        <vt:lpwstr/>
      </vt:variant>
      <vt:variant>
        <vt:lpwstr>Figure3</vt:lpwstr>
      </vt:variant>
      <vt:variant>
        <vt:i4>7929971</vt:i4>
      </vt:variant>
      <vt:variant>
        <vt:i4>306</vt:i4>
      </vt:variant>
      <vt:variant>
        <vt:i4>0</vt:i4>
      </vt:variant>
      <vt:variant>
        <vt:i4>5</vt:i4>
      </vt:variant>
      <vt:variant>
        <vt:lpwstr/>
      </vt:variant>
      <vt:variant>
        <vt:lpwstr>Figure2</vt:lpwstr>
      </vt:variant>
      <vt:variant>
        <vt:i4>6029338</vt:i4>
      </vt:variant>
      <vt:variant>
        <vt:i4>303</vt:i4>
      </vt:variant>
      <vt:variant>
        <vt:i4>0</vt:i4>
      </vt:variant>
      <vt:variant>
        <vt:i4>5</vt:i4>
      </vt:variant>
      <vt:variant>
        <vt:lpwstr/>
      </vt:variant>
      <vt:variant>
        <vt:lpwstr>Box3</vt:lpwstr>
      </vt:variant>
      <vt:variant>
        <vt:i4>4128837</vt:i4>
      </vt:variant>
      <vt:variant>
        <vt:i4>300</vt:i4>
      </vt:variant>
      <vt:variant>
        <vt:i4>0</vt:i4>
      </vt:variant>
      <vt:variant>
        <vt:i4>5</vt:i4>
      </vt:variant>
      <vt:variant>
        <vt:lpwstr/>
      </vt:variant>
      <vt:variant>
        <vt:lpwstr>_7.2_Case_studies</vt:lpwstr>
      </vt:variant>
      <vt:variant>
        <vt:i4>4128837</vt:i4>
      </vt:variant>
      <vt:variant>
        <vt:i4>297</vt:i4>
      </vt:variant>
      <vt:variant>
        <vt:i4>0</vt:i4>
      </vt:variant>
      <vt:variant>
        <vt:i4>5</vt:i4>
      </vt:variant>
      <vt:variant>
        <vt:lpwstr/>
      </vt:variant>
      <vt:variant>
        <vt:lpwstr>_7.2_Case_studies</vt:lpwstr>
      </vt:variant>
      <vt:variant>
        <vt:i4>393314</vt:i4>
      </vt:variant>
      <vt:variant>
        <vt:i4>294</vt:i4>
      </vt:variant>
      <vt:variant>
        <vt:i4>0</vt:i4>
      </vt:variant>
      <vt:variant>
        <vt:i4>5</vt:i4>
      </vt:variant>
      <vt:variant>
        <vt:lpwstr/>
      </vt:variant>
      <vt:variant>
        <vt:lpwstr>_4.1_Intensive_winter</vt:lpwstr>
      </vt:variant>
      <vt:variant>
        <vt:i4>262242</vt:i4>
      </vt:variant>
      <vt:variant>
        <vt:i4>291</vt:i4>
      </vt:variant>
      <vt:variant>
        <vt:i4>0</vt:i4>
      </vt:variant>
      <vt:variant>
        <vt:i4>5</vt:i4>
      </vt:variant>
      <vt:variant>
        <vt:lpwstr/>
      </vt:variant>
      <vt:variant>
        <vt:lpwstr>_5.2_Intensive_winter</vt:lpwstr>
      </vt:variant>
      <vt:variant>
        <vt:i4>6422596</vt:i4>
      </vt:variant>
      <vt:variant>
        <vt:i4>288</vt:i4>
      </vt:variant>
      <vt:variant>
        <vt:i4>0</vt:i4>
      </vt:variant>
      <vt:variant>
        <vt:i4>5</vt:i4>
      </vt:variant>
      <vt:variant>
        <vt:lpwstr/>
      </vt:variant>
      <vt:variant>
        <vt:lpwstr>_Appendix_1:_Walkover</vt:lpwstr>
      </vt:variant>
      <vt:variant>
        <vt:i4>5767202</vt:i4>
      </vt:variant>
      <vt:variant>
        <vt:i4>285</vt:i4>
      </vt:variant>
      <vt:variant>
        <vt:i4>0</vt:i4>
      </vt:variant>
      <vt:variant>
        <vt:i4>5</vt:i4>
      </vt:variant>
      <vt:variant>
        <vt:lpwstr/>
      </vt:variant>
      <vt:variant>
        <vt:lpwstr>_6.2_Managing_critical</vt:lpwstr>
      </vt:variant>
      <vt:variant>
        <vt:i4>7012388</vt:i4>
      </vt:variant>
      <vt:variant>
        <vt:i4>282</vt:i4>
      </vt:variant>
      <vt:variant>
        <vt:i4>0</vt:i4>
      </vt:variant>
      <vt:variant>
        <vt:i4>5</vt:i4>
      </vt:variant>
      <vt:variant>
        <vt:lpwstr>https://environment.govt.nz/acts-and-regulations/freshwater-implementation-guidance/freshwater-farm-plans/</vt:lpwstr>
      </vt:variant>
      <vt:variant>
        <vt:lpwstr/>
      </vt:variant>
      <vt:variant>
        <vt:i4>2359380</vt:i4>
      </vt:variant>
      <vt:variant>
        <vt:i4>279</vt:i4>
      </vt:variant>
      <vt:variant>
        <vt:i4>0</vt:i4>
      </vt:variant>
      <vt:variant>
        <vt:i4>5</vt:i4>
      </vt:variant>
      <vt:variant>
        <vt:lpwstr/>
      </vt:variant>
      <vt:variant>
        <vt:lpwstr>_6.1.1_Spatial_and</vt:lpwstr>
      </vt:variant>
      <vt:variant>
        <vt:i4>6422596</vt:i4>
      </vt:variant>
      <vt:variant>
        <vt:i4>276</vt:i4>
      </vt:variant>
      <vt:variant>
        <vt:i4>0</vt:i4>
      </vt:variant>
      <vt:variant>
        <vt:i4>5</vt:i4>
      </vt:variant>
      <vt:variant>
        <vt:lpwstr/>
      </vt:variant>
      <vt:variant>
        <vt:lpwstr>_Appendix_1:_Walkover</vt:lpwstr>
      </vt:variant>
      <vt:variant>
        <vt:i4>6422530</vt:i4>
      </vt:variant>
      <vt:variant>
        <vt:i4>273</vt:i4>
      </vt:variant>
      <vt:variant>
        <vt:i4>0</vt:i4>
      </vt:variant>
      <vt:variant>
        <vt:i4>5</vt:i4>
      </vt:variant>
      <vt:variant>
        <vt:lpwstr/>
      </vt:variant>
      <vt:variant>
        <vt:lpwstr>_6.2.1_Management_before</vt:lpwstr>
      </vt:variant>
      <vt:variant>
        <vt:i4>6094874</vt:i4>
      </vt:variant>
      <vt:variant>
        <vt:i4>270</vt:i4>
      </vt:variant>
      <vt:variant>
        <vt:i4>0</vt:i4>
      </vt:variant>
      <vt:variant>
        <vt:i4>5</vt:i4>
      </vt:variant>
      <vt:variant>
        <vt:lpwstr/>
      </vt:variant>
      <vt:variant>
        <vt:lpwstr>Box2</vt:lpwstr>
      </vt:variant>
      <vt:variant>
        <vt:i4>7405627</vt:i4>
      </vt:variant>
      <vt:variant>
        <vt:i4>267</vt:i4>
      </vt:variant>
      <vt:variant>
        <vt:i4>0</vt:i4>
      </vt:variant>
      <vt:variant>
        <vt:i4>5</vt:i4>
      </vt:variant>
      <vt:variant>
        <vt:lpwstr>https://environment.govt.nz/assets/publications/freshwater-policy/IWG-Factsheet-INFO1067-Update-August-22-FINAL.pdf</vt:lpwstr>
      </vt:variant>
      <vt:variant>
        <vt:lpwstr/>
      </vt:variant>
      <vt:variant>
        <vt:i4>6094950</vt:i4>
      </vt:variant>
      <vt:variant>
        <vt:i4>264</vt:i4>
      </vt:variant>
      <vt:variant>
        <vt:i4>0</vt:i4>
      </vt:variant>
      <vt:variant>
        <vt:i4>5</vt:i4>
      </vt:variant>
      <vt:variant>
        <vt:lpwstr/>
      </vt:variant>
      <vt:variant>
        <vt:lpwstr>_7._Integrating_critical</vt:lpwstr>
      </vt:variant>
      <vt:variant>
        <vt:i4>7602245</vt:i4>
      </vt:variant>
      <vt:variant>
        <vt:i4>261</vt:i4>
      </vt:variant>
      <vt:variant>
        <vt:i4>0</vt:i4>
      </vt:variant>
      <vt:variant>
        <vt:i4>5</vt:i4>
      </vt:variant>
      <vt:variant>
        <vt:lpwstr/>
      </vt:variant>
      <vt:variant>
        <vt:lpwstr>_6._Implementing_the</vt:lpwstr>
      </vt:variant>
      <vt:variant>
        <vt:i4>3801162</vt:i4>
      </vt:variant>
      <vt:variant>
        <vt:i4>258</vt:i4>
      </vt:variant>
      <vt:variant>
        <vt:i4>0</vt:i4>
      </vt:variant>
      <vt:variant>
        <vt:i4>5</vt:i4>
      </vt:variant>
      <vt:variant>
        <vt:lpwstr/>
      </vt:variant>
      <vt:variant>
        <vt:lpwstr>_4.2_Freshwater_farm</vt:lpwstr>
      </vt:variant>
      <vt:variant>
        <vt:i4>6094874</vt:i4>
      </vt:variant>
      <vt:variant>
        <vt:i4>255</vt:i4>
      </vt:variant>
      <vt:variant>
        <vt:i4>0</vt:i4>
      </vt:variant>
      <vt:variant>
        <vt:i4>5</vt:i4>
      </vt:variant>
      <vt:variant>
        <vt:lpwstr/>
      </vt:variant>
      <vt:variant>
        <vt:lpwstr>Box2</vt:lpwstr>
      </vt:variant>
      <vt:variant>
        <vt:i4>6160410</vt:i4>
      </vt:variant>
      <vt:variant>
        <vt:i4>252</vt:i4>
      </vt:variant>
      <vt:variant>
        <vt:i4>0</vt:i4>
      </vt:variant>
      <vt:variant>
        <vt:i4>5</vt:i4>
      </vt:variant>
      <vt:variant>
        <vt:lpwstr/>
      </vt:variant>
      <vt:variant>
        <vt:lpwstr>Box1</vt:lpwstr>
      </vt:variant>
      <vt:variant>
        <vt:i4>393258</vt:i4>
      </vt:variant>
      <vt:variant>
        <vt:i4>249</vt:i4>
      </vt:variant>
      <vt:variant>
        <vt:i4>0</vt:i4>
      </vt:variant>
      <vt:variant>
        <vt:i4>5</vt:i4>
      </vt:variant>
      <vt:variant>
        <vt:lpwstr/>
      </vt:variant>
      <vt:variant>
        <vt:lpwstr>_Appendix_2:_Other</vt:lpwstr>
      </vt:variant>
      <vt:variant>
        <vt:i4>6422596</vt:i4>
      </vt:variant>
      <vt:variant>
        <vt:i4>246</vt:i4>
      </vt:variant>
      <vt:variant>
        <vt:i4>0</vt:i4>
      </vt:variant>
      <vt:variant>
        <vt:i4>5</vt:i4>
      </vt:variant>
      <vt:variant>
        <vt:lpwstr/>
      </vt:variant>
      <vt:variant>
        <vt:lpwstr>_Appendix_1:_Walkover</vt:lpwstr>
      </vt:variant>
      <vt:variant>
        <vt:i4>5111858</vt:i4>
      </vt:variant>
      <vt:variant>
        <vt:i4>243</vt:i4>
      </vt:variant>
      <vt:variant>
        <vt:i4>0</vt:i4>
      </vt:variant>
      <vt:variant>
        <vt:i4>5</vt:i4>
      </vt:variant>
      <vt:variant>
        <vt:lpwstr/>
      </vt:variant>
      <vt:variant>
        <vt:lpwstr>_7.1_Winter_forage</vt:lpwstr>
      </vt:variant>
      <vt:variant>
        <vt:i4>6422530</vt:i4>
      </vt:variant>
      <vt:variant>
        <vt:i4>240</vt:i4>
      </vt:variant>
      <vt:variant>
        <vt:i4>0</vt:i4>
      </vt:variant>
      <vt:variant>
        <vt:i4>5</vt:i4>
      </vt:variant>
      <vt:variant>
        <vt:lpwstr/>
      </vt:variant>
      <vt:variant>
        <vt:lpwstr>_6.2.1_Management_before</vt:lpwstr>
      </vt:variant>
      <vt:variant>
        <vt:i4>5767202</vt:i4>
      </vt:variant>
      <vt:variant>
        <vt:i4>237</vt:i4>
      </vt:variant>
      <vt:variant>
        <vt:i4>0</vt:i4>
      </vt:variant>
      <vt:variant>
        <vt:i4>5</vt:i4>
      </vt:variant>
      <vt:variant>
        <vt:lpwstr/>
      </vt:variant>
      <vt:variant>
        <vt:lpwstr>_6.2_Managing_critical</vt:lpwstr>
      </vt:variant>
      <vt:variant>
        <vt:i4>7929971</vt:i4>
      </vt:variant>
      <vt:variant>
        <vt:i4>234</vt:i4>
      </vt:variant>
      <vt:variant>
        <vt:i4>0</vt:i4>
      </vt:variant>
      <vt:variant>
        <vt:i4>5</vt:i4>
      </vt:variant>
      <vt:variant>
        <vt:lpwstr/>
      </vt:variant>
      <vt:variant>
        <vt:lpwstr>Figure1</vt:lpwstr>
      </vt:variant>
      <vt:variant>
        <vt:i4>6094950</vt:i4>
      </vt:variant>
      <vt:variant>
        <vt:i4>231</vt:i4>
      </vt:variant>
      <vt:variant>
        <vt:i4>0</vt:i4>
      </vt:variant>
      <vt:variant>
        <vt:i4>5</vt:i4>
      </vt:variant>
      <vt:variant>
        <vt:lpwstr/>
      </vt:variant>
      <vt:variant>
        <vt:lpwstr>_7._Integrating_critical</vt:lpwstr>
      </vt:variant>
      <vt:variant>
        <vt:i4>7602245</vt:i4>
      </vt:variant>
      <vt:variant>
        <vt:i4>228</vt:i4>
      </vt:variant>
      <vt:variant>
        <vt:i4>0</vt:i4>
      </vt:variant>
      <vt:variant>
        <vt:i4>5</vt:i4>
      </vt:variant>
      <vt:variant>
        <vt:lpwstr/>
      </vt:variant>
      <vt:variant>
        <vt:lpwstr>_6._Implementing_the</vt:lpwstr>
      </vt:variant>
      <vt:variant>
        <vt:i4>2293783</vt:i4>
      </vt:variant>
      <vt:variant>
        <vt:i4>225</vt:i4>
      </vt:variant>
      <vt:variant>
        <vt:i4>0</vt:i4>
      </vt:variant>
      <vt:variant>
        <vt:i4>5</vt:i4>
      </vt:variant>
      <vt:variant>
        <vt:lpwstr/>
      </vt:variant>
      <vt:variant>
        <vt:lpwstr>_5._Impacts_on</vt:lpwstr>
      </vt:variant>
      <vt:variant>
        <vt:i4>196653</vt:i4>
      </vt:variant>
      <vt:variant>
        <vt:i4>222</vt:i4>
      </vt:variant>
      <vt:variant>
        <vt:i4>0</vt:i4>
      </vt:variant>
      <vt:variant>
        <vt:i4>5</vt:i4>
      </vt:variant>
      <vt:variant>
        <vt:lpwstr/>
      </vt:variant>
      <vt:variant>
        <vt:lpwstr>_4._Regulation_requirements</vt:lpwstr>
      </vt:variant>
      <vt:variant>
        <vt:i4>7602250</vt:i4>
      </vt:variant>
      <vt:variant>
        <vt:i4>219</vt:i4>
      </vt:variant>
      <vt:variant>
        <vt:i4>0</vt:i4>
      </vt:variant>
      <vt:variant>
        <vt:i4>5</vt:i4>
      </vt:variant>
      <vt:variant>
        <vt:lpwstr/>
      </vt:variant>
      <vt:variant>
        <vt:lpwstr>_3._What_are</vt:lpwstr>
      </vt:variant>
      <vt:variant>
        <vt:i4>2031668</vt:i4>
      </vt:variant>
      <vt:variant>
        <vt:i4>212</vt:i4>
      </vt:variant>
      <vt:variant>
        <vt:i4>0</vt:i4>
      </vt:variant>
      <vt:variant>
        <vt:i4>5</vt:i4>
      </vt:variant>
      <vt:variant>
        <vt:lpwstr/>
      </vt:variant>
      <vt:variant>
        <vt:lpwstr>_Toc129957946</vt:lpwstr>
      </vt:variant>
      <vt:variant>
        <vt:i4>2031668</vt:i4>
      </vt:variant>
      <vt:variant>
        <vt:i4>206</vt:i4>
      </vt:variant>
      <vt:variant>
        <vt:i4>0</vt:i4>
      </vt:variant>
      <vt:variant>
        <vt:i4>5</vt:i4>
      </vt:variant>
      <vt:variant>
        <vt:lpwstr/>
      </vt:variant>
      <vt:variant>
        <vt:lpwstr>_Toc129957945</vt:lpwstr>
      </vt:variant>
      <vt:variant>
        <vt:i4>2031668</vt:i4>
      </vt:variant>
      <vt:variant>
        <vt:i4>200</vt:i4>
      </vt:variant>
      <vt:variant>
        <vt:i4>0</vt:i4>
      </vt:variant>
      <vt:variant>
        <vt:i4>5</vt:i4>
      </vt:variant>
      <vt:variant>
        <vt:lpwstr/>
      </vt:variant>
      <vt:variant>
        <vt:lpwstr>_Toc129957944</vt:lpwstr>
      </vt:variant>
      <vt:variant>
        <vt:i4>2031668</vt:i4>
      </vt:variant>
      <vt:variant>
        <vt:i4>194</vt:i4>
      </vt:variant>
      <vt:variant>
        <vt:i4>0</vt:i4>
      </vt:variant>
      <vt:variant>
        <vt:i4>5</vt:i4>
      </vt:variant>
      <vt:variant>
        <vt:lpwstr/>
      </vt:variant>
      <vt:variant>
        <vt:lpwstr>_Toc129957943</vt:lpwstr>
      </vt:variant>
      <vt:variant>
        <vt:i4>2031668</vt:i4>
      </vt:variant>
      <vt:variant>
        <vt:i4>185</vt:i4>
      </vt:variant>
      <vt:variant>
        <vt:i4>0</vt:i4>
      </vt:variant>
      <vt:variant>
        <vt:i4>5</vt:i4>
      </vt:variant>
      <vt:variant>
        <vt:lpwstr/>
      </vt:variant>
      <vt:variant>
        <vt:lpwstr>_Toc129957942</vt:lpwstr>
      </vt:variant>
      <vt:variant>
        <vt:i4>2031668</vt:i4>
      </vt:variant>
      <vt:variant>
        <vt:i4>179</vt:i4>
      </vt:variant>
      <vt:variant>
        <vt:i4>0</vt:i4>
      </vt:variant>
      <vt:variant>
        <vt:i4>5</vt:i4>
      </vt:variant>
      <vt:variant>
        <vt:lpwstr/>
      </vt:variant>
      <vt:variant>
        <vt:lpwstr>_Toc129957941</vt:lpwstr>
      </vt:variant>
      <vt:variant>
        <vt:i4>2031668</vt:i4>
      </vt:variant>
      <vt:variant>
        <vt:i4>170</vt:i4>
      </vt:variant>
      <vt:variant>
        <vt:i4>0</vt:i4>
      </vt:variant>
      <vt:variant>
        <vt:i4>5</vt:i4>
      </vt:variant>
      <vt:variant>
        <vt:lpwstr/>
      </vt:variant>
      <vt:variant>
        <vt:lpwstr>_Toc129957940</vt:lpwstr>
      </vt:variant>
      <vt:variant>
        <vt:i4>1572916</vt:i4>
      </vt:variant>
      <vt:variant>
        <vt:i4>164</vt:i4>
      </vt:variant>
      <vt:variant>
        <vt:i4>0</vt:i4>
      </vt:variant>
      <vt:variant>
        <vt:i4>5</vt:i4>
      </vt:variant>
      <vt:variant>
        <vt:lpwstr/>
      </vt:variant>
      <vt:variant>
        <vt:lpwstr>_Toc129957939</vt:lpwstr>
      </vt:variant>
      <vt:variant>
        <vt:i4>1572916</vt:i4>
      </vt:variant>
      <vt:variant>
        <vt:i4>158</vt:i4>
      </vt:variant>
      <vt:variant>
        <vt:i4>0</vt:i4>
      </vt:variant>
      <vt:variant>
        <vt:i4>5</vt:i4>
      </vt:variant>
      <vt:variant>
        <vt:lpwstr/>
      </vt:variant>
      <vt:variant>
        <vt:lpwstr>_Toc129957938</vt:lpwstr>
      </vt:variant>
      <vt:variant>
        <vt:i4>1572916</vt:i4>
      </vt:variant>
      <vt:variant>
        <vt:i4>152</vt:i4>
      </vt:variant>
      <vt:variant>
        <vt:i4>0</vt:i4>
      </vt:variant>
      <vt:variant>
        <vt:i4>5</vt:i4>
      </vt:variant>
      <vt:variant>
        <vt:lpwstr/>
      </vt:variant>
      <vt:variant>
        <vt:lpwstr>_Toc129957937</vt:lpwstr>
      </vt:variant>
      <vt:variant>
        <vt:i4>1572916</vt:i4>
      </vt:variant>
      <vt:variant>
        <vt:i4>146</vt:i4>
      </vt:variant>
      <vt:variant>
        <vt:i4>0</vt:i4>
      </vt:variant>
      <vt:variant>
        <vt:i4>5</vt:i4>
      </vt:variant>
      <vt:variant>
        <vt:lpwstr/>
      </vt:variant>
      <vt:variant>
        <vt:lpwstr>_Toc129957936</vt:lpwstr>
      </vt:variant>
      <vt:variant>
        <vt:i4>1572916</vt:i4>
      </vt:variant>
      <vt:variant>
        <vt:i4>140</vt:i4>
      </vt:variant>
      <vt:variant>
        <vt:i4>0</vt:i4>
      </vt:variant>
      <vt:variant>
        <vt:i4>5</vt:i4>
      </vt:variant>
      <vt:variant>
        <vt:lpwstr/>
      </vt:variant>
      <vt:variant>
        <vt:lpwstr>_Toc129957935</vt:lpwstr>
      </vt:variant>
      <vt:variant>
        <vt:i4>1572916</vt:i4>
      </vt:variant>
      <vt:variant>
        <vt:i4>134</vt:i4>
      </vt:variant>
      <vt:variant>
        <vt:i4>0</vt:i4>
      </vt:variant>
      <vt:variant>
        <vt:i4>5</vt:i4>
      </vt:variant>
      <vt:variant>
        <vt:lpwstr/>
      </vt:variant>
      <vt:variant>
        <vt:lpwstr>_Toc129957934</vt:lpwstr>
      </vt:variant>
      <vt:variant>
        <vt:i4>1572916</vt:i4>
      </vt:variant>
      <vt:variant>
        <vt:i4>128</vt:i4>
      </vt:variant>
      <vt:variant>
        <vt:i4>0</vt:i4>
      </vt:variant>
      <vt:variant>
        <vt:i4>5</vt:i4>
      </vt:variant>
      <vt:variant>
        <vt:lpwstr/>
      </vt:variant>
      <vt:variant>
        <vt:lpwstr>_Toc129957933</vt:lpwstr>
      </vt:variant>
      <vt:variant>
        <vt:i4>1572916</vt:i4>
      </vt:variant>
      <vt:variant>
        <vt:i4>122</vt:i4>
      </vt:variant>
      <vt:variant>
        <vt:i4>0</vt:i4>
      </vt:variant>
      <vt:variant>
        <vt:i4>5</vt:i4>
      </vt:variant>
      <vt:variant>
        <vt:lpwstr/>
      </vt:variant>
      <vt:variant>
        <vt:lpwstr>_Toc129957932</vt:lpwstr>
      </vt:variant>
      <vt:variant>
        <vt:i4>1572916</vt:i4>
      </vt:variant>
      <vt:variant>
        <vt:i4>116</vt:i4>
      </vt:variant>
      <vt:variant>
        <vt:i4>0</vt:i4>
      </vt:variant>
      <vt:variant>
        <vt:i4>5</vt:i4>
      </vt:variant>
      <vt:variant>
        <vt:lpwstr/>
      </vt:variant>
      <vt:variant>
        <vt:lpwstr>_Toc129957931</vt:lpwstr>
      </vt:variant>
      <vt:variant>
        <vt:i4>1572916</vt:i4>
      </vt:variant>
      <vt:variant>
        <vt:i4>110</vt:i4>
      </vt:variant>
      <vt:variant>
        <vt:i4>0</vt:i4>
      </vt:variant>
      <vt:variant>
        <vt:i4>5</vt:i4>
      </vt:variant>
      <vt:variant>
        <vt:lpwstr/>
      </vt:variant>
      <vt:variant>
        <vt:lpwstr>_Toc129957930</vt:lpwstr>
      </vt:variant>
      <vt:variant>
        <vt:i4>1638452</vt:i4>
      </vt:variant>
      <vt:variant>
        <vt:i4>104</vt:i4>
      </vt:variant>
      <vt:variant>
        <vt:i4>0</vt:i4>
      </vt:variant>
      <vt:variant>
        <vt:i4>5</vt:i4>
      </vt:variant>
      <vt:variant>
        <vt:lpwstr/>
      </vt:variant>
      <vt:variant>
        <vt:lpwstr>_Toc129957929</vt:lpwstr>
      </vt:variant>
      <vt:variant>
        <vt:i4>1638452</vt:i4>
      </vt:variant>
      <vt:variant>
        <vt:i4>98</vt:i4>
      </vt:variant>
      <vt:variant>
        <vt:i4>0</vt:i4>
      </vt:variant>
      <vt:variant>
        <vt:i4>5</vt:i4>
      </vt:variant>
      <vt:variant>
        <vt:lpwstr/>
      </vt:variant>
      <vt:variant>
        <vt:lpwstr>_Toc129957928</vt:lpwstr>
      </vt:variant>
      <vt:variant>
        <vt:i4>1638452</vt:i4>
      </vt:variant>
      <vt:variant>
        <vt:i4>92</vt:i4>
      </vt:variant>
      <vt:variant>
        <vt:i4>0</vt:i4>
      </vt:variant>
      <vt:variant>
        <vt:i4>5</vt:i4>
      </vt:variant>
      <vt:variant>
        <vt:lpwstr/>
      </vt:variant>
      <vt:variant>
        <vt:lpwstr>_Toc129957927</vt:lpwstr>
      </vt:variant>
      <vt:variant>
        <vt:i4>1638452</vt:i4>
      </vt:variant>
      <vt:variant>
        <vt:i4>86</vt:i4>
      </vt:variant>
      <vt:variant>
        <vt:i4>0</vt:i4>
      </vt:variant>
      <vt:variant>
        <vt:i4>5</vt:i4>
      </vt:variant>
      <vt:variant>
        <vt:lpwstr/>
      </vt:variant>
      <vt:variant>
        <vt:lpwstr>_Toc129957926</vt:lpwstr>
      </vt:variant>
      <vt:variant>
        <vt:i4>1638452</vt:i4>
      </vt:variant>
      <vt:variant>
        <vt:i4>80</vt:i4>
      </vt:variant>
      <vt:variant>
        <vt:i4>0</vt:i4>
      </vt:variant>
      <vt:variant>
        <vt:i4>5</vt:i4>
      </vt:variant>
      <vt:variant>
        <vt:lpwstr/>
      </vt:variant>
      <vt:variant>
        <vt:lpwstr>_Toc129957925</vt:lpwstr>
      </vt:variant>
      <vt:variant>
        <vt:i4>1638452</vt:i4>
      </vt:variant>
      <vt:variant>
        <vt:i4>74</vt:i4>
      </vt:variant>
      <vt:variant>
        <vt:i4>0</vt:i4>
      </vt:variant>
      <vt:variant>
        <vt:i4>5</vt:i4>
      </vt:variant>
      <vt:variant>
        <vt:lpwstr/>
      </vt:variant>
      <vt:variant>
        <vt:lpwstr>_Toc129957924</vt:lpwstr>
      </vt:variant>
      <vt:variant>
        <vt:i4>1638452</vt:i4>
      </vt:variant>
      <vt:variant>
        <vt:i4>68</vt:i4>
      </vt:variant>
      <vt:variant>
        <vt:i4>0</vt:i4>
      </vt:variant>
      <vt:variant>
        <vt:i4>5</vt:i4>
      </vt:variant>
      <vt:variant>
        <vt:lpwstr/>
      </vt:variant>
      <vt:variant>
        <vt:lpwstr>_Toc129957923</vt:lpwstr>
      </vt:variant>
      <vt:variant>
        <vt:i4>1638452</vt:i4>
      </vt:variant>
      <vt:variant>
        <vt:i4>62</vt:i4>
      </vt:variant>
      <vt:variant>
        <vt:i4>0</vt:i4>
      </vt:variant>
      <vt:variant>
        <vt:i4>5</vt:i4>
      </vt:variant>
      <vt:variant>
        <vt:lpwstr/>
      </vt:variant>
      <vt:variant>
        <vt:lpwstr>_Toc129957922</vt:lpwstr>
      </vt:variant>
      <vt:variant>
        <vt:i4>1638452</vt:i4>
      </vt:variant>
      <vt:variant>
        <vt:i4>56</vt:i4>
      </vt:variant>
      <vt:variant>
        <vt:i4>0</vt:i4>
      </vt:variant>
      <vt:variant>
        <vt:i4>5</vt:i4>
      </vt:variant>
      <vt:variant>
        <vt:lpwstr/>
      </vt:variant>
      <vt:variant>
        <vt:lpwstr>_Toc129957921</vt:lpwstr>
      </vt:variant>
      <vt:variant>
        <vt:i4>1638452</vt:i4>
      </vt:variant>
      <vt:variant>
        <vt:i4>50</vt:i4>
      </vt:variant>
      <vt:variant>
        <vt:i4>0</vt:i4>
      </vt:variant>
      <vt:variant>
        <vt:i4>5</vt:i4>
      </vt:variant>
      <vt:variant>
        <vt:lpwstr/>
      </vt:variant>
      <vt:variant>
        <vt:lpwstr>_Toc129957920</vt:lpwstr>
      </vt:variant>
      <vt:variant>
        <vt:i4>1703988</vt:i4>
      </vt:variant>
      <vt:variant>
        <vt:i4>44</vt:i4>
      </vt:variant>
      <vt:variant>
        <vt:i4>0</vt:i4>
      </vt:variant>
      <vt:variant>
        <vt:i4>5</vt:i4>
      </vt:variant>
      <vt:variant>
        <vt:lpwstr/>
      </vt:variant>
      <vt:variant>
        <vt:lpwstr>_Toc129957919</vt:lpwstr>
      </vt:variant>
      <vt:variant>
        <vt:i4>1703988</vt:i4>
      </vt:variant>
      <vt:variant>
        <vt:i4>38</vt:i4>
      </vt:variant>
      <vt:variant>
        <vt:i4>0</vt:i4>
      </vt:variant>
      <vt:variant>
        <vt:i4>5</vt:i4>
      </vt:variant>
      <vt:variant>
        <vt:lpwstr/>
      </vt:variant>
      <vt:variant>
        <vt:lpwstr>_Toc129957918</vt:lpwstr>
      </vt:variant>
      <vt:variant>
        <vt:i4>1703988</vt:i4>
      </vt:variant>
      <vt:variant>
        <vt:i4>32</vt:i4>
      </vt:variant>
      <vt:variant>
        <vt:i4>0</vt:i4>
      </vt:variant>
      <vt:variant>
        <vt:i4>5</vt:i4>
      </vt:variant>
      <vt:variant>
        <vt:lpwstr/>
      </vt:variant>
      <vt:variant>
        <vt:lpwstr>_Toc129957917</vt:lpwstr>
      </vt:variant>
      <vt:variant>
        <vt:i4>1703988</vt:i4>
      </vt:variant>
      <vt:variant>
        <vt:i4>26</vt:i4>
      </vt:variant>
      <vt:variant>
        <vt:i4>0</vt:i4>
      </vt:variant>
      <vt:variant>
        <vt:i4>5</vt:i4>
      </vt:variant>
      <vt:variant>
        <vt:lpwstr/>
      </vt:variant>
      <vt:variant>
        <vt:lpwstr>_Toc129957916</vt:lpwstr>
      </vt:variant>
      <vt:variant>
        <vt:i4>1703988</vt:i4>
      </vt:variant>
      <vt:variant>
        <vt:i4>20</vt:i4>
      </vt:variant>
      <vt:variant>
        <vt:i4>0</vt:i4>
      </vt:variant>
      <vt:variant>
        <vt:i4>5</vt:i4>
      </vt:variant>
      <vt:variant>
        <vt:lpwstr/>
      </vt:variant>
      <vt:variant>
        <vt:lpwstr>_Toc129957915</vt:lpwstr>
      </vt:variant>
      <vt:variant>
        <vt:i4>1703988</vt:i4>
      </vt:variant>
      <vt:variant>
        <vt:i4>14</vt:i4>
      </vt:variant>
      <vt:variant>
        <vt:i4>0</vt:i4>
      </vt:variant>
      <vt:variant>
        <vt:i4>5</vt:i4>
      </vt:variant>
      <vt:variant>
        <vt:lpwstr/>
      </vt:variant>
      <vt:variant>
        <vt:lpwstr>_Toc129957914</vt:lpwstr>
      </vt:variant>
      <vt:variant>
        <vt:i4>1703988</vt:i4>
      </vt:variant>
      <vt:variant>
        <vt:i4>8</vt:i4>
      </vt:variant>
      <vt:variant>
        <vt:i4>0</vt:i4>
      </vt:variant>
      <vt:variant>
        <vt:i4>5</vt:i4>
      </vt:variant>
      <vt:variant>
        <vt:lpwstr/>
      </vt:variant>
      <vt:variant>
        <vt:lpwstr>_Toc129957913</vt:lpwstr>
      </vt:variant>
      <vt:variant>
        <vt:i4>1703988</vt:i4>
      </vt:variant>
      <vt:variant>
        <vt:i4>2</vt:i4>
      </vt:variant>
      <vt:variant>
        <vt:i4>0</vt:i4>
      </vt:variant>
      <vt:variant>
        <vt:i4>5</vt:i4>
      </vt:variant>
      <vt:variant>
        <vt:lpwstr/>
      </vt:variant>
      <vt:variant>
        <vt:lpwstr>_Toc129957912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WalshK</dc:creator>
  <cp:keywords/>
  <cp:lastModifiedBy>WalshK</cp:lastModifiedBy>
  <cp:revision>2</cp:revision>
  <dcterms:created xsi:type="dcterms:W3CDTF">2023-03-20T04:56:00Z</dcterms:created>
  <dcterms:modified xsi:type="dcterms:W3CDTF">2023-03-20T04:56:00Z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0x010100EA5FB0BEBF7DE54D9F252D8A06C053F7</vt:lpwstr>
  </property>
  <property fmtid="{D5CDD505-2E9C-101B-9397-08002B2CF9AE}" pid="3" name="_dlc_DocIdItemGuid">
    <vt:lpwstr>cceca824-ebe8-4b21-ad40-1a9473c9a0e7</vt:lpwstr>
  </property>
  <property fmtid="{D5CDD505-2E9C-101B-9397-08002B2CF9AE}" pid="4" name="MSIP_Label_52dda6cc-d61d-4fd2-bf18-9b3017d931cc_Enabled">
    <vt:lpwstr>true</vt:lpwstr>
  </property>
  <property fmtid="{D5CDD505-2E9C-101B-9397-08002B2CF9AE}" pid="5" name="MSIP_Label_52dda6cc-d61d-4fd2-bf18-9b3017d931cc_SetDate">
    <vt:lpwstr>2022-01-16T22:14:40Z</vt:lpwstr>
  </property>
  <property fmtid="{D5CDD505-2E9C-101B-9397-08002B2CF9AE}" pid="6" name="MSIP_Label_52dda6cc-d61d-4fd2-bf18-9b3017d931cc_Method">
    <vt:lpwstr>Privileged</vt:lpwstr>
  </property>
  <property fmtid="{D5CDD505-2E9C-101B-9397-08002B2CF9AE}" pid="7" name="MSIP_Label_52dda6cc-d61d-4fd2-bf18-9b3017d931cc_Name">
    <vt:lpwstr>[UNCLASSIFIED]</vt:lpwstr>
  </property>
  <property fmtid="{D5CDD505-2E9C-101B-9397-08002B2CF9AE}" pid="8" name="MSIP_Label_52dda6cc-d61d-4fd2-bf18-9b3017d931cc_SiteId">
    <vt:lpwstr>761dd003-d4ff-4049-8a72-8549b20fcbb1</vt:lpwstr>
  </property>
  <property fmtid="{D5CDD505-2E9C-101B-9397-08002B2CF9AE}" pid="9" name="MSIP_Label_52dda6cc-d61d-4fd2-bf18-9b3017d931cc_ActionId">
    <vt:lpwstr>9adb5016-2886-4e41-9a13-e62dbe13137f</vt:lpwstr>
  </property>
  <property fmtid="{D5CDD505-2E9C-101B-9397-08002B2CF9AE}" pid="10" name="MSIP_Label_52dda6cc-d61d-4fd2-bf18-9b3017d931cc_ContentBits">
    <vt:lpwstr>0</vt:lpwstr>
  </property>
  <property fmtid="{D5CDD505-2E9C-101B-9397-08002B2CF9AE}" pid="11" name="MediaServiceImageTags">
    <vt:lpwstr/>
  </property>
</Properties>
</file>